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8F5EFB" w:rsidRPr="002851FC" w:rsidTr="00C85D0F">
        <w:trPr>
          <w:trHeight w:hRule="exact" w:val="1418"/>
        </w:trPr>
        <w:tc>
          <w:tcPr>
            <w:tcW w:w="6804" w:type="dxa"/>
            <w:shd w:val="clear" w:color="auto" w:fill="auto"/>
            <w:vAlign w:val="center"/>
          </w:tcPr>
          <w:p w:rsidR="008F5EFB" w:rsidRPr="002851FC" w:rsidRDefault="00823DF0" w:rsidP="00C85D0F">
            <w:pPr>
              <w:pStyle w:val="EPName"/>
            </w:pPr>
            <w:r w:rsidRPr="002851FC">
              <w:t>Evropski parlament</w:t>
            </w:r>
          </w:p>
          <w:p w:rsidR="008F5EFB" w:rsidRPr="002851FC" w:rsidRDefault="00AE64A8" w:rsidP="00AE64A8">
            <w:pPr>
              <w:pStyle w:val="EPTerm"/>
            </w:pPr>
            <w:r w:rsidRPr="002851FC">
              <w:t>2019-2024</w:t>
            </w:r>
          </w:p>
        </w:tc>
        <w:tc>
          <w:tcPr>
            <w:tcW w:w="2268" w:type="dxa"/>
            <w:shd w:val="clear" w:color="auto" w:fill="auto"/>
          </w:tcPr>
          <w:p w:rsidR="008F5EFB" w:rsidRPr="002851FC" w:rsidRDefault="008F5EFB" w:rsidP="00C85D0F">
            <w:pPr>
              <w:pStyle w:val="EPLogo"/>
            </w:pPr>
            <w:r w:rsidRPr="002851FC">
              <w:rPr>
                <w:lang w:eastAsia="sl-SI"/>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E53167" w:rsidRPr="002851FC" w:rsidRDefault="00E53167" w:rsidP="00E53167">
      <w:pPr>
        <w:pStyle w:val="LineTop"/>
      </w:pPr>
    </w:p>
    <w:p w:rsidR="00E53167" w:rsidRPr="002851FC" w:rsidRDefault="00AE64A8" w:rsidP="00E53167">
      <w:pPr>
        <w:pStyle w:val="EPBody"/>
      </w:pPr>
      <w:r w:rsidRPr="002851FC">
        <w:rPr>
          <w:rStyle w:val="HideTWBInt"/>
        </w:rPr>
        <w:t>{LIBE}</w:t>
      </w:r>
      <w:r w:rsidRPr="002851FC">
        <w:t>Odbor za državljanske svoboščine, pravosodje in notranje zadeve</w:t>
      </w:r>
    </w:p>
    <w:p w:rsidR="00094DDA" w:rsidRPr="002851FC" w:rsidRDefault="00094DDA" w:rsidP="00094DDA">
      <w:pPr>
        <w:pStyle w:val="LineBottom"/>
      </w:pPr>
    </w:p>
    <w:p w:rsidR="00094DDA" w:rsidRPr="002851FC" w:rsidRDefault="00094DDA" w:rsidP="00094DDA">
      <w:pPr>
        <w:pStyle w:val="CoverReference"/>
      </w:pPr>
      <w:r w:rsidRPr="002851FC">
        <w:rPr>
          <w:rStyle w:val="HideTWBExt"/>
          <w:b w:val="0"/>
          <w:noProof w:val="0"/>
        </w:rPr>
        <w:t>&lt;NoDocSe&gt;</w:t>
      </w:r>
      <w:r w:rsidRPr="002851FC">
        <w:t>2020/2717(RSP)</w:t>
      </w:r>
      <w:r w:rsidRPr="002851FC">
        <w:rPr>
          <w:rStyle w:val="HideTWBExt"/>
          <w:b w:val="0"/>
          <w:noProof w:val="0"/>
        </w:rPr>
        <w:t>&lt;/NoDocSe&gt;</w:t>
      </w:r>
    </w:p>
    <w:p w:rsidR="00094DDA" w:rsidRPr="002851FC" w:rsidRDefault="00094DDA" w:rsidP="00094DDA">
      <w:pPr>
        <w:pStyle w:val="CoverDate"/>
      </w:pPr>
      <w:r w:rsidRPr="002851FC">
        <w:rPr>
          <w:rStyle w:val="HideTWBExt"/>
          <w:noProof w:val="0"/>
        </w:rPr>
        <w:t>&lt;Date&gt;</w:t>
      </w:r>
      <w:r w:rsidRPr="002851FC">
        <w:t>...</w:t>
      </w:r>
      <w:r w:rsidRPr="002851FC">
        <w:rPr>
          <w:rStyle w:val="HideTWBExt"/>
          <w:noProof w:val="0"/>
        </w:rPr>
        <w:t>&lt;/Date&gt;</w:t>
      </w:r>
    </w:p>
    <w:p w:rsidR="00814BC6" w:rsidRPr="002851FC" w:rsidRDefault="00814BC6">
      <w:pPr>
        <w:pStyle w:val="CoverDocType24a"/>
      </w:pPr>
      <w:r w:rsidRPr="002851FC">
        <w:rPr>
          <w:rStyle w:val="HideTWBExt"/>
          <w:b w:val="0"/>
          <w:noProof w:val="0"/>
        </w:rPr>
        <w:t>&lt;TitreType&gt;</w:t>
      </w:r>
      <w:r w:rsidRPr="002851FC">
        <w:t>OSNUTEK PREDLOGA RESOLUCIJE</w:t>
      </w:r>
      <w:r w:rsidRPr="002851FC">
        <w:rPr>
          <w:rStyle w:val="HideTWBExt"/>
          <w:b w:val="0"/>
          <w:noProof w:val="0"/>
        </w:rPr>
        <w:t>&lt;/TitreType&gt;</w:t>
      </w:r>
    </w:p>
    <w:p w:rsidR="00814BC6" w:rsidRPr="002851FC" w:rsidRDefault="00814BC6">
      <w:pPr>
        <w:pStyle w:val="CoverNormal12a"/>
      </w:pPr>
      <w:r w:rsidRPr="002851FC">
        <w:rPr>
          <w:rStyle w:val="HideTWBExt"/>
          <w:noProof w:val="0"/>
        </w:rPr>
        <w:t>&lt;TitreSuite&gt;</w:t>
      </w:r>
      <w:r w:rsidRPr="002851FC">
        <w:t>ob zaključku razprave o izjavi Komisije</w:t>
      </w:r>
      <w:r w:rsidRPr="002851FC">
        <w:rPr>
          <w:rStyle w:val="HideTWBExt"/>
          <w:noProof w:val="0"/>
        </w:rPr>
        <w:t>&lt;/TitreSuite&gt;</w:t>
      </w:r>
    </w:p>
    <w:p w:rsidR="00814BC6" w:rsidRPr="002851FC" w:rsidRDefault="00814BC6">
      <w:pPr>
        <w:pStyle w:val="CoverNormal12a"/>
      </w:pPr>
      <w:r w:rsidRPr="002851FC">
        <w:rPr>
          <w:rStyle w:val="HideTWBExt"/>
          <w:noProof w:val="0"/>
        </w:rPr>
        <w:t>&lt;TitreRecueil&gt;</w:t>
      </w:r>
      <w:r w:rsidRPr="002851FC">
        <w:t>v skladu s členom 132(2) Poslovnika</w:t>
      </w:r>
      <w:r w:rsidRPr="002851FC">
        <w:rPr>
          <w:rStyle w:val="HideTWBExt"/>
          <w:noProof w:val="0"/>
        </w:rPr>
        <w:t>&lt;/TitreRecueil&gt;</w:t>
      </w:r>
    </w:p>
    <w:p w:rsidR="00C23264" w:rsidRPr="002851FC" w:rsidRDefault="00C23264" w:rsidP="00C23264">
      <w:pPr>
        <w:pStyle w:val="CoverNormal"/>
      </w:pPr>
      <w:r w:rsidRPr="002851FC">
        <w:rPr>
          <w:rStyle w:val="HideTWBExt"/>
          <w:noProof w:val="0"/>
        </w:rPr>
        <w:t>&lt;Titre&gt;</w:t>
      </w:r>
      <w:r w:rsidRPr="002851FC">
        <w:t>o poročilu Komisije o oceni izvajanja Splošne uredbe o varstvu podatkov dve leti po začetku uporabe</w:t>
      </w:r>
      <w:r w:rsidRPr="002851FC">
        <w:rPr>
          <w:rStyle w:val="HideTWBExt"/>
          <w:noProof w:val="0"/>
        </w:rPr>
        <w:t>&lt;/Titre&gt;</w:t>
      </w:r>
    </w:p>
    <w:p w:rsidR="00C23264" w:rsidRPr="002851FC" w:rsidRDefault="00C23264" w:rsidP="00C23264">
      <w:pPr>
        <w:pStyle w:val="CoverNormal24a"/>
      </w:pPr>
      <w:r w:rsidRPr="002851FC">
        <w:rPr>
          <w:rStyle w:val="HideTWBExt"/>
          <w:noProof w:val="0"/>
        </w:rPr>
        <w:t>&lt;DocRef&gt;</w:t>
      </w:r>
      <w:r w:rsidRPr="002851FC">
        <w:t>(2020/2717(RSP))</w:t>
      </w:r>
      <w:r w:rsidRPr="002851FC">
        <w:rPr>
          <w:rStyle w:val="HideTWBExt"/>
          <w:noProof w:val="0"/>
        </w:rPr>
        <w:t>&lt;/DocRef&gt;</w:t>
      </w:r>
    </w:p>
    <w:p w:rsidR="002574AA" w:rsidRPr="002851FC" w:rsidRDefault="002574AA" w:rsidP="002574AA">
      <w:pPr>
        <w:pStyle w:val="CoverBold"/>
      </w:pPr>
      <w:r w:rsidRPr="002851FC">
        <w:rPr>
          <w:rStyle w:val="HideTWBExt"/>
          <w:b w:val="0"/>
          <w:noProof w:val="0"/>
        </w:rPr>
        <w:t>&lt;RepeatBlock-By&gt;&lt;Depute&gt;</w:t>
      </w:r>
      <w:r w:rsidRPr="002851FC">
        <w:t>Juan Fernando López Aguilar</w:t>
      </w:r>
      <w:r w:rsidRPr="002851FC">
        <w:rPr>
          <w:rStyle w:val="HideTWBExt"/>
          <w:b w:val="0"/>
          <w:noProof w:val="0"/>
          <w:color w:val="auto"/>
        </w:rPr>
        <w:t>&lt;/Depute&gt;</w:t>
      </w:r>
    </w:p>
    <w:p w:rsidR="002574AA" w:rsidRPr="002851FC" w:rsidRDefault="002574AA" w:rsidP="002574AA">
      <w:pPr>
        <w:pStyle w:val="CoverNormal"/>
      </w:pPr>
      <w:r w:rsidRPr="002851FC">
        <w:rPr>
          <w:rStyle w:val="HideTWBExt"/>
          <w:noProof w:val="0"/>
        </w:rPr>
        <w:t>&lt;Commission&gt;</w:t>
      </w:r>
      <w:r w:rsidRPr="002851FC">
        <w:rPr>
          <w:rStyle w:val="HideTWBInt"/>
        </w:rPr>
        <w:t>{LIBE}</w:t>
      </w:r>
      <w:r w:rsidRPr="002851FC">
        <w:t>v imenu Odbora za državljanske svoboščine, pravosodje in notranje zadeve</w:t>
      </w:r>
      <w:r w:rsidRPr="002851FC">
        <w:rPr>
          <w:rStyle w:val="HideTWBExt"/>
          <w:noProof w:val="0"/>
        </w:rPr>
        <w:t>&lt;/Commission&gt;</w:t>
      </w:r>
    </w:p>
    <w:p w:rsidR="002574AA" w:rsidRPr="002851FC" w:rsidRDefault="002574AA" w:rsidP="002574AA">
      <w:pPr>
        <w:pStyle w:val="CoverNormal"/>
      </w:pPr>
      <w:r w:rsidRPr="002851FC">
        <w:rPr>
          <w:rStyle w:val="HideTWBExt"/>
          <w:noProof w:val="0"/>
        </w:rPr>
        <w:t>&lt;/RepeatBlock-By&gt;</w:t>
      </w:r>
    </w:p>
    <w:p w:rsidR="00814BC6" w:rsidRPr="002851FC" w:rsidRDefault="00814BC6">
      <w:pPr>
        <w:pStyle w:val="NormalBold12a"/>
      </w:pPr>
      <w:r w:rsidRPr="002851FC">
        <w:br w:type="page"/>
      </w:r>
      <w:r w:rsidRPr="002851FC">
        <w:lastRenderedPageBreak/>
        <w:t>B9-0000/2020</w:t>
      </w:r>
    </w:p>
    <w:p w:rsidR="00C23264" w:rsidRPr="002851FC" w:rsidRDefault="00823DF0" w:rsidP="00C23264">
      <w:pPr>
        <w:pStyle w:val="NormalBold"/>
      </w:pPr>
      <w:r w:rsidRPr="002851FC">
        <w:t>R</w:t>
      </w:r>
      <w:r w:rsidR="00321A6D" w:rsidRPr="002851FC">
        <w:t xml:space="preserve">esolucija Evropskega parlamenta </w:t>
      </w:r>
      <w:r w:rsidRPr="002851FC">
        <w:t>o poročilu Komisije o oceni izvajanja Splošne uredbe o varstvu podatkov dve leti po začetku u</w:t>
      </w:r>
      <w:bookmarkStart w:id="0" w:name="_GoBack"/>
      <w:bookmarkEnd w:id="0"/>
      <w:r w:rsidRPr="002851FC">
        <w:t>porabe</w:t>
      </w:r>
    </w:p>
    <w:p w:rsidR="00C23264" w:rsidRPr="002851FC" w:rsidRDefault="00823DF0" w:rsidP="00DF7943">
      <w:pPr>
        <w:pStyle w:val="NormalBold"/>
      </w:pPr>
      <w:r w:rsidRPr="002851FC">
        <w:t>(2020/2717(RSP))</w:t>
      </w:r>
    </w:p>
    <w:p w:rsidR="00814BC6" w:rsidRPr="002851FC" w:rsidRDefault="00823DF0">
      <w:pPr>
        <w:pStyle w:val="EPComma"/>
      </w:pPr>
      <w:r w:rsidRPr="002851FC">
        <w:rPr>
          <w:i/>
        </w:rPr>
        <w:t>Evropski parlament</w:t>
      </w:r>
      <w:r w:rsidRPr="002851FC">
        <w:t>,</w:t>
      </w:r>
    </w:p>
    <w:p w:rsidR="00AE64A8" w:rsidRPr="002851FC" w:rsidRDefault="00814BC6" w:rsidP="00AE64A8">
      <w:pPr>
        <w:widowControl/>
        <w:ind w:left="567" w:hanging="567"/>
        <w:rPr>
          <w:szCs w:val="24"/>
        </w:rPr>
      </w:pPr>
      <w:r w:rsidRPr="002851FC">
        <w:t>–</w:t>
      </w:r>
      <w:r w:rsidRPr="002851FC">
        <w:tab/>
        <w:t>ob upoštevanju Uredbe (EU) 2016/679 Evropskega parlamenta in Sveta z dne 27. aprila 2016 o varstvu posameznikov pri obdelavi osebnih podatkov in o prostem pretoku takih podatkov ter o razveljavitvi Direktive 95/46/ES (Splošna uredba o varstvu podatkov)</w:t>
      </w:r>
      <w:r w:rsidR="00AE64A8" w:rsidRPr="002851FC">
        <w:rPr>
          <w:rStyle w:val="FootnoteReference"/>
        </w:rPr>
        <w:footnoteReference w:id="1"/>
      </w:r>
      <w:r w:rsidRPr="002851FC">
        <w:t xml:space="preserve">; </w:t>
      </w:r>
    </w:p>
    <w:p w:rsidR="00AE64A8" w:rsidRPr="002851FC" w:rsidRDefault="00AE64A8" w:rsidP="00AE64A8">
      <w:pPr>
        <w:widowControl/>
        <w:spacing w:before="240"/>
        <w:ind w:left="567" w:hanging="567"/>
        <w:rPr>
          <w:szCs w:val="24"/>
        </w:rPr>
      </w:pPr>
      <w:r w:rsidRPr="002851FC">
        <w:t>–</w:t>
      </w:r>
      <w:r w:rsidRPr="002851FC">
        <w:tab/>
        <w:t>ob upoštevanju izjave Komisije z dne 24. junija 2020 o Sporočilu Komisije Evropskemu parlamentu in Svetu o varstvu podatkov kot stebru krepitve vloge državljanov in pristopu EU k digitalnemu prehodu – dve leti uporabe splošne uredbe o varstvu podatkov</w:t>
      </w:r>
      <w:r w:rsidRPr="002851FC">
        <w:rPr>
          <w:rStyle w:val="FootnoteReference"/>
        </w:rPr>
        <w:footnoteReference w:id="2"/>
      </w:r>
      <w:r w:rsidRPr="002851FC">
        <w:t xml:space="preserve">; </w:t>
      </w:r>
    </w:p>
    <w:p w:rsidR="00AE64A8" w:rsidRPr="002851FC" w:rsidRDefault="00AE64A8" w:rsidP="00AE64A8">
      <w:pPr>
        <w:widowControl/>
        <w:spacing w:before="240"/>
        <w:ind w:left="567" w:hanging="567"/>
        <w:rPr>
          <w:szCs w:val="24"/>
        </w:rPr>
      </w:pPr>
      <w:r w:rsidRPr="002851FC">
        <w:t>–</w:t>
      </w:r>
      <w:r w:rsidRPr="002851FC">
        <w:tab/>
        <w:t>ob upoštevanju Sporočila Komisije Evropskemu parlamentu in Svetu z dne 24. junija 2020 o varstvu podatkov kot stebru krepitve vloge državljanov in pristopu EU k digitalnemu prehodu – dve leti uporabe splošne uredbe o varstvu podatkov</w:t>
      </w:r>
      <w:r w:rsidRPr="002851FC">
        <w:rPr>
          <w:rStyle w:val="FootnoteReference"/>
        </w:rPr>
        <w:footnoteReference w:id="3"/>
      </w:r>
      <w:r w:rsidRPr="002851FC">
        <w:t xml:space="preserve">; </w:t>
      </w:r>
    </w:p>
    <w:p w:rsidR="00ED22B8" w:rsidRPr="002851FC" w:rsidRDefault="00ED22B8" w:rsidP="00ED22B8">
      <w:pPr>
        <w:pStyle w:val="NormalHanging12a"/>
      </w:pPr>
      <w:r w:rsidRPr="002851FC">
        <w:t>–</w:t>
      </w:r>
      <w:r w:rsidRPr="002851FC">
        <w:tab/>
        <w:t>ob upoštevanju člena 132(2) Poslovnika,</w:t>
      </w:r>
    </w:p>
    <w:p w:rsidR="00780A7D" w:rsidRPr="002851FC" w:rsidRDefault="00780A7D" w:rsidP="00780A7D">
      <w:pPr>
        <w:pStyle w:val="NormalHanging12a"/>
      </w:pPr>
      <w:r w:rsidRPr="002851FC">
        <w:t>–</w:t>
      </w:r>
      <w:r w:rsidRPr="002851FC">
        <w:tab/>
        <w:t>ob upoštevanju predloga resolucije Odbora za državljanske svoboščine, pravosodje in notranje zadeve,</w:t>
      </w:r>
    </w:p>
    <w:p w:rsidR="00AE64A8" w:rsidRPr="002851FC" w:rsidRDefault="00814BC6" w:rsidP="00AE64A8">
      <w:pPr>
        <w:pStyle w:val="NormalHanging12a"/>
        <w:ind w:hanging="566"/>
      </w:pPr>
      <w:r w:rsidRPr="002851FC">
        <w:t>A.</w:t>
      </w:r>
      <w:r w:rsidRPr="002851FC">
        <w:tab/>
        <w:t>ker se splošna uredba o varstvu podatkov uporablja od 25. maja 2018; ker so vse države članice razen Slovenije sprejele novo zakonodajo ali prilagodile svojo nacionalno zakonodajo o varstvu podatkov;</w:t>
      </w:r>
    </w:p>
    <w:p w:rsidR="00AE64A8" w:rsidRPr="002851FC" w:rsidRDefault="00AE64A8" w:rsidP="00AE64A8">
      <w:pPr>
        <w:pStyle w:val="NormalHanging12a"/>
        <w:ind w:hanging="566"/>
      </w:pPr>
      <w:r w:rsidRPr="002851FC">
        <w:t>B.</w:t>
      </w:r>
      <w:r w:rsidRPr="002851FC">
        <w:tab/>
        <w:t>ker so nadzorni organi od začetka uporabe splošne uredbe o varstvu podatkov prejeli veliko več pritožb; ker to kaže, da se posamezniki, na katere se nanašajo osebni podatki, bolj zavedajo svojih pravic in želijo zaščititi svoje osebne podatke v skladu s splošno uredbo o varstvu podatkov; ker to kaže tudi na to, da še vedno prihaja do velikega števila nezakonitih postopkov obdelave podatkov;</w:t>
      </w:r>
    </w:p>
    <w:p w:rsidR="00AE64A8" w:rsidRPr="002851FC" w:rsidRDefault="00AE64A8" w:rsidP="00AE64A8">
      <w:pPr>
        <w:pStyle w:val="NormalHanging12a"/>
        <w:ind w:left="1" w:firstLine="0"/>
        <w:rPr>
          <w:b/>
          <w:i/>
        </w:rPr>
      </w:pPr>
      <w:r w:rsidRPr="002851FC">
        <w:rPr>
          <w:b/>
          <w:i/>
        </w:rPr>
        <w:t>SPLOŠNE UGOTOVITVE</w:t>
      </w:r>
    </w:p>
    <w:p w:rsidR="00AE64A8" w:rsidRPr="002851FC" w:rsidRDefault="00AE64A8" w:rsidP="00AE64A8">
      <w:pPr>
        <w:pStyle w:val="NormalHanging12a"/>
        <w:ind w:hanging="566"/>
      </w:pPr>
      <w:r w:rsidRPr="002851FC">
        <w:t>1.</w:t>
      </w:r>
      <w:r w:rsidRPr="002851FC">
        <w:tab/>
        <w:t>pozdravlja dejstvo, da je splošna uredba o varstvu podatkov postala svetovni standard za varstvo osebnih podatkov in dejavnik zbliževanja pri razvoju pravil; pozdravlja dejstvo, da je splošna uredba o varstvu podatkov EU postavila v ospredje mednarodnih razprav o varstvu podatkov in da so številne tretje države svojo zakonodajo o varstvu podatkov uskladile s splošno uredbo o varstvu podatkov;</w:t>
      </w:r>
    </w:p>
    <w:p w:rsidR="00AE64A8" w:rsidRPr="002851FC" w:rsidRDefault="00AE64A8" w:rsidP="00AE64A8">
      <w:pPr>
        <w:pStyle w:val="NormalHanging12a"/>
        <w:ind w:hanging="566"/>
      </w:pPr>
      <w:r w:rsidRPr="002851FC">
        <w:t>2.</w:t>
      </w:r>
      <w:r w:rsidRPr="002851FC">
        <w:tab/>
        <w:t>ugotavlja, da je splošna uredba o varstvu podatkov dve leti po začetku uporabe na splošno uspešna, in se strinja z Evropsko komisijo, da v tej fazi zakonodaje ni treba posodobiti ali pregledati;</w:t>
      </w:r>
    </w:p>
    <w:p w:rsidR="00AE64A8" w:rsidRPr="002851FC" w:rsidRDefault="00AE64A8" w:rsidP="00AE64A8">
      <w:pPr>
        <w:pStyle w:val="NormalHanging12a"/>
        <w:ind w:hanging="566"/>
      </w:pPr>
      <w:r w:rsidRPr="002851FC">
        <w:t>3.</w:t>
      </w:r>
      <w:r w:rsidRPr="002851FC">
        <w:tab/>
        <w:t>priznava, da se je treba v prihodnjih letih še naprej osredotočati na izboljšanje izvajanja in ukrepe za okrepitev splošne uredbe o varstvu podatkov;</w:t>
      </w:r>
    </w:p>
    <w:p w:rsidR="00AE64A8" w:rsidRPr="002851FC" w:rsidRDefault="00AE64A8" w:rsidP="00AE64A8">
      <w:pPr>
        <w:pStyle w:val="NormalHanging12a"/>
        <w:ind w:hanging="566"/>
      </w:pPr>
      <w:r w:rsidRPr="002851FC">
        <w:t>4.</w:t>
      </w:r>
      <w:r w:rsidRPr="002851FC">
        <w:tab/>
        <w:t>priznava potrebo po doslednem in učinkovitem izvrševanju splošne uredbe o varstvu podatkov v zvezi z velikimi digitalnimi platformami in integriranimi podjetji, tudi na področjih, kot sta spletno oglaševanje in mikrociljanje;</w:t>
      </w:r>
    </w:p>
    <w:p w:rsidR="00AE64A8" w:rsidRPr="002851FC" w:rsidRDefault="00AE64A8" w:rsidP="00AE64A8">
      <w:pPr>
        <w:spacing w:after="240"/>
        <w:rPr>
          <w:rFonts w:eastAsia="DejaVu Sans"/>
          <w:kern w:val="2"/>
        </w:rPr>
      </w:pPr>
      <w:r w:rsidRPr="002851FC">
        <w:rPr>
          <w:b/>
          <w:i/>
        </w:rPr>
        <w:t>PRAVNA PODLAGA ZA OBDELAVO</w:t>
      </w:r>
    </w:p>
    <w:p w:rsidR="00AE64A8" w:rsidRPr="002851FC" w:rsidRDefault="00AE64A8" w:rsidP="00AE64A8">
      <w:pPr>
        <w:pStyle w:val="NormalHanging12a"/>
        <w:ind w:hanging="566"/>
      </w:pPr>
      <w:r w:rsidRPr="002851FC">
        <w:t>5.</w:t>
      </w:r>
      <w:r w:rsidRPr="002851FC">
        <w:tab/>
        <w:t>opozarja, da od začetka uporabe splošne uredbe o varstvu podatkov „privolitev“ pomeni vsako prostovoljno, specifično, ozaveščeno in nedvoumno izraženo voljo posameznika, na katerega se nanašajo osebni podatki, ter poudarja, da to velja tudi za direktivo o zasebnosti in elektronskih komunikacijah; ugotavlja, da izvajanje veljavne privolitve še vedno ogrožajo uporaba temnih vzorcev, sledenje za komercialne namene in druge neetične prakse; je zaskrbljen, ker so posamezniki pogosto pod ekonomskim pritiskom, da dajo privolitev v zameno za popuste ali druge komercialne ponudbe, ali pa so prisiljeni v privolitev, ker je dostop do storitve pogojen z določbami o vezavi, kar je v nasprotju s členom 7 splošne uredbe o varstvu podatkov;</w:t>
      </w:r>
    </w:p>
    <w:p w:rsidR="00AE64A8" w:rsidRPr="002851FC" w:rsidRDefault="00AE64A8" w:rsidP="00AE64A8">
      <w:pPr>
        <w:spacing w:after="240"/>
        <w:rPr>
          <w:rFonts w:eastAsia="DejaVu Sans"/>
          <w:b/>
          <w:i/>
          <w:kern w:val="2"/>
        </w:rPr>
      </w:pPr>
      <w:r w:rsidRPr="002851FC">
        <w:rPr>
          <w:b/>
          <w:i/>
        </w:rPr>
        <w:t>PRAVICE POSAMEZNIKA, NA KATEREGA SE NANAŠAJO OSEBNI PODATKI</w:t>
      </w:r>
    </w:p>
    <w:p w:rsidR="00AE64A8" w:rsidRPr="002851FC" w:rsidRDefault="00AE64A8" w:rsidP="00AE64A8">
      <w:pPr>
        <w:pStyle w:val="NormalHanging12a"/>
        <w:ind w:hanging="566"/>
      </w:pPr>
      <w:r w:rsidRPr="002851FC">
        <w:t>6.</w:t>
      </w:r>
      <w:r w:rsidRPr="002851FC">
        <w:tab/>
        <w:t>poudarja, da je treba olajšati uveljavljanje pravic posameznikov, ki jih zagotavlja splošna uredba o varstvu podatkov, kot so prenosljivost podatkov ali pravice v okviru avtomatizirane obdelave, vključno z oblikovanjem profilov; poziva Evropski odbor za varstvo podatkov, naj izda dodatne smernice o avtomatiziranem sprejemanju odločitev;</w:t>
      </w:r>
    </w:p>
    <w:p w:rsidR="00AE64A8" w:rsidRPr="002851FC" w:rsidRDefault="00AE64A8" w:rsidP="00AE64A8">
      <w:pPr>
        <w:pStyle w:val="NormalHanging12a"/>
        <w:ind w:left="1" w:firstLine="0"/>
      </w:pPr>
      <w:r w:rsidRPr="002851FC">
        <w:rPr>
          <w:b/>
          <w:i/>
        </w:rPr>
        <w:t>MALA PODJETJA IN ORGANIZACIJE</w:t>
      </w:r>
    </w:p>
    <w:p w:rsidR="00AE64A8" w:rsidRPr="002851FC" w:rsidRDefault="00AE64A8" w:rsidP="00AE64A8">
      <w:pPr>
        <w:pStyle w:val="NormalHanging12a"/>
        <w:ind w:hanging="566"/>
      </w:pPr>
      <w:r w:rsidRPr="002851FC">
        <w:t>7.</w:t>
      </w:r>
      <w:r w:rsidRPr="002851FC">
        <w:tab/>
        <w:t>ugotavlja, da nekateri deležniki poročajo, da je uporaba splošne uredbe o varstvu podatkov izziv zlasti za mala in srednja podjetja;</w:t>
      </w:r>
    </w:p>
    <w:p w:rsidR="00AE64A8" w:rsidRPr="002851FC" w:rsidRDefault="00AE64A8" w:rsidP="00AE64A8">
      <w:pPr>
        <w:pStyle w:val="NormalHanging12a"/>
        <w:ind w:hanging="566"/>
      </w:pPr>
      <w:r w:rsidRPr="002851FC">
        <w:t>8.</w:t>
      </w:r>
      <w:r w:rsidRPr="002851FC">
        <w:tab/>
        <w:t>poudarja, da za mala in srednja podjetja ne bi smelo biti odstopanj; poziva Evropski odbor za varstvo podatkov, naj zagotovi praktična orodja za lažje izvajanje splošne uredbe o varstvu podatkov v malih in srednjih podjetjih, kjer potekajo dejavnosti obdelave z majhnim tveganjem;</w:t>
      </w:r>
    </w:p>
    <w:p w:rsidR="00AE64A8" w:rsidRPr="002851FC" w:rsidRDefault="00AE64A8" w:rsidP="00AE64A8">
      <w:pPr>
        <w:pStyle w:val="NormalHanging12a"/>
        <w:spacing w:before="240"/>
        <w:ind w:left="1" w:firstLine="0"/>
      </w:pPr>
      <w:r w:rsidRPr="002851FC">
        <w:rPr>
          <w:b/>
          <w:i/>
        </w:rPr>
        <w:t>IZVRŠEVANJE</w:t>
      </w:r>
    </w:p>
    <w:p w:rsidR="00AE64A8" w:rsidRPr="002851FC" w:rsidRDefault="00AE64A8" w:rsidP="00AE64A8">
      <w:pPr>
        <w:pStyle w:val="NormalHanging12a"/>
        <w:ind w:hanging="566"/>
      </w:pPr>
      <w:r w:rsidRPr="002851FC">
        <w:t>9.</w:t>
      </w:r>
      <w:r w:rsidRPr="002851FC">
        <w:tab/>
        <w:t>je zaskrbljen, ker nacionalni organi za varstvo podatkov splošne uredbe o varstvu podatkov ne izvršujejo enotno;</w:t>
      </w:r>
    </w:p>
    <w:p w:rsidR="00AE64A8" w:rsidRPr="002851FC" w:rsidRDefault="00AE64A8" w:rsidP="00AE64A8">
      <w:pPr>
        <w:pStyle w:val="NormalHanging12a"/>
        <w:ind w:hanging="566"/>
      </w:pPr>
      <w:r w:rsidRPr="002851FC">
        <w:t>10.</w:t>
      </w:r>
      <w:r w:rsidRPr="002851FC">
        <w:tab/>
        <w:t>ugotavlja, da kljub nekaj znatnim globam, izrečenim za hude kršitve, možnosti iz splošne uredbe o varstvu podatkov v zvezi s sankcijami od začetka njene uporabe še zdaleč niso v celoti izkoriščene in da se sankcije, ki se uporabljajo v državah članicah, po strogosti razlikujejo;</w:t>
      </w:r>
    </w:p>
    <w:p w:rsidR="00AE64A8" w:rsidRPr="002851FC" w:rsidRDefault="00AE64A8" w:rsidP="00AE64A8">
      <w:pPr>
        <w:pStyle w:val="NormalHanging12a"/>
        <w:ind w:hanging="566"/>
      </w:pPr>
      <w:r w:rsidRPr="002851FC">
        <w:t>11.</w:t>
      </w:r>
      <w:r w:rsidRPr="002851FC">
        <w:tab/>
        <w:t>je zaskrbljen zaradi trajanja preiskav v primeru nekaterih organov za varstvo podatkov in zaradi dejstva, da to negativno vpliva na učinkovito izvrševanje in zaupanje državljanov; poziva organe za varstvo podatkov, naj pospešijo reševanje primerov in uporabijo vse mehanizme, ki so na voljo v skladu s splošno uredbo o varstvu podatkov, vključno z začasnimi ali dokončnimi omejitvami ali prepovedjo obdelave;</w:t>
      </w:r>
    </w:p>
    <w:p w:rsidR="00AE64A8" w:rsidRPr="002851FC" w:rsidRDefault="00AE64A8" w:rsidP="00AE64A8">
      <w:pPr>
        <w:pStyle w:val="NormalHanging12a"/>
        <w:ind w:hanging="566"/>
      </w:pPr>
      <w:r w:rsidRPr="002851FC">
        <w:t>12.</w:t>
      </w:r>
      <w:r w:rsidRPr="002851FC">
        <w:tab/>
        <w:t>obžaluje, da so organi za varstvo podatkov v 21 državah članicah izrecno navedli, da nimajo dovolj človeških, tehničnih in finančnih virov, da bi lahko učinkovito opravljali svoje naloge in izvajali pooblastila; poziva Evropsko komisijo, naj sprejme ustrezne ukrepe, vključno s takojšnjim začetkom postopkov za ugotavljanje kršitev proti tistim državam članicam, ki te obveznosti niso izpolnile;</w:t>
      </w:r>
    </w:p>
    <w:p w:rsidR="00AE64A8" w:rsidRPr="002851FC" w:rsidRDefault="00AE64A8" w:rsidP="00AE64A8">
      <w:pPr>
        <w:pStyle w:val="NormalHanging12a"/>
        <w:ind w:hanging="566"/>
      </w:pPr>
      <w:r w:rsidRPr="002851FC">
        <w:t>13.</w:t>
      </w:r>
      <w:r w:rsidRPr="002851FC">
        <w:tab/>
        <w:t>obžaluje, da se je v zvezi s kolektivnimi pravnimi sredstvi večina držav članic odločila, da ne bo izvajala člena 80(2) splošne uredbe o varstvu podatkov; poziva vse države članice, naj uporabljajo člen 80(2);</w:t>
      </w:r>
    </w:p>
    <w:p w:rsidR="00AE64A8" w:rsidRPr="002851FC" w:rsidRDefault="00AE64A8" w:rsidP="00AE64A8">
      <w:pPr>
        <w:pStyle w:val="NormalHanging12a"/>
        <w:ind w:left="1" w:firstLine="0"/>
      </w:pPr>
      <w:r w:rsidRPr="002851FC">
        <w:rPr>
          <w:b/>
          <w:i/>
        </w:rPr>
        <w:t>SODELOVANJE IN SKLADNOST</w:t>
      </w:r>
    </w:p>
    <w:p w:rsidR="00AE64A8" w:rsidRPr="002851FC" w:rsidRDefault="00AE64A8" w:rsidP="00AE64A8">
      <w:pPr>
        <w:pStyle w:val="NormalHanging12a"/>
        <w:ind w:hanging="566"/>
      </w:pPr>
      <w:r w:rsidRPr="002851FC">
        <w:t>14.</w:t>
      </w:r>
      <w:r w:rsidRPr="002851FC">
        <w:tab/>
        <w:t>poudarja, da je slabo izvrševanje še posebej očitno pri čezmejnih pritožbah, tj. mehanizmih za sodelovanje in skladnost; poziva Evropski odbor za varstvo podatkov, naj si bolj prizadeva za zagotovitev pravilne uporabe členov 60 in 63 splošne uredbe o varstvu podatkov ter naj uporablja nujni postopek iz njenega člena 66;</w:t>
      </w:r>
    </w:p>
    <w:p w:rsidR="00AE64A8" w:rsidRPr="002851FC" w:rsidRDefault="00AE64A8" w:rsidP="00AE64A8">
      <w:pPr>
        <w:pStyle w:val="NormalHanging12a"/>
        <w:ind w:hanging="566"/>
      </w:pPr>
      <w:r w:rsidRPr="002851FC">
        <w:t>15.</w:t>
      </w:r>
      <w:r w:rsidRPr="002851FC">
        <w:tab/>
        <w:t>ugotavlja, da so med nacionalnimi smernicami in smernicami Evropskega odbora za varstvo podatkov nedoslednosti;</w:t>
      </w:r>
    </w:p>
    <w:p w:rsidR="00AE64A8" w:rsidRPr="002851FC" w:rsidRDefault="00AE64A8" w:rsidP="00AE64A8">
      <w:pPr>
        <w:pStyle w:val="NormalHanging12a"/>
        <w:ind w:hanging="566"/>
      </w:pPr>
      <w:r w:rsidRPr="002851FC">
        <w:t>16.</w:t>
      </w:r>
      <w:r w:rsidRPr="002851FC">
        <w:tab/>
        <w:t>poziva vse države članice, naj zagotovijo posebno podporo posameznikom, na katere se nanašajo osebni podatki, ki sodelujejo pri čezmejnih pritožbah, ali organizacijam, ki jih zastopajo; poudarja, da lahko visoki postopkovni stroški, povezani z uveljavljanjem pravic posameznikov, na katere se nanašajo osebni podatki, delujejo odvračilno; poziva države članice, naj te stroške omejijo v skladu s svojim nacionalnim upravnim postopkovnim pravom;</w:t>
      </w:r>
    </w:p>
    <w:p w:rsidR="00AE64A8" w:rsidRPr="002851FC" w:rsidRDefault="00AE64A8" w:rsidP="00AE64A8">
      <w:pPr>
        <w:pStyle w:val="NormalHanging12a"/>
        <w:ind w:left="1" w:firstLine="0"/>
      </w:pPr>
      <w:r w:rsidRPr="002851FC">
        <w:rPr>
          <w:b/>
          <w:i/>
        </w:rPr>
        <w:t>RAZDROBLJENOST IZVAJANJA SPLOŠNE UREDBE O VARSTVU PODATKOV</w:t>
      </w:r>
    </w:p>
    <w:p w:rsidR="00AE64A8" w:rsidRPr="002851FC" w:rsidRDefault="00AE64A8" w:rsidP="00AE64A8">
      <w:pPr>
        <w:pStyle w:val="NormalHanging12a"/>
        <w:ind w:hanging="566"/>
      </w:pPr>
      <w:r w:rsidRPr="002851FC">
        <w:t>17.</w:t>
      </w:r>
      <w:r w:rsidRPr="002851FC">
        <w:tab/>
        <w:t>ugotavlja določeno stopnjo razdrobljenosti, ki izhaja predvsem iz obsežne uporabe določil o neobvezni natančnejši ureditvi; izraža zaskrbljenost, da je zaradi načina, kako države članice izvajajo odstopanja od natančnejših ureditev (npr. starost otrok za privolitev), ogroženo varstvo iz splošne uredbe o varstvu podatkov;</w:t>
      </w:r>
    </w:p>
    <w:p w:rsidR="00AE64A8" w:rsidRPr="002851FC" w:rsidRDefault="00AE64A8" w:rsidP="00AE64A8">
      <w:pPr>
        <w:pStyle w:val="NormalHanging12a"/>
        <w:ind w:left="1" w:firstLine="0"/>
      </w:pPr>
      <w:r w:rsidRPr="002851FC">
        <w:rPr>
          <w:b/>
          <w:i/>
        </w:rPr>
        <w:t>VGRAJENO VARSTVO PODATKOV</w:t>
      </w:r>
    </w:p>
    <w:p w:rsidR="00AE64A8" w:rsidRPr="002851FC" w:rsidRDefault="00AE64A8" w:rsidP="00AE64A8">
      <w:pPr>
        <w:pStyle w:val="NormalHanging12a"/>
        <w:ind w:hanging="566"/>
      </w:pPr>
      <w:r w:rsidRPr="002851FC">
        <w:t>18.</w:t>
      </w:r>
      <w:r w:rsidRPr="002851FC">
        <w:tab/>
        <w:t>poziva nadzorne organe, naj ocenijo izvajanje člena 25 o vgrajenem in privzetem varstvu podatkov, zlasti glede izvajanja načel najmanjšega obsega podatkov in omejitve namena v skladu s smernicami Evropskega odbora za varstvo podatkov;</w:t>
      </w:r>
    </w:p>
    <w:p w:rsidR="00AE64A8" w:rsidRPr="002851FC" w:rsidRDefault="00AE64A8" w:rsidP="00AE64A8">
      <w:pPr>
        <w:pStyle w:val="NormalHanging12a"/>
        <w:ind w:left="1" w:firstLine="0"/>
      </w:pPr>
      <w:r w:rsidRPr="002851FC">
        <w:rPr>
          <w:b/>
          <w:i/>
        </w:rPr>
        <w:t>SMERNICE</w:t>
      </w:r>
    </w:p>
    <w:p w:rsidR="00AE64A8" w:rsidRPr="002851FC" w:rsidRDefault="00AE64A8" w:rsidP="00AE64A8">
      <w:pPr>
        <w:pStyle w:val="NormalHanging12a"/>
        <w:ind w:hanging="566"/>
      </w:pPr>
      <w:r w:rsidRPr="002851FC">
        <w:t>19.</w:t>
      </w:r>
      <w:r w:rsidRPr="002851FC">
        <w:tab/>
        <w:t>poziva Evropski odbor za varstvo podatkov, naj oblikuje standarde in smernice, ki bodo pripomogli k izvajanju zahtev glede varstva podatkov v praksi, med drugim za ocene učinka v zvezi z varstvom podatkov (člen 35), informacije posameznikom, na katere se nanašajo osebni podatki (členi 12–14), uveljavljanje pravic posameznikov, na katere se nanašajo osebni podatki (členi 15–18, 20–21), in evidence dejavnosti obdelave (člen 30);</w:t>
      </w:r>
    </w:p>
    <w:p w:rsidR="00AE64A8" w:rsidRPr="002851FC" w:rsidRDefault="00AE64A8" w:rsidP="00AE64A8">
      <w:pPr>
        <w:pStyle w:val="NormalHanging12a"/>
        <w:ind w:left="1" w:firstLine="0"/>
      </w:pPr>
      <w:r w:rsidRPr="002851FC">
        <w:rPr>
          <w:b/>
          <w:i/>
        </w:rPr>
        <w:t>MEDNARODNI PRETOK OSEBNIH PODATKOV IN SODELOVANJE</w:t>
      </w:r>
    </w:p>
    <w:p w:rsidR="00AE64A8" w:rsidRPr="002851FC" w:rsidRDefault="00AE64A8" w:rsidP="00AE64A8">
      <w:pPr>
        <w:pStyle w:val="NormalHanging12a"/>
        <w:ind w:hanging="566"/>
      </w:pPr>
      <w:r w:rsidRPr="002851FC">
        <w:t>20.</w:t>
      </w:r>
      <w:r w:rsidRPr="002851FC">
        <w:tab/>
        <w:t>poudarja, da je pomembno omogočiti prost pretok osebnih podatkov na mednarodni ravni, ne da bi pri tem znižali raven varstva, ki jo zagotavlja splošna uredba o varstvu podatkov; podpira prakso Evropske komisije, da varstvo podatkov in pretok osebnih podatkov obravnava ločeno od trgovinskih sporazumov;</w:t>
      </w:r>
    </w:p>
    <w:p w:rsidR="00AE64A8" w:rsidRPr="002851FC" w:rsidRDefault="00AE64A8" w:rsidP="00AE64A8">
      <w:pPr>
        <w:pStyle w:val="NormalHanging12a"/>
        <w:ind w:hanging="566"/>
      </w:pPr>
      <w:r w:rsidRPr="002851FC">
        <w:t>21.</w:t>
      </w:r>
      <w:r w:rsidRPr="002851FC">
        <w:tab/>
        <w:t>poudarja, da sklepi o ustreznosti ne bi smeli biti politične, temveč pravne odločitve;</w:t>
      </w:r>
    </w:p>
    <w:p w:rsidR="00AE64A8" w:rsidRPr="002851FC" w:rsidRDefault="00AE64A8" w:rsidP="00AE64A8">
      <w:pPr>
        <w:pStyle w:val="NormalHanging12a"/>
        <w:ind w:hanging="566"/>
      </w:pPr>
      <w:r w:rsidRPr="002851FC">
        <w:t>22.</w:t>
      </w:r>
      <w:r w:rsidRPr="002851FC">
        <w:tab/>
        <w:t>poziva Evropsko komisijo, naj objavi sklop meril, ki se uporabljajo pri določanju, ali tretja država zagotavlja raven varstva, ki je v osnovi enakovredna tisti, zagotovljeni v EU, zlasti glede dostopa do pravnih sredstev in vladnega dostopa do podatkov;</w:t>
      </w:r>
    </w:p>
    <w:p w:rsidR="00AE64A8" w:rsidRPr="002851FC" w:rsidRDefault="00AE64A8" w:rsidP="00AE64A8">
      <w:pPr>
        <w:pStyle w:val="NormalHanging12a"/>
        <w:ind w:hanging="566"/>
      </w:pPr>
      <w:r w:rsidRPr="002851FC">
        <w:t>23.</w:t>
      </w:r>
      <w:r w:rsidRPr="002851FC">
        <w:tab/>
        <w:t>ponovno poudarja, da programi množičnega nadzora, ki zajemajo množično zbiranje podatkov, onemogočajo ugotovitve o ustreznosti;</w:t>
      </w:r>
    </w:p>
    <w:p w:rsidR="00AE64A8" w:rsidRPr="002851FC" w:rsidRDefault="00AE64A8" w:rsidP="00AE64A8">
      <w:pPr>
        <w:pStyle w:val="NormalHanging12a"/>
        <w:ind w:hanging="566"/>
      </w:pPr>
      <w:r w:rsidRPr="002851FC">
        <w:t>24.</w:t>
      </w:r>
      <w:r w:rsidRPr="002851FC">
        <w:tab/>
        <w:t>poziva organe za varstvo podatkov, naj v skladu s sodno prakso Sodišča Evropske unije sistematično ocenjujejo, ali se pravila o varstvu podatkov v tretjih državah uporabljajo v praksi;</w:t>
      </w:r>
    </w:p>
    <w:p w:rsidR="00AE64A8" w:rsidRPr="002851FC" w:rsidRDefault="00AE64A8" w:rsidP="00AE64A8">
      <w:pPr>
        <w:pStyle w:val="NormalHanging12a"/>
        <w:ind w:hanging="566"/>
      </w:pPr>
      <w:r w:rsidRPr="002851FC">
        <w:t>25.</w:t>
      </w:r>
      <w:r w:rsidRPr="002851FC">
        <w:tab/>
        <w:t>poziva Komisijo, naj brez nepotrebnega odlašanja objavi pregled sklepov o ustreznosti, sprejetih v skladu z direktivo iz leta 1995;</w:t>
      </w:r>
    </w:p>
    <w:p w:rsidR="00AE64A8" w:rsidRPr="002851FC" w:rsidRDefault="00AE64A8" w:rsidP="00AE64A8">
      <w:pPr>
        <w:pStyle w:val="NormalHanging12a"/>
        <w:ind w:left="1" w:firstLine="0"/>
      </w:pPr>
      <w:r w:rsidRPr="002851FC">
        <w:rPr>
          <w:b/>
          <w:i/>
        </w:rPr>
        <w:t>PRIHODNJA ZAKONODAJA UNIJE</w:t>
      </w:r>
    </w:p>
    <w:p w:rsidR="00AE64A8" w:rsidRPr="002851FC" w:rsidRDefault="00AE64A8" w:rsidP="00AE64A8">
      <w:pPr>
        <w:pStyle w:val="NormalHanging12a"/>
        <w:ind w:hanging="566"/>
      </w:pPr>
      <w:r w:rsidRPr="002851FC">
        <w:t>26.</w:t>
      </w:r>
      <w:r w:rsidRPr="002851FC">
        <w:tab/>
        <w:t>opominja Komisijo, da mora zagotoviti, da bodo ukrepi, predstavljeni v prihodnjih zakonodajnih predlogih, zlasti o upravljanju podatkov, aktu o podatkih, aktu o digitalnih storitvah in umetni inteligenci, skladni s Splošno uredbo o varstvu podatkov (EU) 2016/679 in Direktivo (EU) 2016/680;</w:t>
      </w:r>
    </w:p>
    <w:p w:rsidR="00AE64A8" w:rsidRPr="002851FC" w:rsidRDefault="00AE64A8" w:rsidP="00AE64A8">
      <w:pPr>
        <w:pStyle w:val="NormalHanging12a"/>
        <w:ind w:left="1" w:firstLine="0"/>
      </w:pPr>
      <w:r w:rsidRPr="002851FC">
        <w:rPr>
          <w:b/>
          <w:i/>
        </w:rPr>
        <w:t>UREDITEV E-ZASEBNOSTI</w:t>
      </w:r>
    </w:p>
    <w:p w:rsidR="00AE64A8" w:rsidRPr="002851FC" w:rsidRDefault="00AE64A8" w:rsidP="00AE64A8">
      <w:pPr>
        <w:pStyle w:val="NormalHanging12a"/>
        <w:ind w:hanging="566"/>
      </w:pPr>
      <w:r w:rsidRPr="002851FC">
        <w:t>27.</w:t>
      </w:r>
      <w:r w:rsidRPr="002851FC">
        <w:tab/>
        <w:t>izraža globoko zaskrbljenost, ker države članice zaradi sprememb, uvedenih s splošno uredbo o varstvu podatkov, ne izvajajo direktive o zasebnosti in elektronskih komunikacijah; poziva Komisijo, naj pospeši ocenjevanje in začne postopke za ugotavljanje kršitev proti tistim državam članicam, ki niso ustrezno prenesle direktive o zasebnosti in elektronskih komunikacijah;</w:t>
      </w:r>
    </w:p>
    <w:p w:rsidR="00814BC6" w:rsidRPr="002851FC" w:rsidRDefault="00AE64A8">
      <w:pPr>
        <w:pStyle w:val="NormalHanging12a"/>
      </w:pPr>
      <w:r w:rsidRPr="002851FC">
        <w:t>28.</w:t>
      </w:r>
      <w:r w:rsidRPr="002851FC">
        <w:tab/>
        <w:t>naroči svojemu predsedni</w:t>
      </w:r>
      <w:r w:rsidR="00321A6D" w:rsidRPr="002851FC">
        <w:t xml:space="preserve">ku, naj to resolucijo posreduje </w:t>
      </w:r>
      <w:r w:rsidRPr="002851FC">
        <w:t>Komisiji, Evropskemu svetu, vladam in parlamentom držav članic, Evropskemu odboru za varstvo podatkov in Evropskemu nadzorniku za varstvo podatkov.</w:t>
      </w:r>
    </w:p>
    <w:p w:rsidR="00866D70" w:rsidRPr="002851FC" w:rsidRDefault="00866D70" w:rsidP="00866D70"/>
    <w:sectPr w:rsidR="00866D70" w:rsidRPr="002851FC" w:rsidSect="00910F7E">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DF0" w:rsidRPr="00823DF0" w:rsidRDefault="00823DF0">
      <w:r w:rsidRPr="00823DF0">
        <w:separator/>
      </w:r>
    </w:p>
  </w:endnote>
  <w:endnote w:type="continuationSeparator" w:id="0">
    <w:p w:rsidR="00823DF0" w:rsidRPr="00823DF0" w:rsidRDefault="00823DF0">
      <w:r w:rsidRPr="00823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jaVu Sans">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19" w:rsidRPr="00823DF0" w:rsidRDefault="00A90219" w:rsidP="00EC05E9">
    <w:pPr>
      <w:pStyle w:val="EPFooter"/>
    </w:pPr>
    <w:r w:rsidRPr="00823DF0">
      <w:t>PE</w:t>
    </w:r>
    <w:r w:rsidRPr="00823DF0">
      <w:rPr>
        <w:rStyle w:val="HideTWBExt"/>
        <w:noProof w:val="0"/>
      </w:rPr>
      <w:t>&lt;NoPE&gt;</w:t>
    </w:r>
    <w:r w:rsidR="00AE64A8" w:rsidRPr="00AE64A8">
      <w:t>660.347</w:t>
    </w:r>
    <w:r w:rsidRPr="00823DF0">
      <w:rPr>
        <w:rStyle w:val="HideTWBExt"/>
        <w:noProof w:val="0"/>
      </w:rPr>
      <w:t>&lt;/NoPE&gt;&lt;Version&gt;</w:t>
    </w:r>
    <w:r w:rsidR="00823DF0" w:rsidRPr="00823DF0">
      <w:t>v</w:t>
    </w:r>
    <w:r w:rsidR="00AE64A8" w:rsidRPr="00AE64A8">
      <w:t>01-00</w:t>
    </w:r>
    <w:r w:rsidRPr="00823DF0">
      <w:rPr>
        <w:rStyle w:val="HideTWBExt"/>
        <w:noProof w:val="0"/>
      </w:rPr>
      <w:t>&lt;/Version&gt;</w:t>
    </w:r>
    <w:r w:rsidRPr="00823DF0">
      <w:tab/>
    </w:r>
    <w:r w:rsidR="00866D70" w:rsidRPr="00823DF0">
      <w:fldChar w:fldCharType="begin"/>
    </w:r>
    <w:r w:rsidR="00866D70" w:rsidRPr="00823DF0">
      <w:instrText xml:space="preserve"> PAGE </w:instrText>
    </w:r>
    <w:r w:rsidR="00866D70" w:rsidRPr="00823DF0">
      <w:fldChar w:fldCharType="separate"/>
    </w:r>
    <w:r w:rsidR="002851FC">
      <w:rPr>
        <w:noProof/>
      </w:rPr>
      <w:t>2</w:t>
    </w:r>
    <w:r w:rsidR="00866D70" w:rsidRPr="00823DF0">
      <w:fldChar w:fldCharType="end"/>
    </w:r>
    <w:r w:rsidR="00866D70" w:rsidRPr="00823DF0">
      <w:t>/</w:t>
    </w:r>
    <w:fldSimple w:instr=" NUMPAGES ">
      <w:r w:rsidR="002851FC">
        <w:rPr>
          <w:noProof/>
        </w:rPr>
        <w:t>5</w:t>
      </w:r>
    </w:fldSimple>
    <w:r w:rsidRPr="00823DF0">
      <w:tab/>
    </w:r>
    <w:r w:rsidRPr="00823DF0">
      <w:rPr>
        <w:rStyle w:val="HideTWBExt"/>
        <w:noProof w:val="0"/>
      </w:rPr>
      <w:t>&lt;PathFdR&gt;</w:t>
    </w:r>
    <w:r w:rsidR="00AE64A8" w:rsidRPr="00AE64A8">
      <w:t>RE\1218403SL.docx</w:t>
    </w:r>
    <w:r w:rsidRPr="00823DF0">
      <w:rPr>
        <w:rStyle w:val="HideTWBExt"/>
        <w:noProof w:val="0"/>
      </w:rPr>
      <w:t>&lt;/PathFdR&gt;</w:t>
    </w:r>
  </w:p>
  <w:p w:rsidR="00A90219" w:rsidRPr="00823DF0" w:rsidRDefault="00321A6D">
    <w:pPr>
      <w:pStyle w:val="EPFooter2"/>
    </w:pPr>
    <w:fldSimple w:instr=" DOCPROPERTY &quot;&lt;Extension&gt;&quot; ">
      <w:r w:rsidR="002851FC">
        <w:t>SL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19" w:rsidRPr="00823DF0" w:rsidRDefault="00A90219" w:rsidP="00EC05E9">
    <w:pPr>
      <w:pStyle w:val="EPFooter"/>
    </w:pPr>
    <w:r w:rsidRPr="00823DF0">
      <w:rPr>
        <w:rStyle w:val="HideTWBExt"/>
        <w:noProof w:val="0"/>
      </w:rPr>
      <w:t>&lt;PathFdR&gt;</w:t>
    </w:r>
    <w:r w:rsidR="00AE64A8" w:rsidRPr="00AE64A8">
      <w:t>RE\1218403SL.docx</w:t>
    </w:r>
    <w:r w:rsidRPr="00823DF0">
      <w:rPr>
        <w:rStyle w:val="HideTWBExt"/>
        <w:noProof w:val="0"/>
      </w:rPr>
      <w:t>&lt;/PathFdR&gt;</w:t>
    </w:r>
    <w:r w:rsidRPr="00823DF0">
      <w:tab/>
    </w:r>
    <w:r w:rsidR="00866D70" w:rsidRPr="00823DF0">
      <w:fldChar w:fldCharType="begin"/>
    </w:r>
    <w:r w:rsidR="00866D70" w:rsidRPr="00823DF0">
      <w:instrText xml:space="preserve"> PAGE </w:instrText>
    </w:r>
    <w:r w:rsidR="00866D70" w:rsidRPr="00823DF0">
      <w:fldChar w:fldCharType="separate"/>
    </w:r>
    <w:r w:rsidR="002851FC">
      <w:rPr>
        <w:noProof/>
      </w:rPr>
      <w:t>3</w:t>
    </w:r>
    <w:r w:rsidR="00866D70" w:rsidRPr="00823DF0">
      <w:fldChar w:fldCharType="end"/>
    </w:r>
    <w:r w:rsidR="00866D70" w:rsidRPr="00823DF0">
      <w:t>/</w:t>
    </w:r>
    <w:fldSimple w:instr=" NUMPAGES ">
      <w:r w:rsidR="002851FC">
        <w:rPr>
          <w:noProof/>
        </w:rPr>
        <w:t>5</w:t>
      </w:r>
    </w:fldSimple>
    <w:r w:rsidRPr="00823DF0">
      <w:tab/>
      <w:t>PE</w:t>
    </w:r>
    <w:r w:rsidRPr="00823DF0">
      <w:rPr>
        <w:rStyle w:val="HideTWBExt"/>
        <w:noProof w:val="0"/>
      </w:rPr>
      <w:t>&lt;NoPE&gt;</w:t>
    </w:r>
    <w:r w:rsidR="00AE64A8" w:rsidRPr="00AE64A8">
      <w:t>660.347</w:t>
    </w:r>
    <w:r w:rsidRPr="00823DF0">
      <w:rPr>
        <w:rStyle w:val="HideTWBExt"/>
        <w:noProof w:val="0"/>
      </w:rPr>
      <w:t>&lt;/NoPE&gt;&lt;Version&gt;</w:t>
    </w:r>
    <w:r w:rsidR="00823DF0" w:rsidRPr="00823DF0">
      <w:t>v</w:t>
    </w:r>
    <w:r w:rsidR="00AE64A8" w:rsidRPr="00AE64A8">
      <w:t>01-00</w:t>
    </w:r>
    <w:r w:rsidRPr="00823DF0">
      <w:rPr>
        <w:rStyle w:val="HideTWBExt"/>
        <w:noProof w:val="0"/>
      </w:rPr>
      <w:t>&lt;/Version&gt;</w:t>
    </w:r>
  </w:p>
  <w:p w:rsidR="00A90219" w:rsidRPr="00823DF0" w:rsidRDefault="00866D70">
    <w:pPr>
      <w:pStyle w:val="EPFooter2"/>
    </w:pPr>
    <w:r w:rsidRPr="00823DF0">
      <w:tab/>
    </w:r>
    <w:r w:rsidR="00A90219" w:rsidRPr="00823DF0">
      <w:tab/>
    </w:r>
    <w:fldSimple w:instr=" DOCPROPERTY &quot;&lt;Extension&gt;&quot; ">
      <w:r w:rsidR="002851FC">
        <w:t>SL</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19" w:rsidRPr="00823DF0" w:rsidRDefault="00A90219" w:rsidP="00EC05E9">
    <w:pPr>
      <w:pStyle w:val="EPFooter"/>
    </w:pPr>
    <w:r w:rsidRPr="00823DF0">
      <w:rPr>
        <w:rStyle w:val="HideTWBExt"/>
        <w:noProof w:val="0"/>
      </w:rPr>
      <w:t>&lt;PathFdR&gt;</w:t>
    </w:r>
    <w:r w:rsidR="00AE64A8" w:rsidRPr="00AE64A8">
      <w:t>RE\1218403SL.docx</w:t>
    </w:r>
    <w:r w:rsidRPr="00823DF0">
      <w:rPr>
        <w:rStyle w:val="HideTWBExt"/>
        <w:noProof w:val="0"/>
      </w:rPr>
      <w:t>&lt;/PathFdR&gt;</w:t>
    </w:r>
    <w:r w:rsidRPr="00823DF0">
      <w:tab/>
    </w:r>
    <w:r w:rsidRPr="00823DF0">
      <w:tab/>
      <w:t>PE</w:t>
    </w:r>
    <w:r w:rsidRPr="00823DF0">
      <w:rPr>
        <w:rStyle w:val="HideTWBExt"/>
        <w:noProof w:val="0"/>
      </w:rPr>
      <w:t>&lt;NoPE&gt;</w:t>
    </w:r>
    <w:r w:rsidR="00AE64A8" w:rsidRPr="00AE64A8">
      <w:t>660.347</w:t>
    </w:r>
    <w:r w:rsidRPr="00823DF0">
      <w:rPr>
        <w:rStyle w:val="HideTWBExt"/>
        <w:noProof w:val="0"/>
      </w:rPr>
      <w:t>&lt;/NoPE&gt;&lt;Version&gt;</w:t>
    </w:r>
    <w:r w:rsidR="00823DF0" w:rsidRPr="00823DF0">
      <w:t>v</w:t>
    </w:r>
    <w:r w:rsidR="00AE64A8" w:rsidRPr="00AE64A8">
      <w:t>01-00</w:t>
    </w:r>
    <w:r w:rsidRPr="00823DF0">
      <w:rPr>
        <w:rStyle w:val="HideTWBExt"/>
        <w:noProof w:val="0"/>
      </w:rPr>
      <w:t>&lt;/Version&gt;</w:t>
    </w:r>
  </w:p>
  <w:p w:rsidR="00A90219" w:rsidRPr="00823DF0" w:rsidRDefault="00321A6D" w:rsidP="00907285">
    <w:pPr>
      <w:pStyle w:val="EPFooter2"/>
      <w:tabs>
        <w:tab w:val="clear" w:pos="4535"/>
        <w:tab w:val="center" w:pos="4536"/>
      </w:tabs>
    </w:pPr>
    <w:fldSimple w:instr=" DOCPROPERTY &quot;&lt;Extension&gt;&quot; ">
      <w:r w:rsidR="002851FC">
        <w:t>SL</w:t>
      </w:r>
    </w:fldSimple>
    <w:r w:rsidR="00A90219" w:rsidRPr="00823DF0">
      <w:tab/>
    </w:r>
    <w:r w:rsidR="00AE64A8">
      <w:rPr>
        <w:b w:val="0"/>
        <w:i/>
        <w:color w:val="C0C0C0"/>
        <w:sz w:val="22"/>
        <w:szCs w:val="22"/>
      </w:rPr>
      <w:t>Združena v raznolikosti</w:t>
    </w:r>
    <w:r w:rsidR="00A90219" w:rsidRPr="00823DF0">
      <w:tab/>
    </w:r>
    <w:fldSimple w:instr=" DOCPROPERTY &quot;&lt;Extension&gt;&quot; ">
      <w:r w:rsidR="002851FC">
        <w:t>SL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DF0" w:rsidRPr="00823DF0" w:rsidRDefault="00823DF0">
      <w:r w:rsidRPr="00823DF0">
        <w:separator/>
      </w:r>
    </w:p>
  </w:footnote>
  <w:footnote w:type="continuationSeparator" w:id="0">
    <w:p w:rsidR="00823DF0" w:rsidRPr="00823DF0" w:rsidRDefault="00823DF0">
      <w:r w:rsidRPr="00823DF0">
        <w:continuationSeparator/>
      </w:r>
    </w:p>
  </w:footnote>
  <w:footnote w:id="1">
    <w:p w:rsidR="00AE64A8" w:rsidRDefault="00AE64A8" w:rsidP="00AE64A8">
      <w:pPr>
        <w:pStyle w:val="FootnoteText"/>
      </w:pPr>
      <w:r>
        <w:rPr>
          <w:rStyle w:val="FootnoteReference"/>
        </w:rPr>
        <w:footnoteRef/>
      </w:r>
      <w:r>
        <w:t xml:space="preserve"> UL L 119, 4.5.2016, str. 1–88.</w:t>
      </w:r>
    </w:p>
  </w:footnote>
  <w:footnote w:id="2">
    <w:p w:rsidR="00AE64A8" w:rsidRDefault="00AE64A8" w:rsidP="00AE64A8">
      <w:pPr>
        <w:pStyle w:val="FootnoteText"/>
      </w:pPr>
      <w:r>
        <w:rPr>
          <w:rStyle w:val="FootnoteReference"/>
        </w:rPr>
        <w:footnoteRef/>
      </w:r>
      <w:r>
        <w:t xml:space="preserve"> COM(2020)0264, 24.6.2020.</w:t>
      </w:r>
    </w:p>
  </w:footnote>
  <w:footnote w:id="3">
    <w:p w:rsidR="00AE64A8" w:rsidRDefault="00AE64A8" w:rsidP="00AE64A8">
      <w:pPr>
        <w:pStyle w:val="FootnoteText"/>
      </w:pPr>
      <w:r>
        <w:rPr>
          <w:rStyle w:val="FootnoteReference"/>
        </w:rPr>
        <w:footnoteRef/>
      </w:r>
      <w:r>
        <w:t xml:space="preserve"> COM(2020)0264, 24.6.2020.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6D" w:rsidRDefault="00321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6D" w:rsidRDefault="00321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6D" w:rsidRDefault="00321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KEY" w:val="LIBE"/>
    <w:docVar w:name="DOCTYPEMNU" w:val=" 1"/>
    <w:docVar w:name="LastEditedSection" w:val=" 1"/>
    <w:docVar w:name="STATMNU" w:val=" 1"/>
    <w:docVar w:name="strDocTypeID" w:val="RE_Statements"/>
    <w:docVar w:name="strSubDir" w:val="1218"/>
    <w:docVar w:name="TXTLANGUE" w:val="SL"/>
    <w:docVar w:name="TXTLANGUEMIN" w:val="sl"/>
    <w:docVar w:name="TXTNRPE" w:val="660.347"/>
    <w:docVar w:name="TXTNRRSP" w:val="2020/2717"/>
    <w:docVar w:name="TXTPEorAP" w:val="PE"/>
    <w:docVar w:name="TXTROUTE" w:val="RE\1218403SL.docx"/>
    <w:docVar w:name="TXTTITLE" w:val="on the Commission evaluation report on the implementation of the General Data Protection Regulation two years after its application"/>
    <w:docVar w:name="TXTVERSION" w:val="01-00"/>
  </w:docVars>
  <w:rsids>
    <w:rsidRoot w:val="00823DF0"/>
    <w:rsid w:val="00037F46"/>
    <w:rsid w:val="00094DDA"/>
    <w:rsid w:val="00117781"/>
    <w:rsid w:val="001B49A3"/>
    <w:rsid w:val="001B7CFB"/>
    <w:rsid w:val="001C16A7"/>
    <w:rsid w:val="001C62C5"/>
    <w:rsid w:val="001E2450"/>
    <w:rsid w:val="00222BBB"/>
    <w:rsid w:val="002574AA"/>
    <w:rsid w:val="002851FC"/>
    <w:rsid w:val="002C7767"/>
    <w:rsid w:val="00303413"/>
    <w:rsid w:val="00321A6D"/>
    <w:rsid w:val="003772FA"/>
    <w:rsid w:val="003818A1"/>
    <w:rsid w:val="00411D03"/>
    <w:rsid w:val="00412503"/>
    <w:rsid w:val="00471D62"/>
    <w:rsid w:val="004B5166"/>
    <w:rsid w:val="00516BD3"/>
    <w:rsid w:val="0058312A"/>
    <w:rsid w:val="005D6861"/>
    <w:rsid w:val="00654CBD"/>
    <w:rsid w:val="006726A1"/>
    <w:rsid w:val="006A27B7"/>
    <w:rsid w:val="006F48B8"/>
    <w:rsid w:val="00706BC0"/>
    <w:rsid w:val="00723A0B"/>
    <w:rsid w:val="00780A7D"/>
    <w:rsid w:val="007E1E11"/>
    <w:rsid w:val="00814BC6"/>
    <w:rsid w:val="00823DF0"/>
    <w:rsid w:val="008278C0"/>
    <w:rsid w:val="00866D70"/>
    <w:rsid w:val="008A4052"/>
    <w:rsid w:val="008D7B31"/>
    <w:rsid w:val="008F5EFB"/>
    <w:rsid w:val="00907285"/>
    <w:rsid w:val="00910F7E"/>
    <w:rsid w:val="00981ED6"/>
    <w:rsid w:val="009D24DE"/>
    <w:rsid w:val="00A32337"/>
    <w:rsid w:val="00A4763A"/>
    <w:rsid w:val="00A516B8"/>
    <w:rsid w:val="00A83C4A"/>
    <w:rsid w:val="00A90219"/>
    <w:rsid w:val="00AE64A8"/>
    <w:rsid w:val="00B34A46"/>
    <w:rsid w:val="00B90331"/>
    <w:rsid w:val="00BC3002"/>
    <w:rsid w:val="00BF2C2D"/>
    <w:rsid w:val="00C23264"/>
    <w:rsid w:val="00CC09D8"/>
    <w:rsid w:val="00D12F64"/>
    <w:rsid w:val="00D44718"/>
    <w:rsid w:val="00D90D37"/>
    <w:rsid w:val="00DF7943"/>
    <w:rsid w:val="00E53167"/>
    <w:rsid w:val="00EA43FB"/>
    <w:rsid w:val="00EC05E9"/>
    <w:rsid w:val="00ED22B8"/>
    <w:rsid w:val="00F02A2C"/>
    <w:rsid w:val="00F26DE8"/>
    <w:rsid w:val="00F4455A"/>
    <w:rsid w:val="00F7050A"/>
    <w:rsid w:val="00F959BA"/>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9E2B68-5D70-48C8-9104-8C7B551E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semiHidden="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18"/>
    <w:pPr>
      <w:widowControl w:val="0"/>
    </w:pPr>
    <w:rPr>
      <w:sz w:val="24"/>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customStyle="1" w:styleId="EPComma">
    <w:name w:val="EPComma"/>
    <w:basedOn w:val="Normal"/>
    <w:rsid w:val="00DF7943"/>
    <w:pPr>
      <w:spacing w:before="480" w:after="240"/>
    </w:pPr>
  </w:style>
  <w:style w:type="paragraph" w:styleId="TOC1">
    <w:name w:val="toc 1"/>
    <w:basedOn w:val="EPComma"/>
    <w:next w:val="EPComma"/>
    <w:autoRedefine/>
    <w:semiHidden/>
  </w:style>
  <w:style w:type="paragraph" w:styleId="TOCHeading">
    <w:name w:val="TOC Heading"/>
    <w:basedOn w:val="Normal"/>
    <w:next w:val="Normal"/>
    <w:semiHidden/>
    <w:qFormat/>
    <w:pPr>
      <w:keepNext/>
      <w:spacing w:before="240" w:after="240"/>
      <w:jc w:val="center"/>
    </w:pPr>
    <w:rPr>
      <w:rFonts w:ascii="Arial" w:hAnsi="Arial"/>
      <w:b/>
    </w:rPr>
  </w:style>
  <w:style w:type="character" w:customStyle="1" w:styleId="HideTWBInt">
    <w:name w:val="HideTWBInt"/>
    <w:rPr>
      <w:rFonts w:ascii="Arial" w:hAnsi="Arial" w:cs="Arial"/>
      <w:vanish/>
      <w:color w:val="808080"/>
      <w:sz w:val="20"/>
    </w:rPr>
  </w:style>
  <w:style w:type="paragraph" w:customStyle="1" w:styleId="NormalBold">
    <w:name w:val="NormalBold"/>
    <w:basedOn w:val="Normal"/>
    <w:rPr>
      <w:b/>
    </w:rPr>
  </w:style>
  <w:style w:type="paragraph" w:customStyle="1" w:styleId="NormalBold12a">
    <w:name w:val="NormalBold12a"/>
    <w:basedOn w:val="Normal"/>
    <w:pPr>
      <w:spacing w:after="240"/>
    </w:pPr>
    <w:rPr>
      <w:b/>
    </w:rPr>
  </w:style>
  <w:style w:type="paragraph" w:customStyle="1" w:styleId="NormalHanging12a">
    <w:name w:val="NormalHanging12a"/>
    <w:basedOn w:val="Normal"/>
    <w:pPr>
      <w:spacing w:after="240"/>
      <w:ind w:left="567" w:hanging="567"/>
    </w:pPr>
  </w:style>
  <w:style w:type="paragraph" w:customStyle="1" w:styleId="CoverBold">
    <w:name w:val="CoverBold"/>
    <w:basedOn w:val="Normal"/>
    <w:rsid w:val="00B90331"/>
    <w:pPr>
      <w:ind w:left="1417"/>
    </w:pPr>
    <w:rPr>
      <w:b/>
    </w:rPr>
  </w:style>
  <w:style w:type="paragraph" w:customStyle="1" w:styleId="CoverNormal">
    <w:name w:val="CoverNormal"/>
    <w:basedOn w:val="Normal"/>
    <w:pPr>
      <w:ind w:left="1418"/>
    </w:pPr>
  </w:style>
  <w:style w:type="paragraph" w:customStyle="1" w:styleId="CoverNormal12a">
    <w:name w:val="CoverNormal12a"/>
    <w:basedOn w:val="Normal"/>
    <w:rsid w:val="00B90331"/>
    <w:pPr>
      <w:spacing w:after="240"/>
      <w:ind w:left="1418"/>
    </w:pPr>
  </w:style>
  <w:style w:type="paragraph" w:customStyle="1" w:styleId="CoverNormal24a">
    <w:name w:val="CoverNormal24a"/>
    <w:basedOn w:val="Normal"/>
    <w:rsid w:val="00B90331"/>
    <w:pPr>
      <w:spacing w:after="480"/>
      <w:ind w:left="1417"/>
    </w:pPr>
  </w:style>
  <w:style w:type="paragraph" w:customStyle="1" w:styleId="CoverDocType24a">
    <w:name w:val="CoverDocType24a"/>
    <w:basedOn w:val="Normal"/>
    <w:rsid w:val="00EC05E9"/>
    <w:pPr>
      <w:spacing w:after="480"/>
      <w:ind w:left="1418"/>
    </w:pPr>
    <w:rPr>
      <w:rFonts w:ascii="Arial" w:hAnsi="Arial"/>
      <w:b/>
      <w:sz w:val="48"/>
    </w:rPr>
  </w:style>
  <w:style w:type="paragraph" w:styleId="Header">
    <w:name w:val="header"/>
    <w:basedOn w:val="Normal"/>
    <w:link w:val="HeaderChar"/>
    <w:semiHidden/>
    <w:rsid w:val="007E1E11"/>
    <w:pPr>
      <w:tabs>
        <w:tab w:val="center" w:pos="4513"/>
        <w:tab w:val="right" w:pos="9026"/>
      </w:tabs>
    </w:pPr>
  </w:style>
  <w:style w:type="table" w:styleId="TableGrid">
    <w:name w:val="Table Grid"/>
    <w:basedOn w:val="TableNormal"/>
    <w:rsid w:val="00E53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E53167"/>
    <w:pPr>
      <w:jc w:val="center"/>
    </w:pPr>
    <w:rPr>
      <w:rFonts w:ascii="Arial" w:hAnsi="Arial" w:cs="Arial"/>
      <w:i/>
      <w:sz w:val="22"/>
      <w:szCs w:val="22"/>
    </w:rPr>
  </w:style>
  <w:style w:type="paragraph" w:customStyle="1" w:styleId="LineTop">
    <w:name w:val="LineTop"/>
    <w:basedOn w:val="Normal"/>
    <w:next w:val="Normal"/>
    <w:rsid w:val="00E53167"/>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094DDA"/>
    <w:pPr>
      <w:pBdr>
        <w:bottom w:val="single" w:sz="4" w:space="1" w:color="auto"/>
      </w:pBdr>
      <w:spacing w:after="240"/>
      <w:jc w:val="center"/>
    </w:pPr>
    <w:rPr>
      <w:rFonts w:ascii="Arial" w:hAnsi="Arial" w:cs="Arial"/>
      <w:sz w:val="16"/>
      <w:szCs w:val="16"/>
    </w:rPr>
  </w:style>
  <w:style w:type="paragraph" w:customStyle="1" w:styleId="EPName">
    <w:name w:val="EPName"/>
    <w:basedOn w:val="Normal"/>
    <w:rsid w:val="00706BC0"/>
    <w:pPr>
      <w:spacing w:before="80" w:after="80"/>
    </w:pPr>
    <w:rPr>
      <w:rFonts w:ascii="Arial Narrow" w:hAnsi="Arial Narrow" w:cs="Arial"/>
      <w:b/>
      <w:sz w:val="32"/>
      <w:szCs w:val="22"/>
    </w:rPr>
  </w:style>
  <w:style w:type="paragraph" w:customStyle="1" w:styleId="EPTerm">
    <w:name w:val="EPTerm"/>
    <w:basedOn w:val="Normal"/>
    <w:next w:val="Normal"/>
    <w:rsid w:val="00706BC0"/>
    <w:pPr>
      <w:spacing w:after="80"/>
    </w:pPr>
    <w:rPr>
      <w:rFonts w:ascii="Arial" w:hAnsi="Arial" w:cs="Arial"/>
      <w:sz w:val="20"/>
      <w:szCs w:val="22"/>
    </w:rPr>
  </w:style>
  <w:style w:type="paragraph" w:customStyle="1" w:styleId="EPLogo">
    <w:name w:val="EPLogo"/>
    <w:basedOn w:val="Normal"/>
    <w:qFormat/>
    <w:rsid w:val="00706BC0"/>
    <w:pPr>
      <w:jc w:val="right"/>
    </w:pPr>
  </w:style>
  <w:style w:type="paragraph" w:customStyle="1" w:styleId="CoverReference">
    <w:name w:val="CoverReference"/>
    <w:basedOn w:val="Normal"/>
    <w:rsid w:val="00094DDA"/>
    <w:pPr>
      <w:spacing w:before="1080"/>
      <w:jc w:val="right"/>
    </w:pPr>
    <w:rPr>
      <w:rFonts w:ascii="Arial" w:hAnsi="Arial" w:cs="Arial"/>
      <w:b/>
    </w:rPr>
  </w:style>
  <w:style w:type="paragraph" w:customStyle="1" w:styleId="CoverDate">
    <w:name w:val="CoverDate"/>
    <w:basedOn w:val="Normal"/>
    <w:rsid w:val="00094DDA"/>
    <w:pPr>
      <w:spacing w:before="240" w:after="1200"/>
    </w:pPr>
  </w:style>
  <w:style w:type="paragraph" w:customStyle="1" w:styleId="EPFooter">
    <w:name w:val="EPFooter"/>
    <w:basedOn w:val="Normal"/>
    <w:rsid w:val="00EC05E9"/>
    <w:pPr>
      <w:tabs>
        <w:tab w:val="center" w:pos="4535"/>
        <w:tab w:val="right" w:pos="9071"/>
      </w:tabs>
      <w:spacing w:before="240" w:after="240"/>
    </w:pPr>
    <w:rPr>
      <w:sz w:val="22"/>
    </w:rPr>
  </w:style>
  <w:style w:type="character" w:customStyle="1" w:styleId="HeaderChar">
    <w:name w:val="Header Char"/>
    <w:basedOn w:val="DefaultParagraphFont"/>
    <w:link w:val="Header"/>
    <w:semiHidden/>
    <w:rsid w:val="007E1E11"/>
    <w:rPr>
      <w:sz w:val="24"/>
    </w:rPr>
  </w:style>
  <w:style w:type="paragraph" w:styleId="FootnoteText">
    <w:name w:val="footnote text"/>
    <w:basedOn w:val="Normal"/>
    <w:link w:val="FootnoteTextChar"/>
    <w:uiPriority w:val="99"/>
    <w:unhideWhenUsed/>
    <w:rsid w:val="00AE64A8"/>
    <w:pPr>
      <w:widowControl/>
      <w:jc w:val="both"/>
    </w:pPr>
    <w:rPr>
      <w:rFonts w:eastAsiaTheme="minorHAnsi"/>
      <w:sz w:val="20"/>
      <w:lang w:eastAsia="en-US"/>
    </w:rPr>
  </w:style>
  <w:style w:type="character" w:customStyle="1" w:styleId="FootnoteTextChar">
    <w:name w:val="Footnote Text Char"/>
    <w:basedOn w:val="DefaultParagraphFont"/>
    <w:link w:val="FootnoteText"/>
    <w:uiPriority w:val="99"/>
    <w:rsid w:val="00AE64A8"/>
    <w:rPr>
      <w:rFonts w:eastAsiaTheme="minorHAnsi"/>
      <w:lang w:eastAsia="en-US"/>
    </w:rPr>
  </w:style>
  <w:style w:type="character" w:styleId="FootnoteReference">
    <w:name w:val="footnote reference"/>
    <w:basedOn w:val="DefaultParagraphFont"/>
    <w:uiPriority w:val="99"/>
    <w:unhideWhenUsed/>
    <w:rsid w:val="00AE64A8"/>
    <w:rPr>
      <w:vertAlign w:val="superscript"/>
    </w:rPr>
  </w:style>
  <w:style w:type="paragraph" w:styleId="Footer">
    <w:name w:val="footer"/>
    <w:basedOn w:val="Normal"/>
    <w:link w:val="FooterChar"/>
    <w:semiHidden/>
    <w:rsid w:val="00AE64A8"/>
    <w:pPr>
      <w:tabs>
        <w:tab w:val="center" w:pos="4513"/>
        <w:tab w:val="right" w:pos="9026"/>
      </w:tabs>
    </w:pPr>
  </w:style>
  <w:style w:type="character" w:customStyle="1" w:styleId="FooterChar">
    <w:name w:val="Footer Char"/>
    <w:basedOn w:val="DefaultParagraphFont"/>
    <w:link w:val="Footer"/>
    <w:semiHidden/>
    <w:rsid w:val="00AE64A8"/>
    <w:rPr>
      <w:sz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8999</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RE_Statements</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RE_Statements</dc:title>
  <dc:subject/>
  <dc:creator>ZALOZNIK Katja</dc:creator>
  <cp:keywords/>
  <dc:description/>
  <cp:lastModifiedBy>POTOCNIK Lea</cp:lastModifiedBy>
  <cp:revision>2</cp:revision>
  <cp:lastPrinted>2004-11-19T15:55:00Z</cp:lastPrinted>
  <dcterms:created xsi:type="dcterms:W3CDTF">2020-12-01T08:30:00Z</dcterms:created>
  <dcterms:modified xsi:type="dcterms:W3CDTF">2020-12-01T08:30:00Z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with">
    <vt:lpwstr>9.9.1 Build [20200705]</vt:lpwstr>
  </property>
  <property fmtid="{D5CDD505-2E9C-101B-9397-08002B2CF9AE}" pid="3" name="LastEdited with">
    <vt:lpwstr>9.9.1 Build [20200705]</vt:lpwstr>
  </property>
  <property fmtid="{D5CDD505-2E9C-101B-9397-08002B2CF9AE}" pid="4" name="&lt;FdR&gt;">
    <vt:lpwstr>1218403</vt:lpwstr>
  </property>
  <property fmtid="{D5CDD505-2E9C-101B-9397-08002B2CF9AE}" pid="5" name="&lt;Type&gt;">
    <vt:lpwstr>RE</vt:lpwstr>
  </property>
  <property fmtid="{D5CDD505-2E9C-101B-9397-08002B2CF9AE}" pid="6" name="&lt;ModelCod&gt;">
    <vt:lpwstr>\\eiciBRUpr1\pdocep$\DocEP\DOCS\General\RE\RE_Statements.dotx(17/04/2020 18:29:07)</vt:lpwstr>
  </property>
  <property fmtid="{D5CDD505-2E9C-101B-9397-08002B2CF9AE}" pid="7" name="&lt;ModelTra&gt;">
    <vt:lpwstr>\\eiciBRUpr1\pdocep$\DocEP\TRANSFIL\SL\RE_Statements.SL(25/06/2019 13:28:03)</vt:lpwstr>
  </property>
  <property fmtid="{D5CDD505-2E9C-101B-9397-08002B2CF9AE}" pid="8" name="&lt;Model&gt;">
    <vt:lpwstr>RE_Statements</vt:lpwstr>
  </property>
  <property fmtid="{D5CDD505-2E9C-101B-9397-08002B2CF9AE}" pid="9" name="FooterPath">
    <vt:lpwstr>RE\1218403SL.docx</vt:lpwstr>
  </property>
  <property fmtid="{D5CDD505-2E9C-101B-9397-08002B2CF9AE}" pid="10" name="PE number">
    <vt:lpwstr>660.347</vt:lpwstr>
  </property>
  <property fmtid="{D5CDD505-2E9C-101B-9397-08002B2CF9AE}" pid="11" name="Bookout">
    <vt:lpwstr>OK - 2020/12/01 09:30</vt:lpwstr>
  </property>
  <property fmtid="{D5CDD505-2E9C-101B-9397-08002B2CF9AE}" pid="12" name="SDLStudio">
    <vt:lpwstr/>
  </property>
  <property fmtid="{D5CDD505-2E9C-101B-9397-08002B2CF9AE}" pid="13" name="&lt;Extension&gt;">
    <vt:lpwstr>SL</vt:lpwstr>
  </property>
</Properties>
</file>