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9A0E" w14:textId="40C699A4" w:rsidR="005C2A77" w:rsidRPr="006F214A" w:rsidRDefault="003F0FD8" w:rsidP="009B45BA">
      <w:pPr>
        <w:jc w:val="right"/>
        <w:rPr>
          <w:rFonts w:ascii="Calibri" w:hAnsi="Calibri" w:cs="Calibri"/>
          <w:sz w:val="22"/>
          <w:szCs w:val="22"/>
        </w:rPr>
      </w:pPr>
      <w:r w:rsidRPr="006F214A">
        <w:rPr>
          <w:rFonts w:ascii="Calibri" w:hAnsi="Calibri" w:cs="Calibri"/>
          <w:sz w:val="22"/>
          <w:szCs w:val="22"/>
        </w:rPr>
        <w:t xml:space="preserve">V Praze dne </w:t>
      </w:r>
      <w:r w:rsidR="006F214A" w:rsidRPr="006F214A">
        <w:rPr>
          <w:rFonts w:ascii="Calibri" w:hAnsi="Calibri" w:cs="Calibri"/>
          <w:sz w:val="22"/>
          <w:szCs w:val="22"/>
        </w:rPr>
        <w:t>27</w:t>
      </w:r>
      <w:r w:rsidR="00AA6ABE" w:rsidRPr="006F214A">
        <w:rPr>
          <w:rFonts w:ascii="Calibri" w:hAnsi="Calibri" w:cs="Calibri"/>
          <w:sz w:val="22"/>
          <w:szCs w:val="22"/>
        </w:rPr>
        <w:t>.</w:t>
      </w:r>
      <w:r w:rsidR="004D210B" w:rsidRPr="006F214A">
        <w:rPr>
          <w:rFonts w:ascii="Calibri" w:hAnsi="Calibri" w:cs="Calibri"/>
          <w:sz w:val="22"/>
          <w:szCs w:val="22"/>
        </w:rPr>
        <w:t>1</w:t>
      </w:r>
      <w:r w:rsidR="00013186" w:rsidRPr="006F214A">
        <w:rPr>
          <w:rFonts w:ascii="Calibri" w:hAnsi="Calibri" w:cs="Calibri"/>
          <w:sz w:val="22"/>
          <w:szCs w:val="22"/>
        </w:rPr>
        <w:t>1</w:t>
      </w:r>
      <w:r w:rsidR="00D11227" w:rsidRPr="006F214A">
        <w:rPr>
          <w:rFonts w:ascii="Calibri" w:hAnsi="Calibri" w:cs="Calibri"/>
          <w:sz w:val="22"/>
          <w:szCs w:val="22"/>
        </w:rPr>
        <w:t>.202</w:t>
      </w:r>
      <w:r w:rsidR="00391C16" w:rsidRPr="006F214A">
        <w:rPr>
          <w:rFonts w:ascii="Calibri" w:hAnsi="Calibri" w:cs="Calibri"/>
          <w:sz w:val="22"/>
          <w:szCs w:val="22"/>
        </w:rPr>
        <w:t>5</w:t>
      </w:r>
    </w:p>
    <w:p w14:paraId="0DA1C77B" w14:textId="77777777" w:rsidR="005C2A77" w:rsidRPr="006F214A" w:rsidRDefault="005C2A77" w:rsidP="009B45BA">
      <w:pPr>
        <w:jc w:val="center"/>
        <w:rPr>
          <w:rFonts w:ascii="Calibri" w:hAnsi="Calibri" w:cs="Calibri"/>
          <w:sz w:val="22"/>
          <w:szCs w:val="22"/>
        </w:rPr>
      </w:pPr>
    </w:p>
    <w:p w14:paraId="5EDEC24F" w14:textId="4F8D2875" w:rsidR="00206637" w:rsidRPr="006F214A" w:rsidRDefault="00C146C9" w:rsidP="009B45BA">
      <w:pPr>
        <w:jc w:val="center"/>
        <w:rPr>
          <w:rFonts w:ascii="Calibri" w:hAnsi="Calibri" w:cs="Calibri"/>
          <w:caps/>
          <w:sz w:val="22"/>
          <w:szCs w:val="22"/>
        </w:rPr>
      </w:pPr>
      <w:r w:rsidRPr="006F214A">
        <w:rPr>
          <w:rFonts w:ascii="Calibri" w:hAnsi="Calibri" w:cs="Calibri"/>
          <w:caps/>
          <w:sz w:val="22"/>
          <w:szCs w:val="22"/>
        </w:rPr>
        <w:t>STANOVISKO</w:t>
      </w:r>
      <w:r w:rsidR="005C2A77" w:rsidRPr="006F214A">
        <w:rPr>
          <w:rFonts w:ascii="Calibri" w:hAnsi="Calibri" w:cs="Calibri"/>
          <w:caps/>
          <w:sz w:val="22"/>
          <w:szCs w:val="22"/>
        </w:rPr>
        <w:t xml:space="preserve"> UZS ČR</w:t>
      </w:r>
    </w:p>
    <w:p w14:paraId="7555E7CB" w14:textId="77777777" w:rsidR="00206637" w:rsidRPr="006F214A" w:rsidRDefault="00206637" w:rsidP="009B45B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7731E3" w14:textId="078031DC" w:rsidR="00C16E04" w:rsidRPr="006F214A" w:rsidRDefault="00C41A4B" w:rsidP="009B45B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F214A">
        <w:rPr>
          <w:rFonts w:ascii="Calibri" w:hAnsi="Calibri" w:cs="Calibri"/>
          <w:b/>
          <w:bCs/>
          <w:sz w:val="22"/>
          <w:szCs w:val="22"/>
        </w:rPr>
        <w:t>k</w:t>
      </w:r>
      <w:r w:rsidR="006F214A" w:rsidRPr="006F214A">
        <w:rPr>
          <w:rFonts w:ascii="Calibri" w:hAnsi="Calibri" w:cs="Calibri"/>
          <w:b/>
          <w:bCs/>
          <w:sz w:val="22"/>
          <w:szCs w:val="22"/>
        </w:rPr>
        <w:t> návrhu zákona, kterým se mění zákon č. 541/2020 Sb., o odpadech, ve znění pozdějších předpisů</w:t>
      </w:r>
    </w:p>
    <w:p w14:paraId="434817A1" w14:textId="77777777" w:rsidR="003329D0" w:rsidRPr="006F214A" w:rsidRDefault="003329D0" w:rsidP="009B45BA">
      <w:pPr>
        <w:spacing w:after="200" w:line="276" w:lineRule="auto"/>
        <w:jc w:val="both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23"/>
        <w:gridCol w:w="1323"/>
        <w:gridCol w:w="1790"/>
        <w:gridCol w:w="4395"/>
      </w:tblGrid>
      <w:tr w:rsidR="006F214A" w:rsidRPr="006F214A" w14:paraId="5ACC01BB" w14:textId="77777777" w:rsidTr="002005FC">
        <w:tc>
          <w:tcPr>
            <w:tcW w:w="675" w:type="dxa"/>
          </w:tcPr>
          <w:p w14:paraId="7593F365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423" w:type="dxa"/>
          </w:tcPr>
          <w:p w14:paraId="47ED5823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Ustanovení</w:t>
            </w:r>
          </w:p>
        </w:tc>
        <w:tc>
          <w:tcPr>
            <w:tcW w:w="1323" w:type="dxa"/>
          </w:tcPr>
          <w:p w14:paraId="775B1D97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Typ připomínky</w:t>
            </w:r>
          </w:p>
        </w:tc>
        <w:tc>
          <w:tcPr>
            <w:tcW w:w="1790" w:type="dxa"/>
          </w:tcPr>
          <w:p w14:paraId="7D8B12C0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Návrh úpravy</w:t>
            </w:r>
          </w:p>
        </w:tc>
        <w:tc>
          <w:tcPr>
            <w:tcW w:w="4395" w:type="dxa"/>
          </w:tcPr>
          <w:p w14:paraId="5B5B5B57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Odůvodnění</w:t>
            </w:r>
          </w:p>
        </w:tc>
      </w:tr>
      <w:tr w:rsidR="006F214A" w:rsidRPr="006F214A" w14:paraId="02A0008E" w14:textId="77777777" w:rsidTr="002005FC">
        <w:tc>
          <w:tcPr>
            <w:tcW w:w="675" w:type="dxa"/>
          </w:tcPr>
          <w:p w14:paraId="5F6B36B4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3" w:type="dxa"/>
          </w:tcPr>
          <w:p w14:paraId="2F1E7414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§ 121a</w:t>
            </w:r>
          </w:p>
        </w:tc>
        <w:tc>
          <w:tcPr>
            <w:tcW w:w="1323" w:type="dxa"/>
          </w:tcPr>
          <w:p w14:paraId="3E57F131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ZÁSADNÍ</w:t>
            </w:r>
          </w:p>
        </w:tc>
        <w:tc>
          <w:tcPr>
            <w:tcW w:w="1790" w:type="dxa"/>
          </w:tcPr>
          <w:p w14:paraId="4ECCBB0B" w14:textId="6C0BA91C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Požadujeme přepracovat § 121a ve smyslu odůvodnění připomínky, nebo zásadně zúžit na sankce výslovně vyžadované Nařízením (EU) 2024/1157.</w:t>
            </w:r>
          </w:p>
        </w:tc>
        <w:tc>
          <w:tcPr>
            <w:tcW w:w="4395" w:type="dxa"/>
          </w:tcPr>
          <w:p w14:paraId="1F307176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Ustanovení obsahuje 24 nových skutkových podstat, které jdou nad rámec EU. Výše pokut je nepřiměřená. Dochází </w:t>
            </w:r>
            <w:proofErr w:type="gramStart"/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k</w:t>
            </w:r>
            <w:proofErr w:type="gramEnd"/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gold</w:t>
            </w:r>
            <w:r w:rsidRPr="006F214A">
              <w:rPr>
                <w:rFonts w:ascii="Cambria Math" w:eastAsia="MS Mincho" w:hAnsi="Cambria Math" w:cs="Cambria Math"/>
                <w:sz w:val="22"/>
                <w:szCs w:val="22"/>
                <w:lang w:eastAsia="en-US"/>
              </w:rPr>
              <w:t>‑</w:t>
            </w: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platingu</w:t>
            </w:r>
            <w:proofErr w:type="spellEnd"/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.</w:t>
            </w:r>
          </w:p>
          <w:p w14:paraId="207D74E4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Čl. 63 odst. 1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– Nařízení pouze obecně ukládá členským státům, aby stanovily pravidla pro ukládání sankcí a že sankce mají být účinné, přiměřené a odrazující. Nestanoví žádné konkrétní skutkové podstaty ani výši pokuty. </w:t>
            </w:r>
          </w:p>
          <w:p w14:paraId="07FA0B13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Český návrh: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vkládá do zákona nový § </w:t>
            </w:r>
            <w:proofErr w:type="gramStart"/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>121a - Přestupky</w:t>
            </w:r>
            <w:proofErr w:type="gramEnd"/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při přeshraniční přepravě odpadu, ten obsahuje seznam 24 konkrétních přestupků (</w:t>
            </w:r>
            <w:proofErr w:type="spellStart"/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>písm</w:t>
            </w:r>
            <w:proofErr w:type="spellEnd"/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a) až x)), zejména za porušení povinností stanovených nařízením, je to např. účast na nedovolené přepravě, porušení podmínek pro vývoz odpadů, nezajištění dočasného bezpečného uskladnění atd. </w:t>
            </w:r>
          </w:p>
          <w:p w14:paraId="1E878CE1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Český návrh: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za všechny tyto přestupky stanoví § 121a odst. 2 jednotnou pokutu ve výši až 25 000 000 Kč pro fyzické, podnikající fyzické i právnické osoby (důvodová zpráva to zdůvodňuje snahou o postih využívání bílých koní). </w:t>
            </w:r>
          </w:p>
          <w:p w14:paraId="51345753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Takto obecné a plošné odůvodnění pro společnou sankci v horní hranici 25 milionů korun pro všechny zahrnuté porušení povinností se nejeví jako adekvátní. </w:t>
            </w:r>
          </w:p>
          <w:p w14:paraId="6006DED8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Pokuta 25 mil. je silně nepřiměřená. Řada z přestupků nově uvedených v § 121a má formální charakter, některé přestupky jsou definovány obecně nebo nejasně. Není přiměřené, aby výše sankce za formální přestupek byla stejná jako výše sankce za </w:t>
            </w: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lastRenderedPageBreak/>
              <w:t xml:space="preserve">zásadní přestupek, který by vznikl „použitím“ „bílého koně“ při přeshraniční přepravě nebo například přestupek za účast na nedovolené přeshraniční přepravě. </w:t>
            </w:r>
          </w:p>
        </w:tc>
      </w:tr>
      <w:tr w:rsidR="006F214A" w:rsidRPr="006F214A" w14:paraId="71A8799E" w14:textId="77777777" w:rsidTr="002005FC">
        <w:tc>
          <w:tcPr>
            <w:tcW w:w="675" w:type="dxa"/>
          </w:tcPr>
          <w:p w14:paraId="4F41F345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23" w:type="dxa"/>
          </w:tcPr>
          <w:p w14:paraId="301E73F0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§ 52 odst. 2–3</w:t>
            </w:r>
          </w:p>
        </w:tc>
        <w:tc>
          <w:tcPr>
            <w:tcW w:w="1323" w:type="dxa"/>
          </w:tcPr>
          <w:p w14:paraId="1B528ED0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ZÁSADNÍ</w:t>
            </w:r>
          </w:p>
        </w:tc>
        <w:tc>
          <w:tcPr>
            <w:tcW w:w="1790" w:type="dxa"/>
          </w:tcPr>
          <w:p w14:paraId="493D861F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S ohledem na přiložené odůvodnění požadujeme následující dvě změny:</w:t>
            </w:r>
          </w:p>
          <w:p w14:paraId="584F34D1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1) Odstranit solidární odpovědnost. </w:t>
            </w:r>
          </w:p>
          <w:p w14:paraId="71AA22CB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2) A vypustit možnost ukládat úhradu nákladů předem.</w:t>
            </w:r>
          </w:p>
        </w:tc>
        <w:tc>
          <w:tcPr>
            <w:tcW w:w="4395" w:type="dxa"/>
          </w:tcPr>
          <w:p w14:paraId="2705C307" w14:textId="77777777" w:rsidR="006F214A" w:rsidRPr="006F214A" w:rsidRDefault="006F214A" w:rsidP="006F214A">
            <w:pPr>
              <w:rPr>
                <w:rFonts w:ascii="Calibri" w:eastAsia="Cambria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Cambria" w:hAnsi="Calibri" w:cs="Calibri"/>
                <w:sz w:val="22"/>
                <w:szCs w:val="22"/>
                <w:lang w:eastAsia="en-US"/>
              </w:rPr>
              <w:t>Nařízení stanoví sekvenční odpovědnost a nehovoří o možnosti solidární odpovědnosti. Podle našeho názoru to tato část v nařízení popsána logicky a funkčně.</w:t>
            </w:r>
          </w:p>
          <w:p w14:paraId="2317B1FF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Dalším navrhovaným přísnějším </w:t>
            </w:r>
            <w:proofErr w:type="gramStart"/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nastavením,</w:t>
            </w:r>
            <w:proofErr w:type="gramEnd"/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 než požaduje nařízení, je úhrada nákladů za případnou nedokončenou přepravu předem. Toto je také ministerstvem navrhované národní zpřísnění.</w:t>
            </w:r>
          </w:p>
          <w:p w14:paraId="5F143DEE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V čl. 24 a 26 stanoví </w:t>
            </w:r>
            <w:r w:rsidRPr="006F214A">
              <w:rPr>
                <w:rFonts w:ascii="Calibri" w:hAnsi="Calibri" w:cs="Calibri"/>
                <w:sz w:val="22"/>
                <w:szCs w:val="22"/>
                <w:u w:val="single"/>
                <w:lang w:eastAsia="en-US"/>
              </w:rPr>
              <w:t>pořadí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>, kdo platí za nedokončenou nebo nedovolenou přepravu (primárně oznamovatel atd.)</w:t>
            </w:r>
          </w:p>
          <w:p w14:paraId="2698B971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Český návrh: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nový § 52 odst. 2 a 3 stanoví, že osoby, které odpovídají za nedokončenou nebo nedovolenou přeshraniční přepravu, odpovídají za úhradu nákladů </w:t>
            </w:r>
            <w:r w:rsidRPr="006F214A">
              <w:rPr>
                <w:rFonts w:ascii="Calibri" w:hAnsi="Calibri" w:cs="Calibri"/>
                <w:sz w:val="22"/>
                <w:szCs w:val="22"/>
                <w:u w:val="single"/>
                <w:lang w:eastAsia="en-US"/>
              </w:rPr>
              <w:t>společně a nerozdílně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  <w:p w14:paraId="4C0EDFB1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§ 52 odst. 2 také nad rámec Nařízení dává Ministerstvu pravomoc uložit úhradu nákladů za nedokončenou nebo nedovolenou přepravu </w:t>
            </w:r>
            <w:r w:rsidRPr="006F214A">
              <w:rPr>
                <w:rFonts w:ascii="Calibri" w:hAnsi="Calibri" w:cs="Calibri"/>
                <w:sz w:val="22"/>
                <w:szCs w:val="22"/>
                <w:u w:val="single"/>
                <w:lang w:eastAsia="en-US"/>
              </w:rPr>
              <w:t>předem.</w:t>
            </w:r>
          </w:p>
        </w:tc>
      </w:tr>
      <w:tr w:rsidR="006F214A" w:rsidRPr="006F214A" w14:paraId="657315B9" w14:textId="77777777" w:rsidTr="002005FC">
        <w:tc>
          <w:tcPr>
            <w:tcW w:w="675" w:type="dxa"/>
          </w:tcPr>
          <w:p w14:paraId="674E86F3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23" w:type="dxa"/>
          </w:tcPr>
          <w:p w14:paraId="4A9C0F7D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§ 49 odst. 4–5</w:t>
            </w:r>
          </w:p>
        </w:tc>
        <w:tc>
          <w:tcPr>
            <w:tcW w:w="1323" w:type="dxa"/>
          </w:tcPr>
          <w:p w14:paraId="600B07DF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ZÁSADNÍ</w:t>
            </w:r>
          </w:p>
        </w:tc>
        <w:tc>
          <w:tcPr>
            <w:tcW w:w="1790" w:type="dxa"/>
          </w:tcPr>
          <w:p w14:paraId="2239F192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Omezit důvody pro vznesení námitky výhradně na případy uvedené v čl. 12 odst. 1 písm. f) Nařízení.</w:t>
            </w:r>
          </w:p>
        </w:tc>
        <w:tc>
          <w:tcPr>
            <w:tcW w:w="4395" w:type="dxa"/>
          </w:tcPr>
          <w:p w14:paraId="23F535AC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Nařízení: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 čl. 12 odst. 1 písm. f) dává orgánům možnost vznést námitku, pokud byl oznamovatel nebo příjemce v posledních 5 letech „</w:t>
            </w:r>
            <w:r w:rsidRPr="006F214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uznán vinným z provádění nedovolené přepravy nebo jiného nedovoleného jednání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>“</w:t>
            </w:r>
          </w:p>
          <w:p w14:paraId="1118D3D7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Česká úprava: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§ 49 odst. 4 zachovává stávající národní úpravu, která konkretizuje nedovolené jednání, Ministerstvo má možnost vznést </w:t>
            </w:r>
            <w:proofErr w:type="gramStart"/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>námitku</w:t>
            </w:r>
            <w:proofErr w:type="gramEnd"/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pokud byla v posledních 5 letech uložena pokuta vyšší než 500 000 Kč za porušení povinností v odpadovém hospodářství, nebo subjekt spáchal přestupek, za který by </w:t>
            </w:r>
            <w:r w:rsidRPr="006F214A"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 xml:space="preserve">mohla být uložena pokuta do výše 500 000 Kč (tedy např. i sankce 10 000 Kč). </w:t>
            </w:r>
          </w:p>
          <w:p w14:paraId="0083961B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Česká úprava: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§ 49 odst. 5 ukládá Ministerstvu povinnost rozhodnout o vznesení námitky, pokud byl oznamovatel nebo příjemce v posledních 5 letech pravomocně odsouzen pro trestný čin spojený s odpady</w:t>
            </w:r>
          </w:p>
          <w:p w14:paraId="532249B9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Novela tak neúměrně rozšiřuje důvody nad rámec textu platného nařízení EU (uložena pokuta za jednání spadající do skupiny sankcí do 500 000 Kč, trestný čin). Jde o zcela neadekvátní a přísnější nastavení nad rámec podmínek evropského nařízení.</w:t>
            </w:r>
          </w:p>
        </w:tc>
      </w:tr>
      <w:tr w:rsidR="006F214A" w:rsidRPr="006F214A" w14:paraId="1101897A" w14:textId="77777777" w:rsidTr="002005FC">
        <w:tc>
          <w:tcPr>
            <w:tcW w:w="675" w:type="dxa"/>
          </w:tcPr>
          <w:p w14:paraId="0B154582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423" w:type="dxa"/>
          </w:tcPr>
          <w:p w14:paraId="4A1843E6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§ 49 odst. 2</w:t>
            </w:r>
          </w:p>
        </w:tc>
        <w:tc>
          <w:tcPr>
            <w:tcW w:w="1323" w:type="dxa"/>
          </w:tcPr>
          <w:p w14:paraId="1FF1A6D3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ZÁSADNÍ</w:t>
            </w:r>
          </w:p>
        </w:tc>
        <w:tc>
          <w:tcPr>
            <w:tcW w:w="1790" w:type="dxa"/>
          </w:tcPr>
          <w:p w14:paraId="14999F15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Změnit „zastaví řízení“ na „může zastavit řízení“.</w:t>
            </w:r>
          </w:p>
        </w:tc>
        <w:tc>
          <w:tcPr>
            <w:tcW w:w="4395" w:type="dxa"/>
          </w:tcPr>
          <w:p w14:paraId="6478A578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Nařízení: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 čl. 8 odst. 5 a 10 uvádí, že příslušný orgán </w:t>
            </w:r>
            <w:r w:rsidRPr="006F214A"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může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rozhodnout, že oznámení není platné a nemá se dále zpracovávat.</w:t>
            </w:r>
          </w:p>
          <w:p w14:paraId="0370D952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Česká úprava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: stanoví, že Ministerstvo zastaví řízení z důvodů uvedených v čl. 8 odst. 5 a 10 nařízení (Česká úprava mění diskreci na povinnost) </w:t>
            </w:r>
          </w:p>
          <w:p w14:paraId="1B4DC169" w14:textId="77777777" w:rsidR="006F214A" w:rsidRPr="006F214A" w:rsidRDefault="006F214A" w:rsidP="006F214A">
            <w:pPr>
              <w:spacing w:after="200" w:line="276" w:lineRule="auto"/>
              <w:jc w:val="both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Nařízení umožňuje diskreci, novela ukládá povinnost, což je neúměrné zpřísnění nad rámec evropského nařízení.</w:t>
            </w:r>
          </w:p>
        </w:tc>
      </w:tr>
      <w:tr w:rsidR="006F214A" w:rsidRPr="006F214A" w14:paraId="4106169F" w14:textId="77777777" w:rsidTr="002005FC">
        <w:tc>
          <w:tcPr>
            <w:tcW w:w="675" w:type="dxa"/>
          </w:tcPr>
          <w:p w14:paraId="0303C6DF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3" w:type="dxa"/>
          </w:tcPr>
          <w:p w14:paraId="42F0F94E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§ 50</w:t>
            </w:r>
          </w:p>
        </w:tc>
        <w:tc>
          <w:tcPr>
            <w:tcW w:w="1323" w:type="dxa"/>
          </w:tcPr>
          <w:p w14:paraId="31990A31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ZÁSADNÍ</w:t>
            </w:r>
          </w:p>
        </w:tc>
        <w:tc>
          <w:tcPr>
            <w:tcW w:w="1790" w:type="dxa"/>
          </w:tcPr>
          <w:p w14:paraId="5728D703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Vypustit ustanovení o automatickém vzdání se práva rozkladu.</w:t>
            </w:r>
          </w:p>
          <w:p w14:paraId="54CD666E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Proces vydání souhlasu je vhodné zrychlit jinými nástroji, například jasnými a dodržovanými schvalovacími lhůtami, nebo fikcí souhlasu kompetentního orgánu.</w:t>
            </w:r>
          </w:p>
        </w:tc>
        <w:tc>
          <w:tcPr>
            <w:tcW w:w="4395" w:type="dxa"/>
          </w:tcPr>
          <w:p w14:paraId="66DF69B8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Nařízení: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 čl. 27 řeší pouze technické předávání dokladů</w:t>
            </w:r>
          </w:p>
          <w:p w14:paraId="23E796EE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Česká úprava: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 § 50 zachovává stávající národní úpravu, že pokud Ministerstvo obdrží průvodní doklad (nově přes centrální systém), „</w:t>
            </w:r>
            <w:r w:rsidRPr="006F214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platí, že se oznamovatel vzdává práva rozkladu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>“ proti rozhodnutí o souhlasu.</w:t>
            </w:r>
          </w:p>
          <w:p w14:paraId="0695EF32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Nařízení automatické vzdání se procesních práv nezná. Národní úprava tak ve srovnání s textem nařízení omezuje práva účastníků a je tedy </w:t>
            </w:r>
            <w:proofErr w:type="gramStart"/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přísnější,</w:t>
            </w:r>
            <w:proofErr w:type="gramEnd"/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 než text platného nařízení.</w:t>
            </w:r>
          </w:p>
        </w:tc>
      </w:tr>
      <w:tr w:rsidR="006F214A" w:rsidRPr="006F214A" w14:paraId="36D97F0B" w14:textId="77777777" w:rsidTr="002005FC">
        <w:tc>
          <w:tcPr>
            <w:tcW w:w="675" w:type="dxa"/>
          </w:tcPr>
          <w:p w14:paraId="219EBA37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423" w:type="dxa"/>
          </w:tcPr>
          <w:p w14:paraId="615A8B66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§ 52a odst. 2</w:t>
            </w:r>
          </w:p>
        </w:tc>
        <w:tc>
          <w:tcPr>
            <w:tcW w:w="1323" w:type="dxa"/>
          </w:tcPr>
          <w:p w14:paraId="69A2A377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ZÁSADNÍ</w:t>
            </w:r>
          </w:p>
        </w:tc>
        <w:tc>
          <w:tcPr>
            <w:tcW w:w="1790" w:type="dxa"/>
          </w:tcPr>
          <w:p w14:paraId="1F65FD26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Vypustit národní definici bezúhonnosti (pokuta do 500 000 Kč, trestné činy).</w:t>
            </w:r>
          </w:p>
        </w:tc>
        <w:tc>
          <w:tcPr>
            <w:tcW w:w="4395" w:type="dxa"/>
          </w:tcPr>
          <w:p w14:paraId="26AD6A61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Nařízení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>: v článku 14 zavádí nový koncept „Zařízení s předchozím souhlasem“. To je pozitivní.</w:t>
            </w:r>
          </w:p>
          <w:p w14:paraId="65D6E154" w14:textId="77777777" w:rsidR="006F214A" w:rsidRPr="006F214A" w:rsidRDefault="006F214A" w:rsidP="006F214A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Česká úprava: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nový § 52a upřesňuje, </w:t>
            </w: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jak se dokládá bezúhonnost podle čl. 14 odst. 2 písm. i) nařízení, Česká úprava však nad rámec nařízení sama definuje, co tato bezúhonnost znamená. A opět i zde se uvádí, </w:t>
            </w:r>
            <w:proofErr w:type="gramStart"/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že  (</w:t>
            </w:r>
            <w:proofErr w:type="gramEnd"/>
            <w:r w:rsidRPr="006F214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nesmí být uložena pokuta za jednání v sankčním rozmezí do 500 000</w:t>
            </w:r>
            <w:r w:rsidRPr="006F214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Kč a v posledních 5 letech a nesmí dojít k pravomocnému odsouzení za trestný čin v souvislosti s odpady) </w:t>
            </w:r>
          </w:p>
          <w:p w14:paraId="7F8F4866" w14:textId="77777777" w:rsidR="006F214A" w:rsidRPr="006F214A" w:rsidRDefault="006F214A" w:rsidP="006F214A">
            <w:pPr>
              <w:spacing w:after="200" w:line="276" w:lineRule="auto"/>
              <w:jc w:val="both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Nařízení přitom předpokládá individuální posouzení, nikoliv rigidní kritéria. Navrhovaná národní úprava je tak zásadně přísnější. </w:t>
            </w:r>
          </w:p>
        </w:tc>
      </w:tr>
      <w:tr w:rsidR="006F214A" w:rsidRPr="006F214A" w14:paraId="4FF580E8" w14:textId="77777777" w:rsidTr="002005FC">
        <w:tc>
          <w:tcPr>
            <w:tcW w:w="675" w:type="dxa"/>
          </w:tcPr>
          <w:p w14:paraId="50EBAAED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23" w:type="dxa"/>
          </w:tcPr>
          <w:p w14:paraId="7C092F72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Čl. II – účinnost</w:t>
            </w:r>
          </w:p>
        </w:tc>
        <w:tc>
          <w:tcPr>
            <w:tcW w:w="1323" w:type="dxa"/>
          </w:tcPr>
          <w:p w14:paraId="076E1118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VĚCNÁ</w:t>
            </w:r>
          </w:p>
        </w:tc>
        <w:tc>
          <w:tcPr>
            <w:tcW w:w="1790" w:type="dxa"/>
          </w:tcPr>
          <w:p w14:paraId="24926FC1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Doplnit přechodná ustanovení zajišťující kontinuitu stávajících povolení a řízení.</w:t>
            </w:r>
          </w:p>
        </w:tc>
        <w:tc>
          <w:tcPr>
            <w:tcW w:w="4395" w:type="dxa"/>
          </w:tcPr>
          <w:p w14:paraId="20D61522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Bez přechodných ustanovení vzniká riziko duplicitních povinností a právní nejistoty.</w:t>
            </w:r>
          </w:p>
        </w:tc>
      </w:tr>
      <w:tr w:rsidR="006F214A" w:rsidRPr="006F214A" w14:paraId="3714127E" w14:textId="77777777" w:rsidTr="002005FC">
        <w:tc>
          <w:tcPr>
            <w:tcW w:w="675" w:type="dxa"/>
          </w:tcPr>
          <w:p w14:paraId="185F3008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23" w:type="dxa"/>
          </w:tcPr>
          <w:p w14:paraId="16C25E07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Více ustanovení – duplicity</w:t>
            </w:r>
          </w:p>
        </w:tc>
        <w:tc>
          <w:tcPr>
            <w:tcW w:w="1323" w:type="dxa"/>
          </w:tcPr>
          <w:p w14:paraId="399DF215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FORMÁLNÍ</w:t>
            </w:r>
          </w:p>
        </w:tc>
        <w:tc>
          <w:tcPr>
            <w:tcW w:w="1790" w:type="dxa"/>
          </w:tcPr>
          <w:p w14:paraId="7B5CEAAA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Vypustit duplicity tam, kde novela opakuje text Nařízení.</w:t>
            </w:r>
          </w:p>
        </w:tc>
        <w:tc>
          <w:tcPr>
            <w:tcW w:w="4395" w:type="dxa"/>
          </w:tcPr>
          <w:p w14:paraId="36A37033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Nařízení má přímou účinnost a duplicity mohou způsobit legislativní rozpory.</w:t>
            </w:r>
          </w:p>
        </w:tc>
      </w:tr>
      <w:tr w:rsidR="006F214A" w:rsidRPr="006F214A" w14:paraId="1726CCF9" w14:textId="77777777" w:rsidTr="002005FC">
        <w:tc>
          <w:tcPr>
            <w:tcW w:w="675" w:type="dxa"/>
          </w:tcPr>
          <w:p w14:paraId="18164DEF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23" w:type="dxa"/>
          </w:tcPr>
          <w:p w14:paraId="2AB87B5A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Legislativně-technické opravy</w:t>
            </w:r>
          </w:p>
        </w:tc>
        <w:tc>
          <w:tcPr>
            <w:tcW w:w="1323" w:type="dxa"/>
          </w:tcPr>
          <w:p w14:paraId="02610803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FORMÁLNÍ</w:t>
            </w:r>
          </w:p>
        </w:tc>
        <w:tc>
          <w:tcPr>
            <w:tcW w:w="1790" w:type="dxa"/>
          </w:tcPr>
          <w:p w14:paraId="5F7D062C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Zkontrolovat odkazy, terminologii a číslování po přesunech odstavců.</w:t>
            </w:r>
          </w:p>
        </w:tc>
        <w:tc>
          <w:tcPr>
            <w:tcW w:w="4395" w:type="dxa"/>
          </w:tcPr>
          <w:p w14:paraId="5A62B0D5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Novela přemisťuje odstavce a mění číslování, je vhodné provést kontrolu návazností.</w:t>
            </w:r>
          </w:p>
        </w:tc>
      </w:tr>
      <w:tr w:rsidR="006F214A" w:rsidRPr="006F214A" w14:paraId="7EE89590" w14:textId="77777777" w:rsidTr="002005FC">
        <w:tc>
          <w:tcPr>
            <w:tcW w:w="675" w:type="dxa"/>
          </w:tcPr>
          <w:p w14:paraId="46922E05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23" w:type="dxa"/>
          </w:tcPr>
          <w:p w14:paraId="70FC4D2E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Formální vyjádření</w:t>
            </w:r>
          </w:p>
        </w:tc>
        <w:tc>
          <w:tcPr>
            <w:tcW w:w="1323" w:type="dxa"/>
          </w:tcPr>
          <w:p w14:paraId="1A29D5F9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Formální</w:t>
            </w:r>
          </w:p>
        </w:tc>
        <w:tc>
          <w:tcPr>
            <w:tcW w:w="1790" w:type="dxa"/>
          </w:tcPr>
          <w:p w14:paraId="52027976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 xml:space="preserve">K zákonu o odpadech bychom měli řadu dalších novelizačních bodů, nicméně chápeme, že </w:t>
            </w:r>
            <w:r w:rsidRPr="006F214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lastRenderedPageBreak/>
              <w:t xml:space="preserve">aktuálně jde prioritně o prosazení čisté adaptační novely ve vztahu k přeshraniční přepravě a novému nařízení EU. </w:t>
            </w:r>
          </w:p>
        </w:tc>
        <w:tc>
          <w:tcPr>
            <w:tcW w:w="4395" w:type="dxa"/>
          </w:tcPr>
          <w:p w14:paraId="43FA9310" w14:textId="77777777" w:rsidR="006F214A" w:rsidRPr="006F214A" w:rsidRDefault="006F214A" w:rsidP="006F214A">
            <w:pPr>
              <w:spacing w:after="200" w:line="276" w:lineRule="auto"/>
              <w:rPr>
                <w:rFonts w:ascii="Calibri" w:eastAsia="MS Mincho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238DADC" w14:textId="77777777" w:rsidR="006F214A" w:rsidRPr="006F214A" w:rsidRDefault="006F214A" w:rsidP="009B45BA">
      <w:pPr>
        <w:spacing w:after="20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F68DEEF" w14:textId="4118DF3C" w:rsidR="005D119C" w:rsidRPr="006F214A" w:rsidRDefault="005D119C" w:rsidP="009B45BA">
      <w:pPr>
        <w:spacing w:after="20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F214A">
        <w:rPr>
          <w:rFonts w:ascii="Calibri" w:eastAsiaTheme="minorHAnsi" w:hAnsi="Calibri" w:cs="Calibri"/>
          <w:sz w:val="22"/>
          <w:szCs w:val="22"/>
          <w:lang w:eastAsia="en-US"/>
        </w:rPr>
        <w:t>Kontaktní osoba:</w:t>
      </w:r>
    </w:p>
    <w:p w14:paraId="1AC7058D" w14:textId="533E9D2B" w:rsidR="00271E1A" w:rsidRPr="006F214A" w:rsidRDefault="006F214A" w:rsidP="009B45BA">
      <w:pPr>
        <w:spacing w:after="20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F214A">
        <w:rPr>
          <w:rFonts w:ascii="Calibri" w:eastAsiaTheme="minorHAnsi" w:hAnsi="Calibri" w:cs="Calibri"/>
          <w:sz w:val="22"/>
          <w:szCs w:val="22"/>
          <w:lang w:eastAsia="en-US"/>
        </w:rPr>
        <w:t>Ing. Petr Havelka</w:t>
      </w:r>
      <w:r w:rsidR="005D119C" w:rsidRPr="006F214A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5D119C" w:rsidRPr="006F214A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e-mail: </w:t>
      </w:r>
      <w:r w:rsidRPr="006F214A">
        <w:rPr>
          <w:rFonts w:ascii="Calibri" w:eastAsiaTheme="minorHAnsi" w:hAnsi="Calibri" w:cs="Calibri"/>
          <w:sz w:val="22"/>
          <w:szCs w:val="22"/>
          <w:lang w:eastAsia="en-US"/>
        </w:rPr>
        <w:t>havelka@caoh</w:t>
      </w:r>
      <w:r w:rsidR="005D119C" w:rsidRPr="006F214A">
        <w:rPr>
          <w:rFonts w:ascii="Calibri" w:eastAsiaTheme="minorHAnsi" w:hAnsi="Calibri" w:cs="Calibri"/>
          <w:sz w:val="22"/>
          <w:szCs w:val="22"/>
          <w:lang w:eastAsia="en-US"/>
        </w:rPr>
        <w:t>.cz</w:t>
      </w:r>
      <w:r w:rsidR="005D119C" w:rsidRPr="006F214A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5D119C" w:rsidRPr="006F214A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tel.: </w:t>
      </w:r>
      <w:r w:rsidRPr="006F214A">
        <w:rPr>
          <w:rFonts w:ascii="Calibri" w:eastAsiaTheme="minorHAnsi" w:hAnsi="Calibri" w:cs="Calibri"/>
          <w:sz w:val="22"/>
          <w:szCs w:val="22"/>
          <w:lang w:eastAsia="en-US"/>
        </w:rPr>
        <w:t>731 405 068</w:t>
      </w:r>
    </w:p>
    <w:sectPr w:rsidR="00271E1A" w:rsidRPr="006F214A" w:rsidSect="005D1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8AB3" w14:textId="77777777" w:rsidR="002C0771" w:rsidRDefault="002C0771" w:rsidP="00064C09">
      <w:r>
        <w:separator/>
      </w:r>
    </w:p>
  </w:endnote>
  <w:endnote w:type="continuationSeparator" w:id="0">
    <w:p w14:paraId="34207D73" w14:textId="77777777" w:rsidR="002C0771" w:rsidRDefault="002C0771" w:rsidP="0006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A9DD" w14:textId="77777777" w:rsidR="00D72DDA" w:rsidRDefault="00D72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94"/>
      <w:gridCol w:w="2975"/>
      <w:gridCol w:w="3103"/>
    </w:tblGrid>
    <w:tr w:rsidR="00D72DDA" w:rsidRPr="00305BFD" w14:paraId="414CA0A3" w14:textId="77777777" w:rsidTr="00231CD5">
      <w:trPr>
        <w:trHeight w:val="696"/>
      </w:trPr>
      <w:tc>
        <w:tcPr>
          <w:tcW w:w="4640" w:type="dxa"/>
        </w:tcPr>
        <w:p w14:paraId="2511160A" w14:textId="77777777" w:rsidR="00D72DDA" w:rsidRPr="008D5270" w:rsidRDefault="00D72DDA" w:rsidP="00231CD5">
          <w:pPr>
            <w:pStyle w:val="Zhlav"/>
            <w:rPr>
              <w:rFonts w:ascii="Arial" w:hAnsi="Arial" w:cs="Arial"/>
              <w:sz w:val="16"/>
              <w:szCs w:val="16"/>
            </w:rPr>
          </w:pPr>
        </w:p>
        <w:p w14:paraId="1B873755" w14:textId="2DA538A9" w:rsidR="00D72DDA" w:rsidRPr="008D5270" w:rsidRDefault="00D72DDA" w:rsidP="00231CD5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8D5270">
            <w:rPr>
              <w:rFonts w:ascii="Arial" w:hAnsi="Arial" w:cs="Arial"/>
              <w:sz w:val="16"/>
              <w:szCs w:val="16"/>
            </w:rPr>
            <w:t xml:space="preserve">Na Pankráci </w:t>
          </w:r>
          <w:r>
            <w:rPr>
              <w:rFonts w:ascii="Arial" w:hAnsi="Arial" w:cs="Arial"/>
              <w:sz w:val="16"/>
              <w:szCs w:val="16"/>
            </w:rPr>
            <w:t>322/26</w:t>
          </w:r>
        </w:p>
        <w:p w14:paraId="2D62661C" w14:textId="77777777" w:rsidR="00D72DDA" w:rsidRPr="008D5270" w:rsidRDefault="00D72DDA" w:rsidP="00231CD5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8D5270">
            <w:rPr>
              <w:rFonts w:ascii="Arial" w:hAnsi="Arial" w:cs="Arial"/>
              <w:sz w:val="16"/>
              <w:szCs w:val="16"/>
            </w:rPr>
            <w:t>140 00 Praha 4</w:t>
          </w:r>
        </w:p>
        <w:p w14:paraId="32F41CC9" w14:textId="77777777" w:rsidR="00D72DDA" w:rsidRPr="008D5270" w:rsidRDefault="00D72DDA" w:rsidP="00231CD5">
          <w:pPr>
            <w:pStyle w:val="Zpat"/>
            <w:rPr>
              <w:rFonts w:ascii="Arial" w:hAnsi="Arial" w:cs="Arial"/>
            </w:rPr>
          </w:pPr>
        </w:p>
      </w:tc>
      <w:tc>
        <w:tcPr>
          <w:tcW w:w="4642" w:type="dxa"/>
        </w:tcPr>
        <w:p w14:paraId="5A0111FA" w14:textId="77777777" w:rsidR="00D72DDA" w:rsidRPr="008D5270" w:rsidRDefault="00D72DDA" w:rsidP="00231CD5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  <w:p w14:paraId="761B7E2E" w14:textId="77777777" w:rsidR="00D72DDA" w:rsidRPr="008D5270" w:rsidRDefault="00D72DDA" w:rsidP="00231CD5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  <w:r w:rsidRPr="008D5270">
            <w:rPr>
              <w:rFonts w:ascii="Arial" w:hAnsi="Arial" w:cs="Arial"/>
              <w:sz w:val="16"/>
              <w:szCs w:val="16"/>
            </w:rPr>
            <w:t>tel.: 234 633 210</w:t>
          </w:r>
        </w:p>
        <w:p w14:paraId="17C4AD2A" w14:textId="77777777" w:rsidR="00D72DDA" w:rsidRPr="008D5270" w:rsidRDefault="00D72DDA" w:rsidP="00231CD5">
          <w:pPr>
            <w:pStyle w:val="Zpat"/>
            <w:jc w:val="center"/>
            <w:rPr>
              <w:rFonts w:ascii="Arial" w:hAnsi="Arial" w:cs="Arial"/>
            </w:rPr>
          </w:pPr>
        </w:p>
      </w:tc>
      <w:tc>
        <w:tcPr>
          <w:tcW w:w="4642" w:type="dxa"/>
        </w:tcPr>
        <w:p w14:paraId="6F33E0DF" w14:textId="77777777" w:rsidR="00D72DDA" w:rsidRPr="008D5270" w:rsidRDefault="00D72DDA" w:rsidP="00231CD5">
          <w:pPr>
            <w:pStyle w:val="Zhlav"/>
            <w:jc w:val="right"/>
            <w:rPr>
              <w:rFonts w:ascii="Arial" w:hAnsi="Arial" w:cs="Arial"/>
              <w:sz w:val="16"/>
              <w:szCs w:val="16"/>
            </w:rPr>
          </w:pPr>
        </w:p>
        <w:p w14:paraId="3446C931" w14:textId="77777777" w:rsidR="00D72DDA" w:rsidRPr="008D5270" w:rsidRDefault="00D72DDA" w:rsidP="00231CD5">
          <w:pPr>
            <w:pStyle w:val="Zhlav"/>
            <w:jc w:val="right"/>
            <w:rPr>
              <w:rFonts w:ascii="Arial" w:hAnsi="Arial" w:cs="Arial"/>
              <w:sz w:val="16"/>
              <w:szCs w:val="16"/>
            </w:rPr>
          </w:pPr>
          <w:r w:rsidRPr="008D5270">
            <w:rPr>
              <w:rFonts w:ascii="Arial" w:hAnsi="Arial" w:cs="Arial"/>
              <w:sz w:val="16"/>
              <w:szCs w:val="16"/>
            </w:rPr>
            <w:t>e-mail: info@uzs.cz</w:t>
          </w:r>
        </w:p>
        <w:p w14:paraId="1AA13226" w14:textId="77777777" w:rsidR="00D72DDA" w:rsidRPr="008D5270" w:rsidRDefault="00D72DDA" w:rsidP="00231CD5">
          <w:pPr>
            <w:pStyle w:val="Zhlav"/>
            <w:jc w:val="right"/>
            <w:rPr>
              <w:rFonts w:ascii="Arial" w:hAnsi="Arial" w:cs="Arial"/>
              <w:sz w:val="16"/>
              <w:szCs w:val="16"/>
            </w:rPr>
          </w:pPr>
          <w:r w:rsidRPr="008D5270">
            <w:rPr>
              <w:rFonts w:ascii="Arial" w:hAnsi="Arial" w:cs="Arial"/>
              <w:sz w:val="16"/>
              <w:szCs w:val="16"/>
            </w:rPr>
            <w:t>www.uzs.cz</w:t>
          </w:r>
        </w:p>
        <w:p w14:paraId="350D8B03" w14:textId="77777777" w:rsidR="00D72DDA" w:rsidRPr="008D5270" w:rsidRDefault="00D72DDA" w:rsidP="00231CD5">
          <w:pPr>
            <w:pStyle w:val="Zhlav"/>
            <w:jc w:val="right"/>
            <w:rPr>
              <w:rFonts w:ascii="Arial" w:hAnsi="Arial" w:cs="Arial"/>
            </w:rPr>
          </w:pPr>
          <w:r w:rsidRPr="008D5270">
            <w:rPr>
              <w:rFonts w:ascii="Arial" w:hAnsi="Arial" w:cs="Arial"/>
              <w:sz w:val="16"/>
              <w:szCs w:val="16"/>
            </w:rPr>
            <w:t>IČ 22718729</w:t>
          </w:r>
        </w:p>
        <w:p w14:paraId="639AB633" w14:textId="77777777" w:rsidR="00D72DDA" w:rsidRPr="008D5270" w:rsidRDefault="00D72DDA" w:rsidP="00231CD5">
          <w:pPr>
            <w:pStyle w:val="Zpat"/>
            <w:rPr>
              <w:rFonts w:ascii="Arial" w:hAnsi="Arial" w:cs="Arial"/>
            </w:rPr>
          </w:pPr>
        </w:p>
      </w:tc>
    </w:tr>
  </w:tbl>
  <w:p w14:paraId="33BB6C73" w14:textId="77777777" w:rsidR="00D72DDA" w:rsidRDefault="00D72DDA" w:rsidP="00362FA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5BD8" w14:textId="77777777" w:rsidR="00D72DDA" w:rsidRDefault="00D72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6D93" w14:textId="77777777" w:rsidR="002C0771" w:rsidRDefault="002C0771" w:rsidP="00064C09">
      <w:r>
        <w:separator/>
      </w:r>
    </w:p>
  </w:footnote>
  <w:footnote w:type="continuationSeparator" w:id="0">
    <w:p w14:paraId="581EAF6E" w14:textId="77777777" w:rsidR="002C0771" w:rsidRDefault="002C0771" w:rsidP="0006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EDB7" w14:textId="4EF1D1EA" w:rsidR="00D72DDA" w:rsidRDefault="00000000">
    <w:pPr>
      <w:pStyle w:val="Zhlav"/>
    </w:pPr>
    <w:r>
      <w:rPr>
        <w:noProof/>
      </w:rPr>
      <w:pict w14:anchorId="5D7AFA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59.55pt;height:79.9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black [3213]" stroked="f">
          <v:textpath style="font-family:&quot;Times New Roman&quot;;font-size:1pt" string="VERZE K VET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EB81" w14:textId="2E0ECE68" w:rsidR="00D72DDA" w:rsidRDefault="00D72DDA" w:rsidP="005C2A77">
    <w:pPr>
      <w:pStyle w:val="Zhlav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59BD79" wp14:editId="00EFBB4E">
          <wp:simplePos x="0" y="0"/>
          <wp:positionH relativeFrom="column">
            <wp:posOffset>-247650</wp:posOffset>
          </wp:positionH>
          <wp:positionV relativeFrom="paragraph">
            <wp:posOffset>-8890</wp:posOffset>
          </wp:positionV>
          <wp:extent cx="1551940" cy="959485"/>
          <wp:effectExtent l="19050" t="0" r="0" b="0"/>
          <wp:wrapNone/>
          <wp:docPr id="1" name="obrázek 2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959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BEB8A3" w14:textId="77777777" w:rsidR="00D72DDA" w:rsidRDefault="00D72DDA" w:rsidP="005C2A77">
    <w:pPr>
      <w:pStyle w:val="Zhlav"/>
      <w:jc w:val="right"/>
    </w:pPr>
    <w:r>
      <w:tab/>
    </w:r>
  </w:p>
  <w:p w14:paraId="65BE19F5" w14:textId="77777777" w:rsidR="00D72DDA" w:rsidRDefault="00D72DDA" w:rsidP="005C2A77">
    <w:pPr>
      <w:pStyle w:val="Zhlav"/>
      <w:jc w:val="right"/>
      <w:rPr>
        <w:color w:val="808080"/>
      </w:rPr>
    </w:pPr>
  </w:p>
  <w:p w14:paraId="48F6B68D" w14:textId="77777777" w:rsidR="00D72DDA" w:rsidRDefault="00D72DDA" w:rsidP="005C2A77">
    <w:pPr>
      <w:pStyle w:val="Zhlav"/>
      <w:jc w:val="right"/>
      <w:rPr>
        <w:color w:val="808080"/>
      </w:rPr>
    </w:pPr>
  </w:p>
  <w:p w14:paraId="3BC6244D" w14:textId="77777777" w:rsidR="00D72DDA" w:rsidRDefault="00D72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72C4" w14:textId="3033D151" w:rsidR="00D72DDA" w:rsidRDefault="00D72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30C320"/>
    <w:lvl w:ilvl="0">
      <w:start w:val="1"/>
      <w:numFmt w:val="bullet"/>
      <w:pStyle w:val="Seznamsodrkami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0E377362"/>
    <w:multiLevelType w:val="hybridMultilevel"/>
    <w:tmpl w:val="AED6F46E"/>
    <w:lvl w:ilvl="0" w:tplc="BC5EF2A8">
      <w:start w:val="1"/>
      <w:numFmt w:val="bullet"/>
      <w:pStyle w:val="OdrkyEQerven"/>
      <w:lvlText w:val=""/>
      <w:lvlJc w:val="left"/>
      <w:pPr>
        <w:ind w:left="574" w:hanging="360"/>
      </w:pPr>
      <w:rPr>
        <w:rFonts w:ascii="Wingdings" w:hAnsi="Wingdings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613B"/>
    <w:multiLevelType w:val="hybridMultilevel"/>
    <w:tmpl w:val="E11C913A"/>
    <w:lvl w:ilvl="0" w:tplc="1F88187A">
      <w:start w:val="1"/>
      <w:numFmt w:val="bullet"/>
      <w:pStyle w:val="TNSBulletlevel1"/>
      <w:lvlText w:val="n"/>
      <w:lvlJc w:val="left"/>
      <w:pPr>
        <w:ind w:left="1919" w:hanging="360"/>
      </w:pPr>
      <w:rPr>
        <w:rFonts w:ascii="Wingdings" w:hAnsi="Wingdings" w:hint="default"/>
      </w:rPr>
    </w:lvl>
    <w:lvl w:ilvl="1" w:tplc="70CCB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67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AE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60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2D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46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4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89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1146FEC4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numFmt w:val="bullet"/>
      <w:pStyle w:val="Textbodu"/>
      <w:lvlText w:val="-"/>
      <w:lvlJc w:val="left"/>
      <w:pPr>
        <w:tabs>
          <w:tab w:val="num" w:pos="851"/>
        </w:tabs>
        <w:ind w:left="851" w:hanging="426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 w16cid:durableId="635183919">
    <w:abstractNumId w:val="1"/>
  </w:num>
  <w:num w:numId="2" w16cid:durableId="357703509">
    <w:abstractNumId w:val="2"/>
  </w:num>
  <w:num w:numId="3" w16cid:durableId="76245073">
    <w:abstractNumId w:val="3"/>
  </w:num>
  <w:num w:numId="4" w16cid:durableId="17947132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BA"/>
    <w:rsid w:val="00007579"/>
    <w:rsid w:val="00013186"/>
    <w:rsid w:val="00030C7C"/>
    <w:rsid w:val="000317FE"/>
    <w:rsid w:val="000340E5"/>
    <w:rsid w:val="00040F1D"/>
    <w:rsid w:val="00052977"/>
    <w:rsid w:val="000535E1"/>
    <w:rsid w:val="00057272"/>
    <w:rsid w:val="00062C72"/>
    <w:rsid w:val="00064C09"/>
    <w:rsid w:val="0007393D"/>
    <w:rsid w:val="00073962"/>
    <w:rsid w:val="00075029"/>
    <w:rsid w:val="00080822"/>
    <w:rsid w:val="00081611"/>
    <w:rsid w:val="00081709"/>
    <w:rsid w:val="00083F14"/>
    <w:rsid w:val="00085B1F"/>
    <w:rsid w:val="0008758C"/>
    <w:rsid w:val="00090D90"/>
    <w:rsid w:val="00093228"/>
    <w:rsid w:val="00096D53"/>
    <w:rsid w:val="000A06A3"/>
    <w:rsid w:val="000A2191"/>
    <w:rsid w:val="000A4912"/>
    <w:rsid w:val="000B6923"/>
    <w:rsid w:val="000C2FC7"/>
    <w:rsid w:val="000C5141"/>
    <w:rsid w:val="000C7F09"/>
    <w:rsid w:val="000D01C2"/>
    <w:rsid w:val="000D0CCA"/>
    <w:rsid w:val="000D1375"/>
    <w:rsid w:val="000D1E48"/>
    <w:rsid w:val="000D65E8"/>
    <w:rsid w:val="000E1DF8"/>
    <w:rsid w:val="000F7398"/>
    <w:rsid w:val="000F7A38"/>
    <w:rsid w:val="0011231F"/>
    <w:rsid w:val="001126F4"/>
    <w:rsid w:val="00113B47"/>
    <w:rsid w:val="00120B9B"/>
    <w:rsid w:val="00120FF8"/>
    <w:rsid w:val="0012526D"/>
    <w:rsid w:val="001271B5"/>
    <w:rsid w:val="00140DE7"/>
    <w:rsid w:val="0015157C"/>
    <w:rsid w:val="00153AB3"/>
    <w:rsid w:val="00155582"/>
    <w:rsid w:val="00155D11"/>
    <w:rsid w:val="0016781B"/>
    <w:rsid w:val="001730D2"/>
    <w:rsid w:val="001762BA"/>
    <w:rsid w:val="001776D9"/>
    <w:rsid w:val="00190050"/>
    <w:rsid w:val="0019493E"/>
    <w:rsid w:val="00196BE0"/>
    <w:rsid w:val="001A28BA"/>
    <w:rsid w:val="001A2943"/>
    <w:rsid w:val="001A4E7F"/>
    <w:rsid w:val="001B2658"/>
    <w:rsid w:val="001B6B44"/>
    <w:rsid w:val="001C1114"/>
    <w:rsid w:val="001C1CFE"/>
    <w:rsid w:val="001C3123"/>
    <w:rsid w:val="001D0100"/>
    <w:rsid w:val="001D12DB"/>
    <w:rsid w:val="001D1D49"/>
    <w:rsid w:val="001D3F71"/>
    <w:rsid w:val="001E1334"/>
    <w:rsid w:val="001E58F3"/>
    <w:rsid w:val="001E7BFD"/>
    <w:rsid w:val="001F1417"/>
    <w:rsid w:val="001F3A44"/>
    <w:rsid w:val="001F3F71"/>
    <w:rsid w:val="001F623E"/>
    <w:rsid w:val="00201BD9"/>
    <w:rsid w:val="00206637"/>
    <w:rsid w:val="00207B63"/>
    <w:rsid w:val="00215348"/>
    <w:rsid w:val="0021536D"/>
    <w:rsid w:val="002159BA"/>
    <w:rsid w:val="00216A4D"/>
    <w:rsid w:val="002204BD"/>
    <w:rsid w:val="002233C6"/>
    <w:rsid w:val="0022416C"/>
    <w:rsid w:val="0022691D"/>
    <w:rsid w:val="002274E9"/>
    <w:rsid w:val="00227C2F"/>
    <w:rsid w:val="00231539"/>
    <w:rsid w:val="00231CD5"/>
    <w:rsid w:val="00233B19"/>
    <w:rsid w:val="002343D7"/>
    <w:rsid w:val="002557AE"/>
    <w:rsid w:val="00271E1A"/>
    <w:rsid w:val="00272B66"/>
    <w:rsid w:val="00275BDD"/>
    <w:rsid w:val="00276865"/>
    <w:rsid w:val="002800C1"/>
    <w:rsid w:val="00281EC5"/>
    <w:rsid w:val="00285255"/>
    <w:rsid w:val="00291AAA"/>
    <w:rsid w:val="00297CBE"/>
    <w:rsid w:val="002A2040"/>
    <w:rsid w:val="002A3655"/>
    <w:rsid w:val="002A61D9"/>
    <w:rsid w:val="002A7030"/>
    <w:rsid w:val="002B2BD3"/>
    <w:rsid w:val="002B301A"/>
    <w:rsid w:val="002B7B50"/>
    <w:rsid w:val="002C0771"/>
    <w:rsid w:val="002C4F5B"/>
    <w:rsid w:val="002D03AD"/>
    <w:rsid w:val="002D5688"/>
    <w:rsid w:val="002E0AF4"/>
    <w:rsid w:val="002E3F58"/>
    <w:rsid w:val="002E7A97"/>
    <w:rsid w:val="002E7F35"/>
    <w:rsid w:val="002F1060"/>
    <w:rsid w:val="002F56DC"/>
    <w:rsid w:val="002F5E6B"/>
    <w:rsid w:val="002F76F3"/>
    <w:rsid w:val="003079F4"/>
    <w:rsid w:val="003110CD"/>
    <w:rsid w:val="00325100"/>
    <w:rsid w:val="00325F22"/>
    <w:rsid w:val="003329D0"/>
    <w:rsid w:val="0033359A"/>
    <w:rsid w:val="0034382A"/>
    <w:rsid w:val="00343C10"/>
    <w:rsid w:val="00345613"/>
    <w:rsid w:val="00354D32"/>
    <w:rsid w:val="00357F17"/>
    <w:rsid w:val="003618A3"/>
    <w:rsid w:val="00362EA9"/>
    <w:rsid w:val="00362FA0"/>
    <w:rsid w:val="003646F6"/>
    <w:rsid w:val="00365932"/>
    <w:rsid w:val="0036798A"/>
    <w:rsid w:val="00371AC2"/>
    <w:rsid w:val="00380334"/>
    <w:rsid w:val="0038120A"/>
    <w:rsid w:val="003822B9"/>
    <w:rsid w:val="00391C16"/>
    <w:rsid w:val="00397F06"/>
    <w:rsid w:val="003A0AA9"/>
    <w:rsid w:val="003A272D"/>
    <w:rsid w:val="003A57A8"/>
    <w:rsid w:val="003A5942"/>
    <w:rsid w:val="003A7943"/>
    <w:rsid w:val="003B064B"/>
    <w:rsid w:val="003B0DA9"/>
    <w:rsid w:val="003B541F"/>
    <w:rsid w:val="003D0905"/>
    <w:rsid w:val="003F0FD8"/>
    <w:rsid w:val="003F4283"/>
    <w:rsid w:val="00400FEA"/>
    <w:rsid w:val="00410C32"/>
    <w:rsid w:val="00413C81"/>
    <w:rsid w:val="00423296"/>
    <w:rsid w:val="004258C8"/>
    <w:rsid w:val="00431B2C"/>
    <w:rsid w:val="00434B45"/>
    <w:rsid w:val="004359E5"/>
    <w:rsid w:val="00452319"/>
    <w:rsid w:val="00464341"/>
    <w:rsid w:val="00466890"/>
    <w:rsid w:val="004716F1"/>
    <w:rsid w:val="00474423"/>
    <w:rsid w:val="00491D60"/>
    <w:rsid w:val="004A1252"/>
    <w:rsid w:val="004A608E"/>
    <w:rsid w:val="004B1AD9"/>
    <w:rsid w:val="004B6550"/>
    <w:rsid w:val="004C69D2"/>
    <w:rsid w:val="004D210B"/>
    <w:rsid w:val="004D26AC"/>
    <w:rsid w:val="004D462D"/>
    <w:rsid w:val="004F08A8"/>
    <w:rsid w:val="004F3E23"/>
    <w:rsid w:val="004F55D5"/>
    <w:rsid w:val="00501230"/>
    <w:rsid w:val="00502AB5"/>
    <w:rsid w:val="00503396"/>
    <w:rsid w:val="00503A66"/>
    <w:rsid w:val="00513987"/>
    <w:rsid w:val="00517EC2"/>
    <w:rsid w:val="00530501"/>
    <w:rsid w:val="005330AA"/>
    <w:rsid w:val="00542FFA"/>
    <w:rsid w:val="00561471"/>
    <w:rsid w:val="0056658F"/>
    <w:rsid w:val="00572DA0"/>
    <w:rsid w:val="00581A47"/>
    <w:rsid w:val="00591234"/>
    <w:rsid w:val="0059340D"/>
    <w:rsid w:val="005A0780"/>
    <w:rsid w:val="005A4F6B"/>
    <w:rsid w:val="005A6437"/>
    <w:rsid w:val="005B321C"/>
    <w:rsid w:val="005B353B"/>
    <w:rsid w:val="005B379A"/>
    <w:rsid w:val="005B6BBF"/>
    <w:rsid w:val="005C2A77"/>
    <w:rsid w:val="005C2F98"/>
    <w:rsid w:val="005D119C"/>
    <w:rsid w:val="005D2D17"/>
    <w:rsid w:val="005E74ED"/>
    <w:rsid w:val="005F4CF5"/>
    <w:rsid w:val="006009BB"/>
    <w:rsid w:val="00604270"/>
    <w:rsid w:val="006072B0"/>
    <w:rsid w:val="006171EC"/>
    <w:rsid w:val="00624899"/>
    <w:rsid w:val="00625D12"/>
    <w:rsid w:val="00627D2E"/>
    <w:rsid w:val="006334E9"/>
    <w:rsid w:val="0064244F"/>
    <w:rsid w:val="00662F1F"/>
    <w:rsid w:val="0067518B"/>
    <w:rsid w:val="0068008E"/>
    <w:rsid w:val="00686101"/>
    <w:rsid w:val="00686C89"/>
    <w:rsid w:val="00692850"/>
    <w:rsid w:val="00692F44"/>
    <w:rsid w:val="006A778A"/>
    <w:rsid w:val="006D09CF"/>
    <w:rsid w:val="006D4A0C"/>
    <w:rsid w:val="006E1B59"/>
    <w:rsid w:val="006E71E4"/>
    <w:rsid w:val="006F0369"/>
    <w:rsid w:val="006F09E9"/>
    <w:rsid w:val="006F214A"/>
    <w:rsid w:val="006F4FBD"/>
    <w:rsid w:val="00705AC5"/>
    <w:rsid w:val="00706C5F"/>
    <w:rsid w:val="00712DDA"/>
    <w:rsid w:val="00721067"/>
    <w:rsid w:val="00726DC2"/>
    <w:rsid w:val="00734C58"/>
    <w:rsid w:val="007401CD"/>
    <w:rsid w:val="00743CFA"/>
    <w:rsid w:val="00750FA2"/>
    <w:rsid w:val="00753548"/>
    <w:rsid w:val="00754A17"/>
    <w:rsid w:val="0077684A"/>
    <w:rsid w:val="007778A3"/>
    <w:rsid w:val="00786288"/>
    <w:rsid w:val="007A03E7"/>
    <w:rsid w:val="007B24A1"/>
    <w:rsid w:val="007B33CC"/>
    <w:rsid w:val="007B422B"/>
    <w:rsid w:val="007B778B"/>
    <w:rsid w:val="007C69D9"/>
    <w:rsid w:val="007C70F9"/>
    <w:rsid w:val="007D3BFB"/>
    <w:rsid w:val="007E290A"/>
    <w:rsid w:val="007E2C2F"/>
    <w:rsid w:val="007E7A4A"/>
    <w:rsid w:val="007F3F30"/>
    <w:rsid w:val="00804258"/>
    <w:rsid w:val="008079E0"/>
    <w:rsid w:val="00826CDE"/>
    <w:rsid w:val="00830438"/>
    <w:rsid w:val="00834A91"/>
    <w:rsid w:val="008354C1"/>
    <w:rsid w:val="00840259"/>
    <w:rsid w:val="00846C30"/>
    <w:rsid w:val="00851908"/>
    <w:rsid w:val="00852335"/>
    <w:rsid w:val="008608AA"/>
    <w:rsid w:val="008623E4"/>
    <w:rsid w:val="00867FB3"/>
    <w:rsid w:val="00890A2E"/>
    <w:rsid w:val="00890C0F"/>
    <w:rsid w:val="00893CDE"/>
    <w:rsid w:val="00896FB5"/>
    <w:rsid w:val="0089736C"/>
    <w:rsid w:val="008A0DB1"/>
    <w:rsid w:val="008A46AE"/>
    <w:rsid w:val="008C70B5"/>
    <w:rsid w:val="008D672F"/>
    <w:rsid w:val="008D7461"/>
    <w:rsid w:val="008E404F"/>
    <w:rsid w:val="008F2119"/>
    <w:rsid w:val="008F32AB"/>
    <w:rsid w:val="008F565F"/>
    <w:rsid w:val="008F76C3"/>
    <w:rsid w:val="00901FB4"/>
    <w:rsid w:val="00903536"/>
    <w:rsid w:val="009056A1"/>
    <w:rsid w:val="0090705F"/>
    <w:rsid w:val="0091362E"/>
    <w:rsid w:val="0092585F"/>
    <w:rsid w:val="009316E9"/>
    <w:rsid w:val="00941350"/>
    <w:rsid w:val="00942643"/>
    <w:rsid w:val="0095097C"/>
    <w:rsid w:val="0095427E"/>
    <w:rsid w:val="00957925"/>
    <w:rsid w:val="009608AF"/>
    <w:rsid w:val="00972451"/>
    <w:rsid w:val="00982263"/>
    <w:rsid w:val="00983B01"/>
    <w:rsid w:val="009867A8"/>
    <w:rsid w:val="00992E2F"/>
    <w:rsid w:val="009B45BA"/>
    <w:rsid w:val="009C0148"/>
    <w:rsid w:val="009D33F5"/>
    <w:rsid w:val="009D43A5"/>
    <w:rsid w:val="009D7795"/>
    <w:rsid w:val="009E72F4"/>
    <w:rsid w:val="009E7DBC"/>
    <w:rsid w:val="009F3BC7"/>
    <w:rsid w:val="009F4289"/>
    <w:rsid w:val="00A03630"/>
    <w:rsid w:val="00A053D6"/>
    <w:rsid w:val="00A11B86"/>
    <w:rsid w:val="00A17CC2"/>
    <w:rsid w:val="00A211C8"/>
    <w:rsid w:val="00A241C2"/>
    <w:rsid w:val="00A25BD7"/>
    <w:rsid w:val="00A2687A"/>
    <w:rsid w:val="00A31EB5"/>
    <w:rsid w:val="00A32916"/>
    <w:rsid w:val="00A35BA3"/>
    <w:rsid w:val="00A40804"/>
    <w:rsid w:val="00A42465"/>
    <w:rsid w:val="00A52DEE"/>
    <w:rsid w:val="00A54B1C"/>
    <w:rsid w:val="00A55CB7"/>
    <w:rsid w:val="00A65DAD"/>
    <w:rsid w:val="00A705CF"/>
    <w:rsid w:val="00A7261A"/>
    <w:rsid w:val="00A75674"/>
    <w:rsid w:val="00A83299"/>
    <w:rsid w:val="00A83CA9"/>
    <w:rsid w:val="00A845E8"/>
    <w:rsid w:val="00A85779"/>
    <w:rsid w:val="00A93BE2"/>
    <w:rsid w:val="00A942E1"/>
    <w:rsid w:val="00A96C8F"/>
    <w:rsid w:val="00AA0C84"/>
    <w:rsid w:val="00AA6ABE"/>
    <w:rsid w:val="00AB117E"/>
    <w:rsid w:val="00AB22F5"/>
    <w:rsid w:val="00AB2633"/>
    <w:rsid w:val="00AB373A"/>
    <w:rsid w:val="00AB3EB1"/>
    <w:rsid w:val="00AD6125"/>
    <w:rsid w:val="00AE4752"/>
    <w:rsid w:val="00AE7AA6"/>
    <w:rsid w:val="00AF0221"/>
    <w:rsid w:val="00AF0D63"/>
    <w:rsid w:val="00AF1705"/>
    <w:rsid w:val="00AF1B18"/>
    <w:rsid w:val="00AF56AC"/>
    <w:rsid w:val="00AF7B4A"/>
    <w:rsid w:val="00B0143B"/>
    <w:rsid w:val="00B12E9D"/>
    <w:rsid w:val="00B13B04"/>
    <w:rsid w:val="00B153BE"/>
    <w:rsid w:val="00B258F9"/>
    <w:rsid w:val="00B35888"/>
    <w:rsid w:val="00B35DC4"/>
    <w:rsid w:val="00B36942"/>
    <w:rsid w:val="00B45E51"/>
    <w:rsid w:val="00B467AF"/>
    <w:rsid w:val="00B46FE1"/>
    <w:rsid w:val="00B510B2"/>
    <w:rsid w:val="00B57F6C"/>
    <w:rsid w:val="00B60D8E"/>
    <w:rsid w:val="00B61E85"/>
    <w:rsid w:val="00B73D4F"/>
    <w:rsid w:val="00B81B40"/>
    <w:rsid w:val="00B87F80"/>
    <w:rsid w:val="00BB13B6"/>
    <w:rsid w:val="00BB2D5C"/>
    <w:rsid w:val="00BD468A"/>
    <w:rsid w:val="00BE168F"/>
    <w:rsid w:val="00BE733E"/>
    <w:rsid w:val="00BF485B"/>
    <w:rsid w:val="00C00BF0"/>
    <w:rsid w:val="00C055E9"/>
    <w:rsid w:val="00C057D3"/>
    <w:rsid w:val="00C146C9"/>
    <w:rsid w:val="00C15E8A"/>
    <w:rsid w:val="00C16E04"/>
    <w:rsid w:val="00C24254"/>
    <w:rsid w:val="00C34A46"/>
    <w:rsid w:val="00C37FD3"/>
    <w:rsid w:val="00C41A4B"/>
    <w:rsid w:val="00C572D3"/>
    <w:rsid w:val="00C60354"/>
    <w:rsid w:val="00C606B6"/>
    <w:rsid w:val="00C63321"/>
    <w:rsid w:val="00C71413"/>
    <w:rsid w:val="00C74282"/>
    <w:rsid w:val="00C74BE8"/>
    <w:rsid w:val="00C761A3"/>
    <w:rsid w:val="00C81E13"/>
    <w:rsid w:val="00C852B4"/>
    <w:rsid w:val="00C874A6"/>
    <w:rsid w:val="00C9200C"/>
    <w:rsid w:val="00C94915"/>
    <w:rsid w:val="00C94F49"/>
    <w:rsid w:val="00C965CD"/>
    <w:rsid w:val="00CA273E"/>
    <w:rsid w:val="00CA3CEE"/>
    <w:rsid w:val="00CB0180"/>
    <w:rsid w:val="00CB7082"/>
    <w:rsid w:val="00CB7D03"/>
    <w:rsid w:val="00CD07A9"/>
    <w:rsid w:val="00CD39C3"/>
    <w:rsid w:val="00CD7E0E"/>
    <w:rsid w:val="00CF393C"/>
    <w:rsid w:val="00D0377B"/>
    <w:rsid w:val="00D05FD9"/>
    <w:rsid w:val="00D06051"/>
    <w:rsid w:val="00D10923"/>
    <w:rsid w:val="00D11227"/>
    <w:rsid w:val="00D13518"/>
    <w:rsid w:val="00D23FC0"/>
    <w:rsid w:val="00D24F0C"/>
    <w:rsid w:val="00D2641C"/>
    <w:rsid w:val="00D3218D"/>
    <w:rsid w:val="00D375A7"/>
    <w:rsid w:val="00D42688"/>
    <w:rsid w:val="00D5434C"/>
    <w:rsid w:val="00D5451D"/>
    <w:rsid w:val="00D6036E"/>
    <w:rsid w:val="00D67D52"/>
    <w:rsid w:val="00D72DDA"/>
    <w:rsid w:val="00D77ECD"/>
    <w:rsid w:val="00D81A9A"/>
    <w:rsid w:val="00D85C8D"/>
    <w:rsid w:val="00D85DD7"/>
    <w:rsid w:val="00D8625B"/>
    <w:rsid w:val="00D94A82"/>
    <w:rsid w:val="00D96339"/>
    <w:rsid w:val="00DA024E"/>
    <w:rsid w:val="00DA1E79"/>
    <w:rsid w:val="00DB0339"/>
    <w:rsid w:val="00DB0FB7"/>
    <w:rsid w:val="00DB34D2"/>
    <w:rsid w:val="00DB55EF"/>
    <w:rsid w:val="00DC55AD"/>
    <w:rsid w:val="00DD2115"/>
    <w:rsid w:val="00DD4041"/>
    <w:rsid w:val="00DD6D02"/>
    <w:rsid w:val="00DE0202"/>
    <w:rsid w:val="00DE0B9C"/>
    <w:rsid w:val="00DE7F64"/>
    <w:rsid w:val="00DF37D9"/>
    <w:rsid w:val="00E00DFA"/>
    <w:rsid w:val="00E153AB"/>
    <w:rsid w:val="00E1643A"/>
    <w:rsid w:val="00E1781E"/>
    <w:rsid w:val="00E207B8"/>
    <w:rsid w:val="00E24834"/>
    <w:rsid w:val="00E2678D"/>
    <w:rsid w:val="00E30299"/>
    <w:rsid w:val="00E302BB"/>
    <w:rsid w:val="00E34277"/>
    <w:rsid w:val="00E3448F"/>
    <w:rsid w:val="00E344D0"/>
    <w:rsid w:val="00E42F34"/>
    <w:rsid w:val="00E441DE"/>
    <w:rsid w:val="00E4530E"/>
    <w:rsid w:val="00E544FD"/>
    <w:rsid w:val="00E5607B"/>
    <w:rsid w:val="00E56957"/>
    <w:rsid w:val="00E61F92"/>
    <w:rsid w:val="00E662B7"/>
    <w:rsid w:val="00E80625"/>
    <w:rsid w:val="00E85F46"/>
    <w:rsid w:val="00E91B65"/>
    <w:rsid w:val="00E920A1"/>
    <w:rsid w:val="00E92243"/>
    <w:rsid w:val="00E9259F"/>
    <w:rsid w:val="00E967C6"/>
    <w:rsid w:val="00EA7336"/>
    <w:rsid w:val="00EA7FDF"/>
    <w:rsid w:val="00EB60E3"/>
    <w:rsid w:val="00EC6564"/>
    <w:rsid w:val="00ED33A0"/>
    <w:rsid w:val="00EE1BC7"/>
    <w:rsid w:val="00EE4EF0"/>
    <w:rsid w:val="00F01B45"/>
    <w:rsid w:val="00F0368E"/>
    <w:rsid w:val="00F04045"/>
    <w:rsid w:val="00F1091F"/>
    <w:rsid w:val="00F10D6F"/>
    <w:rsid w:val="00F13CED"/>
    <w:rsid w:val="00F1457C"/>
    <w:rsid w:val="00F20990"/>
    <w:rsid w:val="00F24D1C"/>
    <w:rsid w:val="00F26245"/>
    <w:rsid w:val="00F26E83"/>
    <w:rsid w:val="00F31550"/>
    <w:rsid w:val="00F37575"/>
    <w:rsid w:val="00F4305B"/>
    <w:rsid w:val="00F43E7B"/>
    <w:rsid w:val="00F4452A"/>
    <w:rsid w:val="00F52891"/>
    <w:rsid w:val="00F679B9"/>
    <w:rsid w:val="00F71847"/>
    <w:rsid w:val="00F71D5B"/>
    <w:rsid w:val="00F83674"/>
    <w:rsid w:val="00F93A3F"/>
    <w:rsid w:val="00F94686"/>
    <w:rsid w:val="00F9517C"/>
    <w:rsid w:val="00F95890"/>
    <w:rsid w:val="00F96B41"/>
    <w:rsid w:val="00F976CD"/>
    <w:rsid w:val="00FA23A0"/>
    <w:rsid w:val="00FA466D"/>
    <w:rsid w:val="00FB7DA2"/>
    <w:rsid w:val="00FC46CE"/>
    <w:rsid w:val="00FC6926"/>
    <w:rsid w:val="00FD0B77"/>
    <w:rsid w:val="00FD428E"/>
    <w:rsid w:val="00FD5A09"/>
    <w:rsid w:val="00FD6BF1"/>
    <w:rsid w:val="00FE4530"/>
    <w:rsid w:val="00FE4E5E"/>
    <w:rsid w:val="00FF0117"/>
    <w:rsid w:val="00FF057F"/>
    <w:rsid w:val="00FF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83BC"/>
  <w15:docId w15:val="{F8BC83DB-7564-4656-856A-16555B56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F71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6C8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120B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9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E56957"/>
    <w:rPr>
      <w:color w:val="0000FF" w:themeColor="hyperlink"/>
      <w:u w:val="single"/>
    </w:rPr>
  </w:style>
  <w:style w:type="paragraph" w:customStyle="1" w:styleId="OdrkyEQerven">
    <w:name w:val="Odrážky EQ červené"/>
    <w:basedOn w:val="Normln"/>
    <w:qFormat/>
    <w:rsid w:val="00E56957"/>
    <w:pPr>
      <w:numPr>
        <w:numId w:val="1"/>
      </w:numPr>
      <w:autoSpaceDE w:val="0"/>
      <w:autoSpaceDN w:val="0"/>
      <w:adjustRightInd w:val="0"/>
      <w:spacing w:before="120" w:line="276" w:lineRule="auto"/>
      <w:jc w:val="both"/>
    </w:pPr>
    <w:rPr>
      <w:rFonts w:ascii="Arial" w:eastAsia="Calibri" w:hAnsi="Arial"/>
      <w:color w:val="000000"/>
      <w:sz w:val="22"/>
      <w:szCs w:val="22"/>
      <w:lang w:eastAsia="cs-CZ"/>
    </w:rPr>
  </w:style>
  <w:style w:type="paragraph" w:styleId="Odstavecseseznamem">
    <w:name w:val="List Paragraph"/>
    <w:aliases w:val="Odstavec_muj,Conclusion de partie,References,Odstavec se seznamem2,Dot pt,Indicator Text,LISTA,List Paragraph Char Char Char,List Paragraph à moi,List Paragraph1,Listaszerű bekezdés1,Listaszerű bekezdés2,Listaszerű bekezdés3,Nad"/>
    <w:basedOn w:val="Normln"/>
    <w:link w:val="OdstavecseseznamemChar"/>
    <w:uiPriority w:val="34"/>
    <w:qFormat/>
    <w:rsid w:val="00E569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styleId="Znakapoznpodarou">
    <w:name w:val="footnote reference"/>
    <w:aliases w:val="Footnote number"/>
    <w:basedOn w:val="Standardnpsmoodstavce"/>
    <w:uiPriority w:val="99"/>
    <w:rsid w:val="00064C09"/>
    <w:rPr>
      <w:vertAlign w:val="superscript"/>
    </w:rPr>
  </w:style>
  <w:style w:type="paragraph" w:customStyle="1" w:styleId="Poznmkypodarou">
    <w:name w:val="Poznámky pod čarou"/>
    <w:basedOn w:val="Normln"/>
    <w:autoRedefine/>
    <w:qFormat/>
    <w:rsid w:val="00064C09"/>
    <w:pPr>
      <w:ind w:left="198" w:hanging="198"/>
      <w:contextualSpacing/>
    </w:pPr>
    <w:rPr>
      <w:rFonts w:ascii="Arial" w:eastAsia="Calibri" w:hAnsi="Arial" w:cs="Tahoma"/>
      <w:sz w:val="22"/>
      <w:szCs w:val="20"/>
      <w:vertAlign w:val="superscript"/>
      <w:lang w:eastAsia="cs-CZ"/>
    </w:rPr>
  </w:style>
  <w:style w:type="paragraph" w:styleId="Textpoznpodarou">
    <w:name w:val="footnote text"/>
    <w:basedOn w:val="Normln"/>
    <w:link w:val="TextpoznpodarouChar"/>
    <w:rsid w:val="00085B1F"/>
    <w:pPr>
      <w:spacing w:line="276" w:lineRule="auto"/>
    </w:pPr>
    <w:rPr>
      <w:sz w:val="2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85B1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NSBulletlevel1">
    <w:name w:val="TNS Bullet level 1"/>
    <w:uiPriority w:val="99"/>
    <w:rsid w:val="00085B1F"/>
    <w:pPr>
      <w:numPr>
        <w:numId w:val="2"/>
      </w:numPr>
      <w:spacing w:after="0" w:line="280" w:lineRule="exact"/>
    </w:pPr>
    <w:rPr>
      <w:rFonts w:ascii="Verdana" w:eastAsia="Times New Roman" w:hAnsi="Verdana" w:cs="Times New Roman"/>
      <w:color w:val="333333"/>
      <w:sz w:val="18"/>
      <w:szCs w:val="18"/>
      <w:lang w:val="en-AU" w:eastAsia="en-AU"/>
    </w:rPr>
  </w:style>
  <w:style w:type="character" w:styleId="Siln">
    <w:name w:val="Strong"/>
    <w:basedOn w:val="Standardnpsmoodstavce"/>
    <w:uiPriority w:val="99"/>
    <w:qFormat/>
    <w:rsid w:val="00085B1F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B1F"/>
    <w:pPr>
      <w:keepNext/>
      <w:framePr w:wrap="around" w:vAnchor="text" w:hAnchor="margin" w:xAlign="center" w:y="1"/>
      <w:pBdr>
        <w:bottom w:val="single" w:sz="4" w:space="3" w:color="000066"/>
      </w:pBdr>
      <w:spacing w:before="240" w:after="160" w:line="276" w:lineRule="auto"/>
      <w:ind w:left="1077" w:hanging="1077"/>
    </w:pPr>
    <w:rPr>
      <w:rFonts w:ascii="Arial" w:hAnsi="Arial" w:cs="Tahoma"/>
      <w:b/>
      <w:bCs/>
      <w:iCs/>
      <w:color w:val="000066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B1F"/>
    <w:rPr>
      <w:rFonts w:ascii="Arial" w:eastAsia="Times New Roman" w:hAnsi="Arial" w:cs="Tahoma"/>
      <w:b/>
      <w:bCs/>
      <w:iCs/>
      <w:color w:val="000066"/>
      <w:sz w:val="24"/>
      <w:szCs w:val="24"/>
      <w:lang w:eastAsia="cs-CZ"/>
    </w:rPr>
  </w:style>
  <w:style w:type="character" w:styleId="Zdraznnjemn">
    <w:name w:val="Subtle Emphasis"/>
    <w:basedOn w:val="Standardnpsmoodstavce"/>
    <w:uiPriority w:val="19"/>
    <w:qFormat/>
    <w:rsid w:val="00CD07A9"/>
    <w:rPr>
      <w:rFonts w:ascii="Arial" w:hAnsi="Arial"/>
      <w:i/>
      <w:iCs/>
      <w:color w:val="808080"/>
      <w:sz w:val="22"/>
    </w:rPr>
  </w:style>
  <w:style w:type="table" w:styleId="Mkatabulky">
    <w:name w:val="Table Grid"/>
    <w:aliases w:val="Tabulka ANECT"/>
    <w:basedOn w:val="Normlntabulka"/>
    <w:uiPriority w:val="39"/>
    <w:rsid w:val="00CD07A9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2A7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C2A77"/>
  </w:style>
  <w:style w:type="paragraph" w:styleId="Zpat">
    <w:name w:val="footer"/>
    <w:basedOn w:val="Normln"/>
    <w:link w:val="ZpatChar"/>
    <w:uiPriority w:val="99"/>
    <w:unhideWhenUsed/>
    <w:rsid w:val="005C2A7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C2A77"/>
  </w:style>
  <w:style w:type="paragraph" w:styleId="Textbubliny">
    <w:name w:val="Balloon Text"/>
    <w:basedOn w:val="Normln"/>
    <w:link w:val="TextbublinyChar"/>
    <w:uiPriority w:val="99"/>
    <w:semiHidden/>
    <w:unhideWhenUsed/>
    <w:rsid w:val="005C2A77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A77"/>
    <w:rPr>
      <w:rFonts w:ascii="Tahoma" w:hAnsi="Tahoma" w:cs="Tahoma"/>
      <w:sz w:val="16"/>
      <w:szCs w:val="16"/>
    </w:rPr>
  </w:style>
  <w:style w:type="paragraph" w:customStyle="1" w:styleId="paragraf">
    <w:name w:val="paragraf"/>
    <w:basedOn w:val="Normln"/>
    <w:next w:val="Normln"/>
    <w:rsid w:val="000535E1"/>
    <w:pPr>
      <w:keepNext/>
      <w:spacing w:before="240"/>
      <w:jc w:val="center"/>
    </w:pPr>
    <w:rPr>
      <w:noProof/>
      <w:lang w:eastAsia="cs-CZ"/>
    </w:rPr>
  </w:style>
  <w:style w:type="character" w:customStyle="1" w:styleId="tituleknadpisu">
    <w:name w:val="titulek nadpisu"/>
    <w:rsid w:val="000535E1"/>
    <w:rPr>
      <w:b/>
    </w:rPr>
  </w:style>
  <w:style w:type="character" w:customStyle="1" w:styleId="cizojazycne">
    <w:name w:val="cizojazycne"/>
    <w:basedOn w:val="Standardnpsmoodstavce"/>
    <w:rsid w:val="00542FFA"/>
  </w:style>
  <w:style w:type="paragraph" w:styleId="Normlnweb">
    <w:name w:val="Normal (Web)"/>
    <w:basedOn w:val="Normln"/>
    <w:uiPriority w:val="99"/>
    <w:unhideWhenUsed/>
    <w:rsid w:val="00D8625B"/>
    <w:pPr>
      <w:spacing w:before="100" w:beforeAutospacing="1" w:after="100" w:afterAutospacing="1"/>
    </w:pPr>
    <w:rPr>
      <w:rFonts w:eastAsiaTheme="minorEastAsia"/>
      <w:lang w:eastAsia="cs-CZ"/>
    </w:rPr>
  </w:style>
  <w:style w:type="paragraph" w:customStyle="1" w:styleId="Default">
    <w:name w:val="Default"/>
    <w:rsid w:val="00D86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Conclusion de partie Char,References Char,Odstavec se seznamem2 Char,Dot pt Char,Indicator Text Char,LISTA Char,List Paragraph Char Char Char Char,List Paragraph à moi Char,List Paragraph1 Char,Nad Char"/>
    <w:link w:val="Odstavecseseznamem"/>
    <w:uiPriority w:val="34"/>
    <w:qFormat/>
    <w:rsid w:val="00D8625B"/>
  </w:style>
  <w:style w:type="paragraph" w:customStyle="1" w:styleId="Textodstavce">
    <w:name w:val="Text odstavce"/>
    <w:basedOn w:val="Normln"/>
    <w:link w:val="TextodstavceChar1"/>
    <w:uiPriority w:val="99"/>
    <w:rsid w:val="00231CD5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uiPriority w:val="99"/>
    <w:rsid w:val="00231CD5"/>
    <w:pPr>
      <w:numPr>
        <w:ilvl w:val="2"/>
        <w:numId w:val="3"/>
      </w:numPr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231CD5"/>
    <w:pPr>
      <w:jc w:val="both"/>
      <w:outlineLvl w:val="7"/>
    </w:pPr>
    <w:rPr>
      <w:szCs w:val="20"/>
      <w:lang w:eastAsia="cs-CZ"/>
    </w:rPr>
  </w:style>
  <w:style w:type="paragraph" w:customStyle="1" w:styleId="Paragraf0">
    <w:name w:val="Paragraf"/>
    <w:basedOn w:val="Normln"/>
    <w:next w:val="Textodstavce"/>
    <w:uiPriority w:val="99"/>
    <w:rsid w:val="00231CD5"/>
    <w:pPr>
      <w:keepNext/>
      <w:keepLines/>
      <w:spacing w:before="240"/>
      <w:jc w:val="center"/>
      <w:outlineLvl w:val="5"/>
    </w:pPr>
    <w:rPr>
      <w:szCs w:val="20"/>
      <w:lang w:eastAsia="cs-CZ"/>
    </w:rPr>
  </w:style>
  <w:style w:type="paragraph" w:styleId="Bezmezer">
    <w:name w:val="No Spacing"/>
    <w:uiPriority w:val="1"/>
    <w:qFormat/>
    <w:rsid w:val="00231CD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CB0180"/>
    <w:rPr>
      <w:rFonts w:ascii="Calibri" w:eastAsia="Calibri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B0180"/>
    <w:rPr>
      <w:rFonts w:ascii="Calibri" w:eastAsia="Calibri" w:hAnsi="Calibri" w:cs="Times New Roman"/>
      <w:szCs w:val="21"/>
    </w:rPr>
  </w:style>
  <w:style w:type="character" w:customStyle="1" w:styleId="xsptextcomputedfield">
    <w:name w:val="xsptextcomputedfield"/>
    <w:basedOn w:val="Standardnpsmoodstavce"/>
    <w:rsid w:val="001762BA"/>
  </w:style>
  <w:style w:type="character" w:customStyle="1" w:styleId="Nadpis2Char">
    <w:name w:val="Nadpis 2 Char"/>
    <w:basedOn w:val="Standardnpsmoodstavce"/>
    <w:link w:val="Nadpis2"/>
    <w:uiPriority w:val="9"/>
    <w:rsid w:val="00686C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xtkomente">
    <w:name w:val="annotation text"/>
    <w:aliases w:val="Text poznámky"/>
    <w:basedOn w:val="Normln"/>
    <w:link w:val="TextkomenteChar"/>
    <w:unhideWhenUsed/>
    <w:rsid w:val="00686C89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0"/>
      <w:szCs w:val="20"/>
      <w:lang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686C89"/>
    <w:rPr>
      <w:rFonts w:ascii="Arial" w:eastAsia="Arial" w:hAnsi="Arial" w:cs="Arial"/>
      <w:color w:val="000000"/>
      <w:sz w:val="20"/>
      <w:szCs w:val="20"/>
    </w:rPr>
  </w:style>
  <w:style w:type="character" w:styleId="PromnnHTML">
    <w:name w:val="HTML Variable"/>
    <w:basedOn w:val="Standardnpsmoodstavce"/>
    <w:uiPriority w:val="99"/>
    <w:unhideWhenUsed/>
    <w:rsid w:val="001C1CFE"/>
    <w:rPr>
      <w:i/>
      <w:iCs/>
    </w:rPr>
  </w:style>
  <w:style w:type="paragraph" w:customStyle="1" w:styleId="l6">
    <w:name w:val="l6"/>
    <w:basedOn w:val="Normln"/>
    <w:rsid w:val="001C1CFE"/>
    <w:pPr>
      <w:spacing w:before="100" w:beforeAutospacing="1" w:after="100" w:afterAutospacing="1"/>
    </w:pPr>
    <w:rPr>
      <w:rFonts w:eastAsiaTheme="minorHAnsi"/>
      <w:lang w:eastAsia="cs-CZ"/>
    </w:rPr>
  </w:style>
  <w:style w:type="paragraph" w:customStyle="1" w:styleId="doc-ti1">
    <w:name w:val="doc-ti1"/>
    <w:basedOn w:val="Normln"/>
    <w:rsid w:val="00E544FD"/>
    <w:pPr>
      <w:spacing w:before="240" w:after="120" w:line="312" w:lineRule="atLeast"/>
      <w:jc w:val="center"/>
    </w:pPr>
    <w:rPr>
      <w:rFonts w:eastAsiaTheme="minorHAnsi"/>
      <w:b/>
      <w:bCs/>
      <w:lang w:eastAsia="cs-CZ"/>
    </w:rPr>
  </w:style>
  <w:style w:type="paragraph" w:customStyle="1" w:styleId="normal1">
    <w:name w:val="normal1"/>
    <w:basedOn w:val="Normln"/>
    <w:rsid w:val="00E544FD"/>
    <w:pPr>
      <w:spacing w:before="120" w:line="312" w:lineRule="atLeast"/>
      <w:jc w:val="both"/>
    </w:pPr>
    <w:rPr>
      <w:rFonts w:eastAsiaTheme="minorHAns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E1BC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EE1BC7"/>
    <w:rPr>
      <w:color w:val="605E5C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6B41"/>
    <w:rPr>
      <w:color w:val="605E5C"/>
      <w:shd w:val="clear" w:color="auto" w:fill="E1DFDD"/>
    </w:rPr>
  </w:style>
  <w:style w:type="paragraph" w:customStyle="1" w:styleId="Nvod">
    <w:name w:val="Návod"/>
    <w:basedOn w:val="Normln"/>
    <w:rsid w:val="00120B9B"/>
    <w:pPr>
      <w:overflowPunct w:val="0"/>
      <w:autoSpaceDE w:val="0"/>
      <w:autoSpaceDN w:val="0"/>
      <w:adjustRightInd w:val="0"/>
      <w:ind w:left="340" w:hanging="340"/>
    </w:pPr>
    <w:rPr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20B9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zkona">
    <w:name w:val="nadpis zákona"/>
    <w:basedOn w:val="Normln"/>
    <w:next w:val="Normln"/>
    <w:rsid w:val="00090D90"/>
    <w:pPr>
      <w:keepNext/>
      <w:keepLines/>
      <w:spacing w:before="120" w:after="200" w:line="276" w:lineRule="auto"/>
      <w:jc w:val="center"/>
      <w:outlineLvl w:val="0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83299"/>
    <w:pPr>
      <w:spacing w:before="120" w:after="120"/>
    </w:pPr>
    <w:rPr>
      <w:rFonts w:asciiTheme="minorHAnsi" w:eastAsiaTheme="minorHAnsi" w:hAnsiTheme="minorHAnsi"/>
      <w:b/>
      <w:bCs/>
      <w:caps/>
      <w:sz w:val="20"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71D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skypec2cprintcontainer">
    <w:name w:val="skype_c2c_print_container"/>
    <w:rsid w:val="00AF0D63"/>
  </w:style>
  <w:style w:type="paragraph" w:styleId="Titulek">
    <w:name w:val="caption"/>
    <w:basedOn w:val="Normln"/>
    <w:next w:val="Normln"/>
    <w:uiPriority w:val="35"/>
    <w:unhideWhenUsed/>
    <w:qFormat/>
    <w:rsid w:val="004D462D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 w:cs="Calibri"/>
      <w:b/>
      <w:bCs/>
      <w:i/>
      <w:color w:val="4F81BD" w:themeColor="accent1"/>
      <w:sz w:val="22"/>
      <w:szCs w:val="18"/>
      <w:lang w:eastAsia="cs-CZ"/>
    </w:rPr>
  </w:style>
  <w:style w:type="paragraph" w:customStyle="1" w:styleId="xmsonormal">
    <w:name w:val="x_msonormal"/>
    <w:basedOn w:val="Normln"/>
    <w:rsid w:val="00DB0FB7"/>
    <w:rPr>
      <w:rFonts w:ascii="Calibri" w:eastAsiaTheme="minorHAnsi" w:hAnsi="Calibri"/>
      <w:sz w:val="22"/>
      <w:szCs w:val="22"/>
      <w:lang w:eastAsia="cs-CZ"/>
    </w:rPr>
  </w:style>
  <w:style w:type="paragraph" w:customStyle="1" w:styleId="mcntmsonormal">
    <w:name w:val="mcntmsonormal"/>
    <w:basedOn w:val="Normln"/>
    <w:rsid w:val="006171EC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Standardnpsmoodstavce"/>
    <w:rsid w:val="006171EC"/>
  </w:style>
  <w:style w:type="paragraph" w:customStyle="1" w:styleId="mcntgmail-m-2262495422873537080msolistparagraph">
    <w:name w:val="mcntgmail-m_-2262495422873537080msolistparagraph"/>
    <w:basedOn w:val="Normln"/>
    <w:rsid w:val="006171EC"/>
    <w:pPr>
      <w:spacing w:before="100" w:beforeAutospacing="1" w:after="100" w:afterAutospacing="1"/>
    </w:pPr>
    <w:rPr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94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v1-wm-msonormal">
    <w:name w:val="v1-wm-msonormal"/>
    <w:basedOn w:val="Normln"/>
    <w:rsid w:val="002E7A97"/>
    <w:pPr>
      <w:spacing w:before="100" w:beforeAutospacing="1" w:after="100" w:afterAutospacing="1"/>
    </w:pPr>
  </w:style>
  <w:style w:type="paragraph" w:customStyle="1" w:styleId="xxxxmsonormal">
    <w:name w:val="x_x_xxmsonormal"/>
    <w:basedOn w:val="Normln"/>
    <w:rsid w:val="0034382A"/>
    <w:rPr>
      <w:rFonts w:ascii="Calibri" w:eastAsiaTheme="minorHAnsi" w:hAnsi="Calibri" w:cs="Calibri"/>
      <w:sz w:val="22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F170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stavceChar1">
    <w:name w:val="Text odstavce Char1"/>
    <w:basedOn w:val="Standardnpsmoodstavce"/>
    <w:link w:val="Textodstavce"/>
    <w:uiPriority w:val="99"/>
    <w:locked/>
    <w:rsid w:val="00423296"/>
    <w:rPr>
      <w:rFonts w:ascii="Times New Roman" w:eastAsia="Times New Roman" w:hAnsi="Times New Roman" w:cs="Times New Roman"/>
      <w:sz w:val="24"/>
      <w:szCs w:val="20"/>
    </w:rPr>
  </w:style>
  <w:style w:type="paragraph" w:styleId="Seznamsodrkami">
    <w:name w:val="List Bullet"/>
    <w:basedOn w:val="Normln"/>
    <w:uiPriority w:val="99"/>
    <w:unhideWhenUsed/>
    <w:rsid w:val="005D2D17"/>
    <w:pPr>
      <w:numPr>
        <w:numId w:val="4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rsid w:val="005D2D17"/>
    <w:rPr>
      <w:rFonts w:cs="Times New Roman"/>
      <w:sz w:val="16"/>
    </w:rPr>
  </w:style>
  <w:style w:type="paragraph" w:customStyle="1" w:styleId="11">
    <w:name w:val="11"/>
    <w:rsid w:val="009B45BA"/>
    <w:pPr>
      <w:spacing w:after="113" w:line="240" w:lineRule="auto"/>
      <w:ind w:left="510" w:hanging="51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">
    <w:name w:val="16"/>
    <w:rsid w:val="009B45BA"/>
    <w:pPr>
      <w:spacing w:after="57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94312C-FE38-4B93-B6E8-CD3C445D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963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Jan Zikes</cp:lastModifiedBy>
  <cp:revision>3</cp:revision>
  <dcterms:created xsi:type="dcterms:W3CDTF">2025-11-29T17:24:00Z</dcterms:created>
  <dcterms:modified xsi:type="dcterms:W3CDTF">2025-11-29T17:24:00Z</dcterms:modified>
</cp:coreProperties>
</file>