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5.xml" ContentType="application/vnd.openxmlformats-officedocument.wordprocessingml.footer+xml"/>
  <Override PartName="/word/header9.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3"/>
      </w:tblGrid>
      <w:tr w:rsidR="00574C9B" w:rsidRPr="004E2DC1" w14:paraId="4B18B74B" w14:textId="77777777" w:rsidTr="008E4CC5">
        <w:trPr>
          <w:jc w:val="center"/>
        </w:trPr>
        <w:tc>
          <w:tcPr>
            <w:tcW w:w="5000" w:type="pct"/>
            <w:vAlign w:val="center"/>
          </w:tcPr>
          <w:p w14:paraId="4B8F14AB" w14:textId="77777777" w:rsidR="00574C9B" w:rsidRPr="004E2DC1" w:rsidRDefault="00574C9B" w:rsidP="006125A1">
            <w:pPr>
              <w:jc w:val="center"/>
              <w:rPr>
                <w:b/>
                <w:sz w:val="72"/>
                <w:szCs w:val="72"/>
              </w:rPr>
            </w:pPr>
            <w:r>
              <w:rPr>
                <w:b/>
                <w:sz w:val="72"/>
              </w:rPr>
              <w:t>AVIZ</w:t>
            </w:r>
          </w:p>
        </w:tc>
      </w:tr>
      <w:tr w:rsidR="00574C9B" w:rsidRPr="004E2DC1" w14:paraId="428F80C1" w14:textId="77777777" w:rsidTr="008E4CC5">
        <w:trPr>
          <w:trHeight w:val="567"/>
          <w:jc w:val="center"/>
        </w:trPr>
        <w:tc>
          <w:tcPr>
            <w:tcW w:w="5000" w:type="pct"/>
            <w:vAlign w:val="center"/>
          </w:tcPr>
          <w:p w14:paraId="0E3C838D" w14:textId="2E0F4618" w:rsidR="00574C9B" w:rsidRPr="004E2DC1" w:rsidRDefault="00574C9B" w:rsidP="006125A1">
            <w:pPr>
              <w:jc w:val="center"/>
              <w:rPr>
                <w:sz w:val="24"/>
                <w:szCs w:val="24"/>
              </w:rPr>
            </w:pPr>
            <w:r>
              <w:rPr>
                <w:sz w:val="24"/>
              </w:rPr>
              <w:t>al Comitetului Economic și Social European</w:t>
            </w:r>
          </w:p>
        </w:tc>
      </w:tr>
      <w:tr w:rsidR="00574C9B" w:rsidRPr="004E2DC1" w14:paraId="5FCA7EB1" w14:textId="77777777" w:rsidTr="008E4CC5">
        <w:trPr>
          <w:jc w:val="center"/>
        </w:trPr>
        <w:tc>
          <w:tcPr>
            <w:tcW w:w="5000" w:type="pct"/>
            <w:vAlign w:val="center"/>
          </w:tcPr>
          <w:p w14:paraId="164B3F5D" w14:textId="377BA1CF" w:rsidR="00574C9B" w:rsidRPr="004E2DC1" w:rsidRDefault="000266E3" w:rsidP="006125A1">
            <w:pPr>
              <w:jc w:val="center"/>
              <w:rPr>
                <w:b/>
                <w:sz w:val="44"/>
                <w:szCs w:val="44"/>
              </w:rPr>
            </w:pPr>
            <w:r>
              <w:rPr>
                <w:b/>
                <w:sz w:val="44"/>
              </w:rPr>
              <w:t>Viitorul alimentelor ecologice și de calitate</w:t>
            </w:r>
          </w:p>
        </w:tc>
      </w:tr>
      <w:tr w:rsidR="00574C9B" w:rsidRPr="004E2DC1" w14:paraId="0A2CA787" w14:textId="77777777" w:rsidTr="008E4CC5">
        <w:trPr>
          <w:jc w:val="center"/>
        </w:trPr>
        <w:tc>
          <w:tcPr>
            <w:tcW w:w="5000" w:type="pct"/>
            <w:vAlign w:val="center"/>
          </w:tcPr>
          <w:p w14:paraId="766B3712" w14:textId="77777777" w:rsidR="00574C9B" w:rsidRPr="00221D36" w:rsidRDefault="00574C9B" w:rsidP="00D7034B">
            <w:pPr>
              <w:overflowPunct w:val="0"/>
              <w:autoSpaceDE w:val="0"/>
              <w:autoSpaceDN w:val="0"/>
              <w:adjustRightInd w:val="0"/>
              <w:spacing w:after="200"/>
              <w:jc w:val="center"/>
              <w:textAlignment w:val="baseline"/>
              <w:rPr>
                <w:b/>
                <w:position w:val="24"/>
                <w:sz w:val="24"/>
                <w:szCs w:val="24"/>
              </w:rPr>
            </w:pPr>
            <w:r>
              <w:rPr>
                <w:sz w:val="24"/>
              </w:rPr>
              <w:t>__________</w:t>
            </w:r>
          </w:p>
        </w:tc>
      </w:tr>
      <w:tr w:rsidR="00574C9B" w:rsidRPr="004E2DC1" w14:paraId="651BE820" w14:textId="77777777" w:rsidTr="008E4CC5">
        <w:trPr>
          <w:jc w:val="center"/>
        </w:trPr>
        <w:tc>
          <w:tcPr>
            <w:tcW w:w="5000" w:type="pct"/>
            <w:vAlign w:val="center"/>
          </w:tcPr>
          <w:p w14:paraId="0AD48272" w14:textId="47298505" w:rsidR="00221D36" w:rsidRPr="00221D36" w:rsidRDefault="00186921" w:rsidP="00914683">
            <w:pPr>
              <w:jc w:val="center"/>
              <w:rPr>
                <w:sz w:val="24"/>
                <w:szCs w:val="24"/>
              </w:rPr>
            </w:pPr>
            <w:r>
              <w:rPr>
                <w:sz w:val="24"/>
              </w:rPr>
              <w:t xml:space="preserve">Viitorul alimentelor ecologice și de calitate </w:t>
            </w:r>
            <w:r w:rsidR="00D7034B">
              <w:rPr>
                <w:sz w:val="24"/>
              </w:rPr>
              <w:br/>
            </w:r>
            <w:r>
              <w:rPr>
                <w:sz w:val="24"/>
              </w:rPr>
              <w:t>și modul în care poate fi promovat consumul lor</w:t>
            </w:r>
          </w:p>
          <w:p w14:paraId="27CE75DA" w14:textId="66C79936" w:rsidR="00914683" w:rsidRPr="00377DA3" w:rsidRDefault="00914683" w:rsidP="00914683">
            <w:pPr>
              <w:jc w:val="center"/>
              <w:rPr>
                <w:b/>
                <w:bCs/>
                <w:sz w:val="24"/>
                <w:szCs w:val="24"/>
              </w:rPr>
            </w:pPr>
            <w:r>
              <w:rPr>
                <w:b/>
                <w:sz w:val="24"/>
              </w:rPr>
              <w:t>(aviz din proprie inițiativă)</w:t>
            </w:r>
          </w:p>
          <w:p w14:paraId="6E238E6D" w14:textId="124D9080" w:rsidR="00574C9B" w:rsidRPr="00221D36" w:rsidRDefault="00574C9B" w:rsidP="00914683">
            <w:pPr>
              <w:jc w:val="center"/>
              <w:rPr>
                <w:sz w:val="24"/>
                <w:szCs w:val="24"/>
                <w:lang w:val="en-GB"/>
              </w:rPr>
            </w:pPr>
          </w:p>
        </w:tc>
      </w:tr>
      <w:tr w:rsidR="00574C9B" w:rsidRPr="004E2DC1" w14:paraId="295584EE" w14:textId="77777777" w:rsidTr="008E4CC5">
        <w:trPr>
          <w:jc w:val="center"/>
        </w:trPr>
        <w:tc>
          <w:tcPr>
            <w:tcW w:w="5000" w:type="pct"/>
            <w:vAlign w:val="center"/>
          </w:tcPr>
          <w:p w14:paraId="7AA50FA1" w14:textId="77777777" w:rsidR="00574C9B" w:rsidRPr="00221D36" w:rsidRDefault="00574C9B" w:rsidP="006125A1">
            <w:pPr>
              <w:jc w:val="center"/>
              <w:rPr>
                <w:sz w:val="24"/>
                <w:szCs w:val="24"/>
                <w:lang w:val="en-GB"/>
              </w:rPr>
            </w:pPr>
          </w:p>
        </w:tc>
      </w:tr>
      <w:tr w:rsidR="00574C9B" w:rsidRPr="004E2DC1" w14:paraId="41F47321" w14:textId="77777777" w:rsidTr="008E4CC5">
        <w:trPr>
          <w:jc w:val="center"/>
        </w:trPr>
        <w:tc>
          <w:tcPr>
            <w:tcW w:w="5000" w:type="pct"/>
            <w:vAlign w:val="center"/>
          </w:tcPr>
          <w:p w14:paraId="50D97899" w14:textId="44AD36D9" w:rsidR="00574C9B" w:rsidRPr="00221D36" w:rsidRDefault="00186921" w:rsidP="006125A1">
            <w:pPr>
              <w:jc w:val="center"/>
              <w:rPr>
                <w:b/>
                <w:sz w:val="24"/>
                <w:szCs w:val="24"/>
              </w:rPr>
            </w:pPr>
            <w:r>
              <w:rPr>
                <w:b/>
                <w:sz w:val="24"/>
              </w:rPr>
              <w:t>NAT/949</w:t>
            </w:r>
          </w:p>
        </w:tc>
      </w:tr>
      <w:tr w:rsidR="00574C9B" w:rsidRPr="004E2DC1" w14:paraId="2110FDEB" w14:textId="77777777" w:rsidTr="008E4CC5">
        <w:trPr>
          <w:jc w:val="center"/>
        </w:trPr>
        <w:tc>
          <w:tcPr>
            <w:tcW w:w="5000" w:type="pct"/>
            <w:vAlign w:val="center"/>
          </w:tcPr>
          <w:p w14:paraId="59F181E4" w14:textId="77777777" w:rsidR="00574C9B" w:rsidRPr="00221D36" w:rsidRDefault="00574C9B" w:rsidP="006125A1">
            <w:pPr>
              <w:jc w:val="center"/>
              <w:rPr>
                <w:sz w:val="24"/>
                <w:szCs w:val="24"/>
                <w:lang w:val="en-GB"/>
              </w:rPr>
            </w:pPr>
          </w:p>
        </w:tc>
      </w:tr>
      <w:tr w:rsidR="00574C9B" w:rsidRPr="004E2DC1" w14:paraId="5DF7EBEA" w14:textId="77777777" w:rsidTr="008E4CC5">
        <w:trPr>
          <w:jc w:val="center"/>
        </w:trPr>
        <w:tc>
          <w:tcPr>
            <w:tcW w:w="5000" w:type="pct"/>
            <w:vAlign w:val="center"/>
          </w:tcPr>
          <w:p w14:paraId="23E9DE0A" w14:textId="441DED16" w:rsidR="00574C9B" w:rsidRPr="00221D36" w:rsidRDefault="00574C9B" w:rsidP="006125A1">
            <w:pPr>
              <w:jc w:val="center"/>
              <w:rPr>
                <w:sz w:val="24"/>
                <w:szCs w:val="24"/>
              </w:rPr>
            </w:pPr>
            <w:r>
              <w:rPr>
                <w:sz w:val="24"/>
              </w:rPr>
              <w:t xml:space="preserve">Raportor: </w:t>
            </w:r>
            <w:r>
              <w:rPr>
                <w:b/>
                <w:sz w:val="24"/>
              </w:rPr>
              <w:t>Decebal-Ștefăniță PĂDURE</w:t>
            </w:r>
          </w:p>
        </w:tc>
      </w:tr>
      <w:tr w:rsidR="00CB7CD0" w:rsidRPr="004E2DC1" w14:paraId="1AE590E4" w14:textId="77777777" w:rsidTr="008E4CC5">
        <w:trPr>
          <w:jc w:val="center"/>
        </w:trPr>
        <w:tc>
          <w:tcPr>
            <w:tcW w:w="5000" w:type="pct"/>
            <w:vAlign w:val="center"/>
          </w:tcPr>
          <w:p w14:paraId="3CA82D7B" w14:textId="4B1D3F0E" w:rsidR="00CB7CD0" w:rsidRPr="00221D36" w:rsidRDefault="00CB7CD0" w:rsidP="006125A1">
            <w:pPr>
              <w:jc w:val="center"/>
              <w:rPr>
                <w:sz w:val="24"/>
                <w:szCs w:val="24"/>
              </w:rPr>
            </w:pPr>
            <w:r>
              <w:rPr>
                <w:sz w:val="24"/>
              </w:rPr>
              <w:t xml:space="preserve">Coraportoare: </w:t>
            </w:r>
            <w:proofErr w:type="spellStart"/>
            <w:r>
              <w:rPr>
                <w:b/>
                <w:sz w:val="24"/>
              </w:rPr>
              <w:t>Kerli</w:t>
            </w:r>
            <w:proofErr w:type="spellEnd"/>
            <w:r>
              <w:rPr>
                <w:b/>
                <w:sz w:val="24"/>
              </w:rPr>
              <w:t xml:space="preserve"> ATS</w:t>
            </w:r>
          </w:p>
        </w:tc>
      </w:tr>
    </w:tbl>
    <w:p w14:paraId="0B225863" w14:textId="77777777" w:rsidR="00574C9B" w:rsidRPr="004E2DC1" w:rsidRDefault="00574C9B" w:rsidP="00574C9B">
      <w:r>
        <w:rPr>
          <w:noProof/>
          <w:sz w:val="20"/>
        </w:rPr>
        <mc:AlternateContent>
          <mc:Choice Requires="wps">
            <w:drawing>
              <wp:anchor distT="0" distB="0" distL="114300" distR="114300" simplePos="0" relativeHeight="251658240" behindDoc="1" locked="0" layoutInCell="0" allowOverlap="1" wp14:anchorId="3735E109" wp14:editId="3357AC0E">
                <wp:simplePos x="0" y="0"/>
                <wp:positionH relativeFrom="rightMargin">
                  <wp:posOffset>-201930</wp:posOffset>
                </wp:positionH>
                <wp:positionV relativeFrom="page">
                  <wp:posOffset>9486900</wp:posOffset>
                </wp:positionV>
                <wp:extent cx="741600" cy="432000"/>
                <wp:effectExtent l="0" t="0" r="0" b="635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00" cy="432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B00903" w14:textId="77777777" w:rsidR="00574C9B" w:rsidRDefault="00574C9B" w:rsidP="00574C9B">
                            <w:pPr>
                              <w:jc w:val="center"/>
                            </w:pPr>
                            <w:r>
                              <w:rPr>
                                <w:rFonts w:ascii="Arial" w:hAnsi="Arial"/>
                                <w:b/>
                                <w:sz w:val="48"/>
                              </w:rPr>
                              <w:t>RO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35E109" id="_x0000_t202" coordsize="21600,21600" o:spt="202" path="m,l,21600r21600,l21600,xe">
                <v:stroke joinstyle="miter"/>
                <v:path gradientshapeok="t" o:connecttype="rect"/>
              </v:shapetype>
              <v:shape id="Text Box 17" o:spid="_x0000_s1026" type="#_x0000_t202" style="position:absolute;left:0;text-align:left;margin-left:-15.9pt;margin-top:747pt;width:58.4pt;height:34pt;z-index:-25165824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" o:allowincell="f" filled="f" stroked="f">
                <v:textbox>
                  <w:txbxContent>
                    <w:p w14:paraId="03B00903" w14:textId="77777777" w:rsidR="00574C9B" w:rsidRDefault="00574C9B" w:rsidP="00574C9B">
                      <w:pPr>
                        <w:jc w:val="center"/>
                      </w:pPr>
                      <w:r>
                        <w:rPr>
                          <w:rFonts w:ascii="Arial" w:hAnsi="Arial"/>
                          <w:b/>
                          <w:sz w:val="48"/>
                        </w:rPr>
                        <w:t>RO</w:t>
                      </w:r>
                    </w:p>
                  </w:txbxContent>
                </v:textbox>
                <w10:wrap anchorx="margin" anchory="page"/>
              </v:shape>
            </w:pict>
          </mc:Fallback>
        </mc:AlternateContent>
      </w:r>
    </w:p>
    <w:p w14:paraId="3FA5826A" w14:textId="77777777" w:rsidR="00574C9B" w:rsidRPr="004E2DC1" w:rsidRDefault="00574C9B" w:rsidP="00574C9B">
      <w:pPr>
        <w:rPr>
          <w:lang w:val="en-GB"/>
        </w:rPr>
      </w:pPr>
    </w:p>
    <w:p w14:paraId="4B88FC0A" w14:textId="77777777" w:rsidR="00574C9B" w:rsidRPr="004E2DC1" w:rsidRDefault="00574C9B" w:rsidP="00574C9B">
      <w:pPr>
        <w:rPr>
          <w:lang w:val="en-GB"/>
        </w:rPr>
        <w:sectPr w:rsidR="00574C9B" w:rsidRPr="004E2DC1" w:rsidSect="00221D36">
          <w:headerReference w:type="even" r:id="rId11"/>
          <w:headerReference w:type="default" r:id="rId12"/>
          <w:footerReference w:type="even" r:id="rId13"/>
          <w:footerReference w:type="default" r:id="rId14"/>
          <w:headerReference w:type="first" r:id="rId15"/>
          <w:footerReference w:type="first" r:id="rId16"/>
          <w:pgSz w:w="11907" w:h="16839" w:code="9"/>
          <w:pgMar w:top="5669" w:right="1417" w:bottom="1417" w:left="1417" w:header="709" w:footer="709" w:gutter="0"/>
          <w:cols w:space="720"/>
          <w:docGrid w:linePitch="360"/>
        </w:sectPr>
      </w:pPr>
    </w:p>
    <w:tbl>
      <w:tblPr>
        <w:tblpPr w:leftFromText="181" w:rightFromText="181" w:tblpYSpec="bottom"/>
        <w:tblOverlap w:val="never"/>
        <w:tblW w:w="9289" w:type="dxa"/>
        <w:tblLayout w:type="fixed"/>
        <w:tblLook w:val="04A0" w:firstRow="1" w:lastRow="0" w:firstColumn="1" w:lastColumn="0" w:noHBand="0" w:noVBand="1"/>
      </w:tblPr>
      <w:tblGrid>
        <w:gridCol w:w="3261"/>
        <w:gridCol w:w="6028"/>
      </w:tblGrid>
      <w:tr w:rsidR="00914683" w:rsidRPr="004E2DC1" w14:paraId="3380D050" w14:textId="77777777" w:rsidTr="00D7034B">
        <w:tc>
          <w:tcPr>
            <w:tcW w:w="3261" w:type="dxa"/>
          </w:tcPr>
          <w:p w14:paraId="51BED169" w14:textId="78CD25F5" w:rsidR="00914683" w:rsidRPr="004E2DC1" w:rsidRDefault="00914683" w:rsidP="0058411F">
            <w:pPr>
              <w:autoSpaceDE w:val="0"/>
              <w:autoSpaceDN w:val="0"/>
              <w:jc w:val="left"/>
              <w:rPr>
                <w:szCs w:val="20"/>
              </w:rPr>
            </w:pPr>
            <w:r>
              <w:lastRenderedPageBreak/>
              <w:t>Consilier</w:t>
            </w:r>
          </w:p>
        </w:tc>
        <w:tc>
          <w:tcPr>
            <w:tcW w:w="6028" w:type="dxa"/>
            <w:vAlign w:val="bottom"/>
          </w:tcPr>
          <w:p w14:paraId="207494E5" w14:textId="7649CE5E" w:rsidR="00914683" w:rsidRPr="004E2DC1" w:rsidRDefault="00DD4E12" w:rsidP="0058411F">
            <w:pPr>
              <w:autoSpaceDE w:val="0"/>
              <w:autoSpaceDN w:val="0"/>
              <w:jc w:val="left"/>
            </w:pPr>
            <w:r>
              <w:t>Mircea MITRUȚIU (pentru raportori)</w:t>
            </w:r>
          </w:p>
        </w:tc>
      </w:tr>
      <w:tr w:rsidR="00914683" w:rsidRPr="004E2DC1" w14:paraId="64074C63" w14:textId="77777777" w:rsidTr="00D7034B">
        <w:tc>
          <w:tcPr>
            <w:tcW w:w="3261" w:type="dxa"/>
          </w:tcPr>
          <w:p w14:paraId="51393BC8" w14:textId="77777777" w:rsidR="00914683" w:rsidRPr="004E2DC1" w:rsidRDefault="00914683" w:rsidP="0058411F">
            <w:pPr>
              <w:autoSpaceDE w:val="0"/>
              <w:autoSpaceDN w:val="0"/>
              <w:jc w:val="left"/>
              <w:rPr>
                <w:szCs w:val="20"/>
                <w:lang w:val="en-GB"/>
              </w:rPr>
            </w:pPr>
          </w:p>
        </w:tc>
        <w:tc>
          <w:tcPr>
            <w:tcW w:w="6028" w:type="dxa"/>
            <w:vAlign w:val="bottom"/>
          </w:tcPr>
          <w:p w14:paraId="1BB75A13" w14:textId="77777777" w:rsidR="00914683" w:rsidRPr="004E2DC1" w:rsidRDefault="00914683" w:rsidP="0058411F">
            <w:pPr>
              <w:autoSpaceDE w:val="0"/>
              <w:autoSpaceDN w:val="0"/>
              <w:jc w:val="left"/>
              <w:rPr>
                <w:lang w:val="en-GB"/>
              </w:rPr>
            </w:pPr>
          </w:p>
        </w:tc>
      </w:tr>
      <w:tr w:rsidR="00914683" w:rsidRPr="004E2DC1" w14:paraId="21AF33F1" w14:textId="77777777" w:rsidTr="00D7034B">
        <w:tc>
          <w:tcPr>
            <w:tcW w:w="3261" w:type="dxa"/>
          </w:tcPr>
          <w:p w14:paraId="7B26A8E7" w14:textId="568CF9D2" w:rsidR="00914683" w:rsidRPr="004E2DC1" w:rsidRDefault="00914683" w:rsidP="0058411F">
            <w:pPr>
              <w:autoSpaceDE w:val="0"/>
              <w:autoSpaceDN w:val="0"/>
              <w:jc w:val="left"/>
              <w:rPr>
                <w:szCs w:val="20"/>
              </w:rPr>
            </w:pPr>
            <w:r>
              <w:t>Decizia Adunării Plenare</w:t>
            </w:r>
          </w:p>
        </w:tc>
        <w:tc>
          <w:tcPr>
            <w:tcW w:w="6028" w:type="dxa"/>
            <w:vAlign w:val="bottom"/>
          </w:tcPr>
          <w:p w14:paraId="152AB004" w14:textId="31076F51" w:rsidR="00914683" w:rsidRPr="004E2DC1" w:rsidRDefault="00EB0175" w:rsidP="0058411F">
            <w:pPr>
              <w:autoSpaceDE w:val="0"/>
              <w:autoSpaceDN w:val="0"/>
              <w:jc w:val="left"/>
            </w:pPr>
            <w:r>
              <w:t>23/1/2025</w:t>
            </w:r>
          </w:p>
        </w:tc>
      </w:tr>
      <w:tr w:rsidR="00914683" w:rsidRPr="004E2DC1" w14:paraId="3E385435" w14:textId="77777777" w:rsidTr="00D7034B">
        <w:tc>
          <w:tcPr>
            <w:tcW w:w="3261" w:type="dxa"/>
          </w:tcPr>
          <w:p w14:paraId="3054D729" w14:textId="5D5B5FF6" w:rsidR="00914683" w:rsidRPr="004E2DC1" w:rsidRDefault="00914683" w:rsidP="0058411F">
            <w:pPr>
              <w:autoSpaceDE w:val="0"/>
              <w:autoSpaceDN w:val="0"/>
              <w:jc w:val="left"/>
              <w:rPr>
                <w:szCs w:val="20"/>
              </w:rPr>
            </w:pPr>
            <w:r>
              <w:t>Temei juridic</w:t>
            </w:r>
          </w:p>
        </w:tc>
        <w:tc>
          <w:tcPr>
            <w:tcW w:w="6028" w:type="dxa"/>
            <w:vAlign w:val="bottom"/>
          </w:tcPr>
          <w:p w14:paraId="41CF067A" w14:textId="3B6396C1" w:rsidR="00914683" w:rsidRPr="004E2DC1" w:rsidRDefault="00914683" w:rsidP="0058411F">
            <w:pPr>
              <w:autoSpaceDE w:val="0"/>
              <w:autoSpaceDN w:val="0"/>
              <w:jc w:val="left"/>
            </w:pPr>
            <w:r>
              <w:t>Articolul 52 alineatul (2) din Regulamentul de procedură</w:t>
            </w:r>
          </w:p>
        </w:tc>
      </w:tr>
      <w:tr w:rsidR="00FB1D7A" w:rsidRPr="004E2DC1" w14:paraId="5AE03416" w14:textId="77777777" w:rsidTr="00D7034B">
        <w:tc>
          <w:tcPr>
            <w:tcW w:w="3261" w:type="dxa"/>
          </w:tcPr>
          <w:p w14:paraId="23BFBA33" w14:textId="087ED3B4" w:rsidR="00FB1D7A" w:rsidRPr="004E2DC1" w:rsidRDefault="00FB1D7A" w:rsidP="0058411F">
            <w:pPr>
              <w:autoSpaceDE w:val="0"/>
              <w:autoSpaceDN w:val="0"/>
              <w:jc w:val="left"/>
              <w:rPr>
                <w:szCs w:val="20"/>
                <w:lang w:val="en-GB"/>
              </w:rPr>
            </w:pPr>
          </w:p>
        </w:tc>
        <w:tc>
          <w:tcPr>
            <w:tcW w:w="6028" w:type="dxa"/>
            <w:vAlign w:val="bottom"/>
          </w:tcPr>
          <w:p w14:paraId="0D56ED74" w14:textId="048C5512" w:rsidR="00FB1D7A" w:rsidRPr="004E2DC1" w:rsidRDefault="00FB1D7A" w:rsidP="0058411F">
            <w:pPr>
              <w:autoSpaceDE w:val="0"/>
              <w:autoSpaceDN w:val="0"/>
              <w:jc w:val="left"/>
              <w:rPr>
                <w:lang w:val="en-GB"/>
              </w:rPr>
            </w:pPr>
          </w:p>
        </w:tc>
      </w:tr>
      <w:tr w:rsidR="00AC5114" w:rsidRPr="004E2DC1" w14:paraId="46C189AE" w14:textId="77777777" w:rsidTr="00D7034B">
        <w:tc>
          <w:tcPr>
            <w:tcW w:w="3261" w:type="dxa"/>
          </w:tcPr>
          <w:p w14:paraId="2DA32C67" w14:textId="16A83B41" w:rsidR="00AC5114" w:rsidRPr="004E2DC1" w:rsidRDefault="00AC5114" w:rsidP="0058411F">
            <w:pPr>
              <w:autoSpaceDE w:val="0"/>
              <w:autoSpaceDN w:val="0"/>
              <w:jc w:val="left"/>
              <w:rPr>
                <w:szCs w:val="20"/>
                <w:lang w:val="en-GB"/>
              </w:rPr>
            </w:pPr>
          </w:p>
        </w:tc>
        <w:tc>
          <w:tcPr>
            <w:tcW w:w="6028" w:type="dxa"/>
            <w:vAlign w:val="bottom"/>
          </w:tcPr>
          <w:p w14:paraId="67EB3E4A" w14:textId="0624D009" w:rsidR="00AC5114" w:rsidRPr="004E2DC1" w:rsidRDefault="00AC5114" w:rsidP="0058411F">
            <w:pPr>
              <w:autoSpaceDE w:val="0"/>
              <w:autoSpaceDN w:val="0"/>
              <w:jc w:val="left"/>
              <w:rPr>
                <w:szCs w:val="20"/>
                <w:lang w:val="en-GB"/>
              </w:rPr>
            </w:pPr>
          </w:p>
        </w:tc>
      </w:tr>
      <w:tr w:rsidR="00AC5114" w:rsidRPr="004E2DC1" w14:paraId="0E2099A6" w14:textId="77777777" w:rsidTr="00D7034B">
        <w:tc>
          <w:tcPr>
            <w:tcW w:w="3261" w:type="dxa"/>
          </w:tcPr>
          <w:p w14:paraId="0BC68BA5" w14:textId="77777777" w:rsidR="00AC5114" w:rsidRPr="004E2DC1" w:rsidRDefault="00AC5114" w:rsidP="0058411F">
            <w:pPr>
              <w:autoSpaceDE w:val="0"/>
              <w:autoSpaceDN w:val="0"/>
              <w:jc w:val="left"/>
            </w:pPr>
            <w:r>
              <w:t>Secțiunea competentă</w:t>
            </w:r>
          </w:p>
        </w:tc>
        <w:tc>
          <w:tcPr>
            <w:tcW w:w="6028" w:type="dxa"/>
            <w:vAlign w:val="bottom"/>
          </w:tcPr>
          <w:p w14:paraId="5AE7EA9E" w14:textId="4CC884BE" w:rsidR="00AC5114" w:rsidRPr="004E2DC1" w:rsidRDefault="00CE303A" w:rsidP="00D7034B">
            <w:pPr>
              <w:autoSpaceDE w:val="0"/>
              <w:autoSpaceDN w:val="0"/>
            </w:pPr>
            <w:r>
              <w:t>Secțiunea pentru agricultură, dezvoltare rurală și protecția mediului</w:t>
            </w:r>
          </w:p>
        </w:tc>
      </w:tr>
      <w:tr w:rsidR="00AC5114" w:rsidRPr="004E2DC1" w14:paraId="53972E32" w14:textId="77777777" w:rsidTr="00D7034B">
        <w:tc>
          <w:tcPr>
            <w:tcW w:w="3261" w:type="dxa"/>
          </w:tcPr>
          <w:p w14:paraId="13B33E83" w14:textId="77777777" w:rsidR="00AC5114" w:rsidRPr="004E2DC1" w:rsidRDefault="00AC5114" w:rsidP="0058411F">
            <w:pPr>
              <w:autoSpaceDE w:val="0"/>
              <w:autoSpaceDN w:val="0"/>
              <w:jc w:val="left"/>
            </w:pPr>
            <w:r>
              <w:t>Data adoptării în secțiune</w:t>
            </w:r>
          </w:p>
        </w:tc>
        <w:tc>
          <w:tcPr>
            <w:tcW w:w="6028" w:type="dxa"/>
            <w:vAlign w:val="bottom"/>
          </w:tcPr>
          <w:p w14:paraId="5E71ECD2" w14:textId="34E5E601" w:rsidR="00AC5114" w:rsidRPr="004E2DC1" w:rsidRDefault="00CE303A" w:rsidP="0058411F">
            <w:pPr>
              <w:autoSpaceDE w:val="0"/>
              <w:autoSpaceDN w:val="0"/>
              <w:jc w:val="left"/>
            </w:pPr>
            <w:r>
              <w:t>25/6/2025</w:t>
            </w:r>
          </w:p>
        </w:tc>
      </w:tr>
      <w:tr w:rsidR="0058411F" w:rsidRPr="004E2DC1" w14:paraId="7AE47B93" w14:textId="77777777" w:rsidTr="00D7034B">
        <w:tc>
          <w:tcPr>
            <w:tcW w:w="3261" w:type="dxa"/>
          </w:tcPr>
          <w:p w14:paraId="26DE3092" w14:textId="5B7F7C13" w:rsidR="0058411F" w:rsidRPr="004E2DC1" w:rsidRDefault="0058411F" w:rsidP="0058411F">
            <w:pPr>
              <w:autoSpaceDE w:val="0"/>
              <w:autoSpaceDN w:val="0"/>
              <w:jc w:val="left"/>
            </w:pPr>
            <w:r>
              <w:t>Data adoptării în sesiunea plenară</w:t>
            </w:r>
          </w:p>
        </w:tc>
        <w:tc>
          <w:tcPr>
            <w:tcW w:w="6028" w:type="dxa"/>
            <w:vAlign w:val="bottom"/>
          </w:tcPr>
          <w:p w14:paraId="34FA2183" w14:textId="1D980397" w:rsidR="0058411F" w:rsidRPr="004E2DC1" w:rsidRDefault="00480D98" w:rsidP="0058411F">
            <w:pPr>
              <w:autoSpaceDE w:val="0"/>
              <w:autoSpaceDN w:val="0"/>
              <w:jc w:val="left"/>
            </w:pPr>
            <w:r>
              <w:t>18/9/2025</w:t>
            </w:r>
          </w:p>
        </w:tc>
      </w:tr>
      <w:tr w:rsidR="0058411F" w:rsidRPr="004E2DC1" w14:paraId="2FE8AE44" w14:textId="77777777" w:rsidTr="00D7034B">
        <w:tc>
          <w:tcPr>
            <w:tcW w:w="3261" w:type="dxa"/>
          </w:tcPr>
          <w:p w14:paraId="2A65A034" w14:textId="77777777" w:rsidR="0058411F" w:rsidRPr="004E2DC1" w:rsidRDefault="0058411F" w:rsidP="0058411F">
            <w:pPr>
              <w:autoSpaceDE w:val="0"/>
              <w:autoSpaceDN w:val="0"/>
              <w:jc w:val="left"/>
            </w:pPr>
            <w:r>
              <w:t>Sesiunea plenară nr.</w:t>
            </w:r>
          </w:p>
        </w:tc>
        <w:tc>
          <w:tcPr>
            <w:tcW w:w="6028" w:type="dxa"/>
            <w:vAlign w:val="bottom"/>
          </w:tcPr>
          <w:p w14:paraId="17BFB0A7" w14:textId="6BCE8016" w:rsidR="0058411F" w:rsidRPr="004E2DC1" w:rsidRDefault="004145C8" w:rsidP="0058411F">
            <w:pPr>
              <w:autoSpaceDE w:val="0"/>
              <w:autoSpaceDN w:val="0"/>
              <w:jc w:val="left"/>
            </w:pPr>
            <w:r>
              <w:t>599</w:t>
            </w:r>
          </w:p>
        </w:tc>
      </w:tr>
      <w:tr w:rsidR="0058411F" w:rsidRPr="004E2DC1" w14:paraId="3889B17A" w14:textId="77777777" w:rsidTr="00D7034B">
        <w:tc>
          <w:tcPr>
            <w:tcW w:w="3261" w:type="dxa"/>
          </w:tcPr>
          <w:p w14:paraId="0C723801" w14:textId="0296DCC1" w:rsidR="0058411F" w:rsidRPr="004E2DC1" w:rsidRDefault="0058411F" w:rsidP="0058411F">
            <w:pPr>
              <w:autoSpaceDE w:val="0"/>
              <w:autoSpaceDN w:val="0"/>
              <w:jc w:val="left"/>
            </w:pPr>
            <w:r>
              <w:t>Rezultatul votului</w:t>
            </w:r>
            <w:r>
              <w:br/>
              <w:t>(pentru/împotrivă/abțineri)</w:t>
            </w:r>
          </w:p>
        </w:tc>
        <w:tc>
          <w:tcPr>
            <w:tcW w:w="6028" w:type="dxa"/>
            <w:vAlign w:val="bottom"/>
          </w:tcPr>
          <w:p w14:paraId="14DB34EA" w14:textId="6C14A9BA" w:rsidR="0058411F" w:rsidRPr="004E2DC1" w:rsidRDefault="000C3B70" w:rsidP="0058411F">
            <w:pPr>
              <w:autoSpaceDE w:val="0"/>
              <w:autoSpaceDN w:val="0"/>
              <w:jc w:val="left"/>
            </w:pPr>
            <w:r>
              <w:t>149/0/2</w:t>
            </w:r>
          </w:p>
        </w:tc>
      </w:tr>
    </w:tbl>
    <w:p w14:paraId="156A5F34" w14:textId="77777777" w:rsidR="00AC5114" w:rsidRPr="004E2DC1" w:rsidRDefault="00AC5114" w:rsidP="00574C9B">
      <w:pPr>
        <w:rPr>
          <w:lang w:val="en-GB"/>
        </w:rPr>
      </w:pPr>
    </w:p>
    <w:p w14:paraId="2CD3051D" w14:textId="77777777" w:rsidR="00AC5114" w:rsidRPr="004E2DC1" w:rsidRDefault="00AC5114" w:rsidP="00574C9B">
      <w:pPr>
        <w:rPr>
          <w:lang w:val="en-GB"/>
        </w:rPr>
        <w:sectPr w:rsidR="00AC5114" w:rsidRPr="004E2DC1" w:rsidSect="00221D36">
          <w:headerReference w:type="even" r:id="rId17"/>
          <w:headerReference w:type="default" r:id="rId18"/>
          <w:footerReference w:type="default" r:id="rId19"/>
          <w:headerReference w:type="first" r:id="rId20"/>
          <w:pgSz w:w="11907" w:h="16839" w:code="9"/>
          <w:pgMar w:top="5669" w:right="1418" w:bottom="1418" w:left="1418" w:header="709" w:footer="709" w:gutter="0"/>
          <w:cols w:space="720"/>
          <w:docGrid w:linePitch="360"/>
        </w:sectPr>
      </w:pPr>
    </w:p>
    <w:p w14:paraId="2422274F" w14:textId="77777777" w:rsidR="008F2BB1" w:rsidRPr="00377DA3" w:rsidRDefault="008F2BB1" w:rsidP="008F2BB1">
      <w:pPr>
        <w:pStyle w:val="Heading1"/>
        <w:rPr>
          <w:b/>
          <w:bCs/>
        </w:rPr>
      </w:pPr>
      <w:r>
        <w:rPr>
          <w:b/>
        </w:rPr>
        <w:lastRenderedPageBreak/>
        <w:t>Concluzii și recomandări</w:t>
      </w:r>
    </w:p>
    <w:p w14:paraId="4D4ABE9E" w14:textId="77777777" w:rsidR="008F2BB1" w:rsidRPr="00377DA3" w:rsidRDefault="008F2BB1" w:rsidP="008F2BB1">
      <w:pPr>
        <w:rPr>
          <w:lang w:val="en-GB"/>
        </w:rPr>
      </w:pPr>
    </w:p>
    <w:p w14:paraId="477F80B9" w14:textId="77777777" w:rsidR="008F2BB1" w:rsidRPr="00B42AD4" w:rsidRDefault="008F2BB1">
      <w:pPr>
        <w:pStyle w:val="Heading2"/>
      </w:pPr>
      <w:r>
        <w:rPr>
          <w:b/>
        </w:rPr>
        <w:t>O politică alimentară coerentă</w:t>
      </w:r>
      <w:r>
        <w:t xml:space="preserve"> – Comitetul Economic și Social European (CESE) subliniază necesitatea unei politici alimentare transversale a UE, care să integreze agricultura ecologică și sistemele de calitate în strategiile de mediu, sănătate, climă și dezvoltare rurală.</w:t>
      </w:r>
    </w:p>
    <w:p w14:paraId="017A246F" w14:textId="77777777" w:rsidR="008F2BB1" w:rsidRPr="00377DA3" w:rsidRDefault="008F2BB1" w:rsidP="008F2BB1">
      <w:pPr>
        <w:rPr>
          <w:lang w:val="en-GB"/>
        </w:rPr>
      </w:pPr>
    </w:p>
    <w:p w14:paraId="45D46707" w14:textId="77777777" w:rsidR="008F2BB1" w:rsidRPr="00B42AD4" w:rsidRDefault="008F2BB1">
      <w:pPr>
        <w:pStyle w:val="Heading2"/>
      </w:pPr>
      <w:r>
        <w:rPr>
          <w:b/>
        </w:rPr>
        <w:t>Un sprijin mai cuprinzător, dincolo de finanțare</w:t>
      </w:r>
      <w:r>
        <w:t xml:space="preserve"> – Subvențiile în sine nu sunt suficiente; sunt necesare măsuri integrate, cum ar fi reducerea TVA, achizițiile publice pentru produse de calitate, serviciile de consiliere și inovarea, pentru a sprijini dezvoltarea durabilă a sectorului.</w:t>
      </w:r>
    </w:p>
    <w:p w14:paraId="008153EF" w14:textId="77777777" w:rsidR="008F2BB1" w:rsidRPr="00377DA3" w:rsidRDefault="008F2BB1" w:rsidP="008F2BB1">
      <w:pPr>
        <w:rPr>
          <w:lang w:val="en-GB"/>
        </w:rPr>
      </w:pPr>
    </w:p>
    <w:p w14:paraId="7C7DB556" w14:textId="77777777" w:rsidR="008F2BB1" w:rsidRPr="00B42AD4" w:rsidRDefault="008F2BB1">
      <w:pPr>
        <w:pStyle w:val="Heading2"/>
      </w:pPr>
      <w:r>
        <w:rPr>
          <w:b/>
        </w:rPr>
        <w:t>Consolidarea controalelor și a trasabilității</w:t>
      </w:r>
      <w:r>
        <w:t xml:space="preserve"> – Este esențial să se consolideze sistemele de control, să se armonizeze standardele de echivalență și să se pună în aplicare trasabilitatea digitală, în special pentru importuri.</w:t>
      </w:r>
    </w:p>
    <w:p w14:paraId="7DA2A950" w14:textId="77777777" w:rsidR="008F2BB1" w:rsidRPr="00377DA3" w:rsidRDefault="008F2BB1" w:rsidP="008F2BB1">
      <w:pPr>
        <w:rPr>
          <w:lang w:val="en-GB"/>
        </w:rPr>
      </w:pPr>
    </w:p>
    <w:p w14:paraId="64465E37" w14:textId="77777777" w:rsidR="008F2BB1" w:rsidRPr="00B42AD4" w:rsidRDefault="008F2BB1">
      <w:pPr>
        <w:pStyle w:val="Heading2"/>
      </w:pPr>
      <w:r>
        <w:rPr>
          <w:b/>
        </w:rPr>
        <w:t>Promovarea integrată</w:t>
      </w:r>
      <w:r>
        <w:t xml:space="preserve"> – Campaniile promoționale ar trebui să includă educația alimentară, turismul durabil și </w:t>
      </w:r>
      <w:proofErr w:type="spellStart"/>
      <w:r>
        <w:t>brandingul</w:t>
      </w:r>
      <w:proofErr w:type="spellEnd"/>
      <w:r>
        <w:t xml:space="preserve"> teritorial, sprijinite de agenții naționale specializate.</w:t>
      </w:r>
    </w:p>
    <w:p w14:paraId="7A99636E" w14:textId="77777777" w:rsidR="008F2BB1" w:rsidRPr="00377DA3" w:rsidRDefault="008F2BB1" w:rsidP="008F2BB1">
      <w:pPr>
        <w:rPr>
          <w:lang w:val="en-GB"/>
        </w:rPr>
      </w:pPr>
    </w:p>
    <w:p w14:paraId="69887209" w14:textId="77777777" w:rsidR="008F2BB1" w:rsidRPr="00B42AD4" w:rsidRDefault="008F2BB1">
      <w:pPr>
        <w:pStyle w:val="Heading2"/>
      </w:pPr>
      <w:r>
        <w:rPr>
          <w:b/>
        </w:rPr>
        <w:t>O strategie pentru încurajarea consumului de produse de calitate</w:t>
      </w:r>
      <w:r>
        <w:t xml:space="preserve"> – Se recomandă o strategie a UE cu obiective minime (de exemplu, un procentaj de 25 % de produse de calitate în școli/spitale/instituții publice, etc.), parteneriate comerciale și campanii tematice.</w:t>
      </w:r>
    </w:p>
    <w:p w14:paraId="328BC5DF" w14:textId="77777777" w:rsidR="008F2BB1" w:rsidRPr="00377DA3" w:rsidRDefault="008F2BB1" w:rsidP="008F2BB1">
      <w:pPr>
        <w:rPr>
          <w:lang w:val="en-GB"/>
        </w:rPr>
      </w:pPr>
    </w:p>
    <w:p w14:paraId="3732C67E" w14:textId="77777777" w:rsidR="008F2BB1" w:rsidRPr="00B42AD4" w:rsidRDefault="008F2BB1">
      <w:pPr>
        <w:pStyle w:val="Heading2"/>
      </w:pPr>
      <w:r>
        <w:rPr>
          <w:b/>
        </w:rPr>
        <w:t>Accesibilitate prin stimulente fiscale armonizate</w:t>
      </w:r>
      <w:r>
        <w:t xml:space="preserve"> – CESE solicită Comisiei Europene, în special Direcției Generale Agricultură și Dezvoltare Rurală, Direcției Generale Impozitare și Uniune Vamală și Direcției Generale Sănătate și Siguranță Alimentară, să elaboreze o soluție fiscală armonizată aplicabilă în toate statele membre, care să permită cote reduse de TVA pentru produsele de calitate. Această măsură ar îmbunătăți accesul consumatorilor, ar stimula cererea și ar sprijini tranziția către un sistem alimentar durabil.</w:t>
      </w:r>
    </w:p>
    <w:p w14:paraId="31F59861" w14:textId="77777777" w:rsidR="008F2BB1" w:rsidRPr="00377DA3" w:rsidRDefault="008F2BB1" w:rsidP="008F2BB1">
      <w:pPr>
        <w:rPr>
          <w:lang w:val="en-GB"/>
        </w:rPr>
      </w:pPr>
    </w:p>
    <w:p w14:paraId="35E39B74" w14:textId="77777777" w:rsidR="008F2BB1" w:rsidRPr="00B42AD4" w:rsidRDefault="008F2BB1">
      <w:pPr>
        <w:pStyle w:val="Heading2"/>
      </w:pPr>
      <w:r>
        <w:rPr>
          <w:b/>
        </w:rPr>
        <w:t>Sprijinirea tinerilor fermieri, a femeilor și a modelului european de agricultură familială, în special în zonele defavorizate sau protejate</w:t>
      </w:r>
      <w:r>
        <w:t xml:space="preserve"> – CESE sprijină punerea în aplicare a măsurilor PAC care vizează tinerii fermieri, femeile, fermele familiale mici și cele aflate în tranziție ecologică. Comitetul recomandă ca, în țările candidate, acest sprijin să fie furnizat prin intermediul instrumentelor de finanțare pentru preaderare.</w:t>
      </w:r>
    </w:p>
    <w:p w14:paraId="77CF7F4A" w14:textId="77777777" w:rsidR="008F2BB1" w:rsidRPr="00377DA3" w:rsidRDefault="008F2BB1" w:rsidP="008F2BB1">
      <w:pPr>
        <w:rPr>
          <w:lang w:val="en-GB"/>
        </w:rPr>
      </w:pPr>
    </w:p>
    <w:p w14:paraId="6E532507" w14:textId="77777777" w:rsidR="008F2BB1" w:rsidRPr="00B42AD4" w:rsidRDefault="008F2BB1">
      <w:pPr>
        <w:pStyle w:val="Heading2"/>
      </w:pPr>
      <w:r>
        <w:rPr>
          <w:b/>
        </w:rPr>
        <w:t>Simplificarea certificării</w:t>
      </w:r>
      <w:r>
        <w:t xml:space="preserve"> – Procedurile de certificare ar trebui armonizate și adaptate pentru micii producători, inclusiv certificarea în grup sau modelele digitale.</w:t>
      </w:r>
    </w:p>
    <w:p w14:paraId="06C07429" w14:textId="77777777" w:rsidR="008F2BB1" w:rsidRPr="00377DA3" w:rsidRDefault="008F2BB1" w:rsidP="008F2BB1">
      <w:pPr>
        <w:rPr>
          <w:lang w:val="en-GB"/>
        </w:rPr>
      </w:pPr>
    </w:p>
    <w:p w14:paraId="2034EAB1" w14:textId="77777777" w:rsidR="008F2BB1" w:rsidRPr="00B42AD4" w:rsidRDefault="008F2BB1">
      <w:pPr>
        <w:pStyle w:val="Heading2"/>
      </w:pPr>
      <w:r>
        <w:rPr>
          <w:b/>
        </w:rPr>
        <w:t>Etichetarea clară și protecția indicațiilor geografice</w:t>
      </w:r>
      <w:r>
        <w:t xml:space="preserve"> – CESE recomandă reglementarea unor termeni precum „natural” și „tradițional” și sancționarea utilizării înșelătoare a simbolurilor geografice, în special pentru produsele prelucrate.</w:t>
      </w:r>
    </w:p>
    <w:p w14:paraId="291C38B5" w14:textId="77777777" w:rsidR="008F2BB1" w:rsidRPr="00377DA3" w:rsidRDefault="008F2BB1" w:rsidP="008F2BB1">
      <w:pPr>
        <w:rPr>
          <w:lang w:val="en-GB"/>
        </w:rPr>
      </w:pPr>
    </w:p>
    <w:p w14:paraId="3AB83845" w14:textId="77777777" w:rsidR="008F2BB1" w:rsidRPr="00B42AD4" w:rsidRDefault="008F2BB1">
      <w:pPr>
        <w:pStyle w:val="Heading2"/>
      </w:pPr>
      <w:r>
        <w:rPr>
          <w:b/>
        </w:rPr>
        <w:t>Integrarea în acordurile comerciale internaționale</w:t>
      </w:r>
      <w:r>
        <w:t xml:space="preserve"> – CESE solicită ca standardele și etichetele de calitate ale UE să fie recunoscute și protejate în comerțul mondial, promovând astfel un model alimentar echitabil și durabil.</w:t>
      </w:r>
    </w:p>
    <w:p w14:paraId="4853719A" w14:textId="77777777" w:rsidR="008F2BB1" w:rsidRPr="00377DA3" w:rsidRDefault="008F2BB1" w:rsidP="008F2BB1">
      <w:pPr>
        <w:rPr>
          <w:lang w:val="en-GB"/>
        </w:rPr>
      </w:pPr>
    </w:p>
    <w:p w14:paraId="443A062C" w14:textId="77777777" w:rsidR="008F2BB1" w:rsidRPr="00377DA3" w:rsidRDefault="008F2BB1" w:rsidP="008F2BB1">
      <w:pPr>
        <w:pStyle w:val="Heading1"/>
        <w:keepNext/>
      </w:pPr>
      <w:r>
        <w:rPr>
          <w:b/>
        </w:rPr>
        <w:lastRenderedPageBreak/>
        <w:t>Observații generale</w:t>
      </w:r>
    </w:p>
    <w:p w14:paraId="010BAF0A" w14:textId="77777777" w:rsidR="008F2BB1" w:rsidRPr="00377DA3" w:rsidRDefault="008F2BB1" w:rsidP="008F2BB1">
      <w:pPr>
        <w:keepNext/>
        <w:rPr>
          <w:lang w:val="en-GB"/>
        </w:rPr>
      </w:pPr>
    </w:p>
    <w:p w14:paraId="3846B912" w14:textId="77777777" w:rsidR="008F2BB1" w:rsidRPr="00B42AD4" w:rsidRDefault="008F2BB1">
      <w:pPr>
        <w:pStyle w:val="Heading2"/>
      </w:pPr>
      <w:r>
        <w:t>CESE salută viziunea Comisiei Europene pentru un sector agroalimentar sustenabil și competitiv până în 2040 și subliniază că este nevoie de o politică alimentară a UE coerentă și transversală, care îi plasează pe fermieri – în special pe cei familiali – în centrul tranziției verzi și digitale. CESE recunoaște eforturile substanțiale depuse de Comisia Europeană pentru a promova producția ecologică și sistemele de calitate ale UE, în special prin punerea în aplicare a Planului de acțiune privind agricultura ecologică și prin instrumentele de sprijin relevante din cadrul PAC și al politicii de promovare. Prezentul aviz este menit să completeze și să consolideze aceste eforturi, oferind recomandări și perspective suplimentare din partea societății civile și a partenerilor sociali, în vederea sporirii coerenței, accesibilității și impactului în toate statele membre și țările partenere.</w:t>
      </w:r>
    </w:p>
    <w:p w14:paraId="0C36C85A" w14:textId="77777777" w:rsidR="008F2BB1" w:rsidRPr="00377DA3" w:rsidRDefault="008F2BB1" w:rsidP="008F2BB1">
      <w:pPr>
        <w:ind w:left="567"/>
        <w:rPr>
          <w:lang w:val="en-GB"/>
        </w:rPr>
      </w:pPr>
    </w:p>
    <w:p w14:paraId="2CB0D759" w14:textId="77777777" w:rsidR="008F2BB1" w:rsidRPr="00377DA3" w:rsidRDefault="008F2BB1" w:rsidP="008F2BB1">
      <w:pPr>
        <w:ind w:left="567"/>
      </w:pPr>
      <w:r>
        <w:t xml:space="preserve">Alimentele produse și comercializate în Uniunea Europeană </w:t>
      </w:r>
      <w:r>
        <w:rPr>
          <w:b/>
        </w:rPr>
        <w:t>sunt sigure și respectă standarde înalte de calitate</w:t>
      </w:r>
      <w:r>
        <w:t>, datorită unui cadru legislativ robust și unor mecanisme de control solide. Cu toate acestea, termenul „</w:t>
      </w:r>
      <w:r>
        <w:rPr>
          <w:b/>
        </w:rPr>
        <w:t>produs de calitate</w:t>
      </w:r>
      <w:r>
        <w:t xml:space="preserve">”, astfel cum este utilizat în prezentul aviz, se referă </w:t>
      </w:r>
      <w:r>
        <w:rPr>
          <w:b/>
        </w:rPr>
        <w:t>exclusiv la produsele certificate în cadrul sistemelor de certificare</w:t>
      </w:r>
      <w:r>
        <w:t xml:space="preserve"> – fie </w:t>
      </w:r>
      <w:r>
        <w:rPr>
          <w:b/>
        </w:rPr>
        <w:t>la nivelul UE</w:t>
      </w:r>
      <w:r>
        <w:t xml:space="preserve"> [cum ar fi sistemele ecologice, denumirile de origine protejate (DOP), indicațiile geografice protejate (IGP) și specialitățile tradiționale garantate (STG)], fie </w:t>
      </w:r>
      <w:r>
        <w:rPr>
          <w:b/>
        </w:rPr>
        <w:t>la cel al sistemelor naționale</w:t>
      </w:r>
      <w:r>
        <w:t xml:space="preserve"> – care </w:t>
      </w:r>
      <w:r>
        <w:rPr>
          <w:b/>
        </w:rPr>
        <w:t>respectă orientările UE privind calitatea și durabilitatea</w:t>
      </w:r>
      <w:r>
        <w:t>. Pentru a fi recunoscute, sistemele naționale de certificare trebuie notificate Comisiei Europene în conformitate cu Directiva (UE) 2015/1535 prin intermediul Sistemului de informații privind reglementările tehnice (TRIS).</w:t>
      </w:r>
    </w:p>
    <w:p w14:paraId="17424315" w14:textId="77777777" w:rsidR="008F2BB1" w:rsidRPr="00377DA3" w:rsidRDefault="008F2BB1" w:rsidP="008F2BB1">
      <w:pPr>
        <w:rPr>
          <w:lang w:val="en-GB"/>
        </w:rPr>
      </w:pPr>
    </w:p>
    <w:p w14:paraId="6414369F" w14:textId="77777777" w:rsidR="008F2BB1" w:rsidRPr="00377DA3" w:rsidRDefault="008F2BB1" w:rsidP="008F2BB1">
      <w:pPr>
        <w:pStyle w:val="Heading2"/>
      </w:pPr>
      <w:r>
        <w:t>Produsele de calitate sunt importante pentru îndeplinirea obiectivelor de mediu, economice și sociale ale UE. Aceste produse contribuie la:</w:t>
      </w:r>
    </w:p>
    <w:p w14:paraId="7680623A" w14:textId="77777777" w:rsidR="008F2BB1" w:rsidRPr="00377DA3" w:rsidRDefault="008F2BB1" w:rsidP="008F2BB1">
      <w:pPr>
        <w:ind w:left="567"/>
        <w:rPr>
          <w:lang w:val="en-GB"/>
        </w:rPr>
      </w:pPr>
    </w:p>
    <w:p w14:paraId="36453D90" w14:textId="77777777" w:rsidR="008F2BB1" w:rsidRPr="004E2DC1" w:rsidRDefault="008F2BB1" w:rsidP="008F2BB1">
      <w:pPr>
        <w:pStyle w:val="ListParagraph"/>
        <w:numPr>
          <w:ilvl w:val="0"/>
          <w:numId w:val="4"/>
        </w:numPr>
        <w:ind w:left="851" w:hanging="284"/>
      </w:pPr>
      <w:r>
        <w:t>sporirea încrederii consumatorilor;</w:t>
      </w:r>
    </w:p>
    <w:p w14:paraId="195785C5" w14:textId="77777777" w:rsidR="008F2BB1" w:rsidRPr="004E2DC1" w:rsidRDefault="008F2BB1" w:rsidP="008F2BB1">
      <w:pPr>
        <w:pStyle w:val="ListParagraph"/>
        <w:numPr>
          <w:ilvl w:val="0"/>
          <w:numId w:val="4"/>
        </w:numPr>
        <w:ind w:left="851" w:hanging="284"/>
      </w:pPr>
      <w:r>
        <w:t>reducerea amprentei de carbon;</w:t>
      </w:r>
    </w:p>
    <w:p w14:paraId="4DB3A2D8" w14:textId="77777777" w:rsidR="008F2BB1" w:rsidRPr="004E2DC1" w:rsidRDefault="008F2BB1" w:rsidP="008F2BB1">
      <w:pPr>
        <w:pStyle w:val="ListParagraph"/>
        <w:numPr>
          <w:ilvl w:val="0"/>
          <w:numId w:val="4"/>
        </w:numPr>
        <w:ind w:left="851" w:hanging="284"/>
      </w:pPr>
      <w:r>
        <w:t>promovarea sănătății publice și a calității nutriționale;</w:t>
      </w:r>
    </w:p>
    <w:p w14:paraId="7F7B0EDC" w14:textId="77777777" w:rsidR="008F2BB1" w:rsidRPr="004E2DC1" w:rsidRDefault="008F2BB1" w:rsidP="008F2BB1">
      <w:pPr>
        <w:pStyle w:val="ListParagraph"/>
        <w:numPr>
          <w:ilvl w:val="0"/>
          <w:numId w:val="4"/>
        </w:numPr>
        <w:ind w:left="851" w:hanging="284"/>
      </w:pPr>
      <w:r>
        <w:t xml:space="preserve">sprijinirea zonelor rurale dinamice și </w:t>
      </w:r>
      <w:proofErr w:type="spellStart"/>
      <w:r>
        <w:t>reziliente</w:t>
      </w:r>
      <w:proofErr w:type="spellEnd"/>
      <w:r>
        <w:t>;</w:t>
      </w:r>
    </w:p>
    <w:p w14:paraId="2EF5F852" w14:textId="77777777" w:rsidR="008F2BB1" w:rsidRPr="004E2DC1" w:rsidRDefault="008F2BB1" w:rsidP="008F2BB1">
      <w:pPr>
        <w:pStyle w:val="ListParagraph"/>
        <w:numPr>
          <w:ilvl w:val="0"/>
          <w:numId w:val="4"/>
        </w:numPr>
        <w:ind w:left="851" w:hanging="284"/>
      </w:pPr>
      <w:r>
        <w:t>creșterea competitivității globale a produselor agroalimentare europene;</w:t>
      </w:r>
    </w:p>
    <w:p w14:paraId="2D4438EF" w14:textId="77777777" w:rsidR="008F2BB1" w:rsidRPr="004E2DC1" w:rsidRDefault="008F2BB1" w:rsidP="008F2BB1">
      <w:pPr>
        <w:pStyle w:val="ListParagraph"/>
        <w:numPr>
          <w:ilvl w:val="0"/>
          <w:numId w:val="4"/>
        </w:numPr>
        <w:ind w:left="851" w:hanging="284"/>
      </w:pPr>
      <w:r>
        <w:t>îmbunătățirea sănătății și fertilității solului;</w:t>
      </w:r>
    </w:p>
    <w:p w14:paraId="2D48E5D1" w14:textId="77777777" w:rsidR="008F2BB1" w:rsidRPr="004E2DC1" w:rsidRDefault="008F2BB1" w:rsidP="008F2BB1">
      <w:pPr>
        <w:pStyle w:val="ListParagraph"/>
        <w:numPr>
          <w:ilvl w:val="0"/>
          <w:numId w:val="4"/>
        </w:numPr>
        <w:ind w:left="851" w:hanging="284"/>
      </w:pPr>
      <w:r>
        <w:t>reducerea expunerii la reziduuri de pesticide și antibiotice;</w:t>
      </w:r>
    </w:p>
    <w:p w14:paraId="60A55738" w14:textId="77777777" w:rsidR="008F2BB1" w:rsidRPr="004E2DC1" w:rsidRDefault="008F2BB1" w:rsidP="008F2BB1">
      <w:pPr>
        <w:pStyle w:val="ListParagraph"/>
        <w:numPr>
          <w:ilvl w:val="0"/>
          <w:numId w:val="4"/>
        </w:numPr>
        <w:ind w:left="851" w:hanging="284"/>
      </w:pPr>
      <w:r>
        <w:t>protejarea polenizatorilor și a biodiversității;</w:t>
      </w:r>
    </w:p>
    <w:p w14:paraId="420FE672" w14:textId="77777777" w:rsidR="008F2BB1" w:rsidRPr="004E2DC1" w:rsidRDefault="008F2BB1" w:rsidP="008F2BB1">
      <w:pPr>
        <w:pStyle w:val="ListParagraph"/>
        <w:numPr>
          <w:ilvl w:val="0"/>
          <w:numId w:val="4"/>
        </w:numPr>
        <w:ind w:left="851" w:hanging="284"/>
      </w:pPr>
      <w:r>
        <w:t>îmbunătățirea calității apei și reducerea poluării.</w:t>
      </w:r>
    </w:p>
    <w:p w14:paraId="77087ADA" w14:textId="77777777" w:rsidR="008F2BB1" w:rsidRPr="00377DA3" w:rsidRDefault="008F2BB1" w:rsidP="008F2BB1">
      <w:pPr>
        <w:rPr>
          <w:lang w:val="en-GB"/>
        </w:rPr>
      </w:pPr>
    </w:p>
    <w:p w14:paraId="1B5DFC6D" w14:textId="77777777" w:rsidR="008F2BB1" w:rsidRPr="00377DA3" w:rsidRDefault="008F2BB1" w:rsidP="008F2BB1">
      <w:pPr>
        <w:pStyle w:val="Heading2"/>
      </w:pPr>
      <w:r>
        <w:t>Aceste rezultate se aliniază la strategii importante ale UE, cum ar fi Pactul verde european, Strategia „De la fermă la consumator”, Busola pentru competitivitatea UE, strategia în domeniul bioeconomiei și strategia pentru tinerii fermieri. Pentru a le valorifica pe deplin potențialul, agricultura UE trebuie sprijinită prin investiții specifice, prin simplificarea reglementărilor și prin stabilitate politică și a pieței pe termen lung.</w:t>
      </w:r>
    </w:p>
    <w:p w14:paraId="7FA9A58E" w14:textId="77777777" w:rsidR="008F2BB1" w:rsidRPr="00377DA3" w:rsidRDefault="008F2BB1" w:rsidP="008F2BB1">
      <w:pPr>
        <w:rPr>
          <w:lang w:val="en-GB"/>
        </w:rPr>
      </w:pPr>
    </w:p>
    <w:p w14:paraId="2A412F20" w14:textId="77777777" w:rsidR="008F2BB1" w:rsidRPr="00377DA3" w:rsidRDefault="008F2BB1" w:rsidP="00D7034B">
      <w:pPr>
        <w:pStyle w:val="Heading2"/>
        <w:keepNext/>
        <w:keepLines/>
      </w:pPr>
      <w:r>
        <w:lastRenderedPageBreak/>
        <w:t xml:space="preserve">CESE abordează agricultura ecologică și alte sisteme de calitate într-un singur aviz, deoarece ambele promovează practici durabile, un profit echitabil pentru producători și încrederea consumatorilor prin certificare. Alinierea acestora permite politici coerente care consolidează contribuția lor comună la sisteme alimentare </w:t>
      </w:r>
      <w:proofErr w:type="spellStart"/>
      <w:r>
        <w:t>reziliente</w:t>
      </w:r>
      <w:proofErr w:type="spellEnd"/>
      <w:r>
        <w:t xml:space="preserve"> și bazate pe valori.</w:t>
      </w:r>
    </w:p>
    <w:p w14:paraId="21B99FE4" w14:textId="77777777" w:rsidR="008F2BB1" w:rsidRPr="00377DA3" w:rsidRDefault="008F2BB1" w:rsidP="008F2BB1">
      <w:pPr>
        <w:rPr>
          <w:lang w:val="en-GB"/>
        </w:rPr>
      </w:pPr>
    </w:p>
    <w:p w14:paraId="6937A952" w14:textId="77777777" w:rsidR="008F2BB1" w:rsidRPr="00377DA3" w:rsidRDefault="008F2BB1" w:rsidP="008F2BB1">
      <w:pPr>
        <w:pStyle w:val="Heading2"/>
      </w:pPr>
      <w:r>
        <w:t>Agricultura ecologică, în special, materializează o abordare agroecologică cuprinzătoare, care contribuie în mod direct la atenuarea schimbărilor climatice, la protejarea biodiversității și la utilizarea durabilă a resurselor. Ea sprijină totodată crearea de locuri de muncă, inovarea și reînnoirea generațiilor în zonele rurale.</w:t>
      </w:r>
    </w:p>
    <w:p w14:paraId="1767912C" w14:textId="77777777" w:rsidR="008F2BB1" w:rsidRPr="00377DA3" w:rsidRDefault="008F2BB1" w:rsidP="008F2BB1">
      <w:pPr>
        <w:rPr>
          <w:lang w:val="en-GB"/>
        </w:rPr>
      </w:pPr>
    </w:p>
    <w:p w14:paraId="7B390B6A" w14:textId="77777777" w:rsidR="008F2BB1" w:rsidRPr="00377DA3" w:rsidRDefault="008F2BB1" w:rsidP="008F2BB1">
      <w:pPr>
        <w:pStyle w:val="Heading2"/>
      </w:pPr>
      <w:r>
        <w:t>Cu toate acestea, sectorul ecologic se află, în prezent, la răscruce. În ciuda beneficiilor sale, dezvoltarea se menține inegală între statele membre, iar sectorul se confruntă cu obstacole persistente. Printre acestea se numără randamentele mai scăzute la anumite culturi, costurile de certificare ridicate, volatilitatea pieței și sensibilitatea la prețuri a consumatorilor – provocări exacerbate în perioadele de incertitudine economică.</w:t>
      </w:r>
    </w:p>
    <w:p w14:paraId="5677D7D2" w14:textId="77777777" w:rsidR="008F2BB1" w:rsidRPr="00377DA3" w:rsidRDefault="008F2BB1" w:rsidP="008F2BB1">
      <w:pPr>
        <w:rPr>
          <w:lang w:val="en-GB"/>
        </w:rPr>
      </w:pPr>
    </w:p>
    <w:p w14:paraId="4E9F65EF" w14:textId="77777777" w:rsidR="008F2BB1" w:rsidRPr="00377DA3" w:rsidRDefault="008F2BB1" w:rsidP="008F2BB1">
      <w:pPr>
        <w:pStyle w:val="Heading2"/>
      </w:pPr>
      <w:r>
        <w:t>CESE subliniază că doar subvențiile financiare nu vor fi suficiente pentru a asigura creșterea durabilă a producției alimentare de calitate. Este nevoie de un cadru favorabil mai amplu, care să combine următoarele elemente:</w:t>
      </w:r>
    </w:p>
    <w:p w14:paraId="54166913" w14:textId="77777777" w:rsidR="008F2BB1" w:rsidRPr="00377DA3" w:rsidRDefault="008F2BB1" w:rsidP="008F2BB1">
      <w:pPr>
        <w:ind w:left="567"/>
        <w:rPr>
          <w:lang w:val="en-GB"/>
        </w:rPr>
      </w:pPr>
    </w:p>
    <w:p w14:paraId="7AC9E347" w14:textId="77777777" w:rsidR="008F2BB1" w:rsidRPr="004E2DC1" w:rsidRDefault="008F2BB1" w:rsidP="008F2BB1">
      <w:pPr>
        <w:pStyle w:val="ListParagraph"/>
        <w:numPr>
          <w:ilvl w:val="0"/>
          <w:numId w:val="5"/>
        </w:numPr>
        <w:ind w:left="851" w:hanging="284"/>
      </w:pPr>
      <w:r>
        <w:t>acces îmbunătățit pe piață, inclusiv prin achiziții publice verzi/de calitate și măsuri fiscale (de exemplu, reduceri de TVA, credite fiscale);</w:t>
      </w:r>
    </w:p>
    <w:p w14:paraId="2E2111C8" w14:textId="77777777" w:rsidR="008F2BB1" w:rsidRPr="004E2DC1" w:rsidRDefault="008F2BB1" w:rsidP="008F2BB1">
      <w:pPr>
        <w:pStyle w:val="ListParagraph"/>
        <w:numPr>
          <w:ilvl w:val="0"/>
          <w:numId w:val="5"/>
        </w:numPr>
        <w:ind w:left="851" w:hanging="284"/>
      </w:pPr>
      <w:r>
        <w:t>o mai bună integrare a agriculturii ecologice și a produselor de calitate în politicile UE în domeniul alimentar, al sănătății, al climei și al biodiversității, urmând abordarea de tip „O singură sănătate”;</w:t>
      </w:r>
    </w:p>
    <w:p w14:paraId="45B3EA37" w14:textId="77777777" w:rsidR="008F2BB1" w:rsidRPr="004E2DC1" w:rsidRDefault="008F2BB1" w:rsidP="008F2BB1">
      <w:pPr>
        <w:pStyle w:val="ListParagraph"/>
        <w:numPr>
          <w:ilvl w:val="0"/>
          <w:numId w:val="5"/>
        </w:numPr>
        <w:ind w:left="851" w:hanging="284"/>
      </w:pPr>
      <w:r>
        <w:t>sprijin în vederea conversiei, servicii de consiliere și inovare;</w:t>
      </w:r>
    </w:p>
    <w:p w14:paraId="222D218A" w14:textId="77777777" w:rsidR="008F2BB1" w:rsidRPr="004E2DC1" w:rsidRDefault="008F2BB1" w:rsidP="008F2BB1">
      <w:pPr>
        <w:pStyle w:val="ListParagraph"/>
        <w:numPr>
          <w:ilvl w:val="0"/>
          <w:numId w:val="5"/>
        </w:numPr>
        <w:ind w:left="851" w:hanging="284"/>
      </w:pPr>
      <w:r>
        <w:t>îmbunătățirea educației și a gradului de conștientizare în rândul consumatorilor pentru a elimina decalajul dintre valori și comportament;</w:t>
      </w:r>
    </w:p>
    <w:p w14:paraId="386C71A4" w14:textId="77777777" w:rsidR="008F2BB1" w:rsidRPr="004E2DC1" w:rsidRDefault="008F2BB1" w:rsidP="008F2BB1">
      <w:pPr>
        <w:pStyle w:val="ListParagraph"/>
        <w:numPr>
          <w:ilvl w:val="0"/>
          <w:numId w:val="5"/>
        </w:numPr>
        <w:ind w:left="851" w:hanging="284"/>
      </w:pPr>
      <w:r>
        <w:t>garanții solide pentru a menține credibilitatea etichetei de calitate, inclusiv controale consolidate ale importurilor și sisteme de trasabilitate.</w:t>
      </w:r>
    </w:p>
    <w:p w14:paraId="3350777F" w14:textId="77777777" w:rsidR="008F2BB1" w:rsidRPr="004E2DC1" w:rsidRDefault="008F2BB1" w:rsidP="008F2BB1">
      <w:pPr>
        <w:pStyle w:val="ListParagraph"/>
        <w:numPr>
          <w:ilvl w:val="0"/>
          <w:numId w:val="5"/>
        </w:numPr>
        <w:ind w:left="851" w:hanging="284"/>
      </w:pPr>
      <w:r>
        <w:t xml:space="preserve">măsuri specifice de sprijinire a agriculturii ecologice în zonele cu restricții de mediu – cum ar fi Natura2000 sau habitatele protejate – în care conversia poate fi mai complexă sau mai limitată din cauza constrângerilor ecologice, a accesului la terenuri, a asistenței tehnice și a condițiilor echitabile de piață care permit viabilitatea economică pe termen lung și dezvoltarea profesională pentru fermieri și producătorii de alimente de calitate. </w:t>
      </w:r>
    </w:p>
    <w:p w14:paraId="31051196" w14:textId="77777777" w:rsidR="008F2BB1" w:rsidRPr="00377DA3" w:rsidRDefault="008F2BB1" w:rsidP="008F2BB1">
      <w:pPr>
        <w:ind w:left="567"/>
        <w:rPr>
          <w:lang w:val="en-GB"/>
        </w:rPr>
      </w:pPr>
    </w:p>
    <w:p w14:paraId="2A808827" w14:textId="77777777" w:rsidR="008F2BB1" w:rsidRPr="00377DA3" w:rsidRDefault="008F2BB1" w:rsidP="008F2BB1">
      <w:pPr>
        <w:ind w:left="567"/>
      </w:pPr>
      <w:r>
        <w:t xml:space="preserve">CESE recunoaște că politica în materie de TVA intră în sfera de competență a DG TAXUD și încurajează Comisia Europeană să exploreze, prin intermediul dialogului interinstituțional, posibilitatea de a introduce cote reduse de TVA pentru produsele de calitate certificate. </w:t>
      </w:r>
    </w:p>
    <w:p w14:paraId="1FF3FFC9" w14:textId="77777777" w:rsidR="008F2BB1" w:rsidRPr="00377DA3" w:rsidRDefault="008F2BB1" w:rsidP="008F2BB1">
      <w:pPr>
        <w:rPr>
          <w:lang w:val="en-GB"/>
        </w:rPr>
      </w:pPr>
    </w:p>
    <w:p w14:paraId="6EA87DA9" w14:textId="77777777" w:rsidR="008F2BB1" w:rsidRPr="00377DA3" w:rsidRDefault="008F2BB1" w:rsidP="008F2BB1">
      <w:pPr>
        <w:pStyle w:val="Heading2"/>
      </w:pPr>
      <w:r>
        <w:t xml:space="preserve">CESE subliniază că sistemele alimentare legate de produsele ecologice și de alte produse de calitate trebuie integrate în strategiile de promovare. Aceste eforturi nu ar trebui să se limiteze doar la campanii comerciale și ar trebui încorporate în educația alimentară, turismul durabil, cultura gastronomică și marca teritorială. O mai bună coordonare între instituțiile UE (de exemplu, Agenția Executivă Europeană pentru Cercetare), agențiile naționale și organizațiile de </w:t>
      </w:r>
      <w:r>
        <w:lastRenderedPageBreak/>
        <w:t>producători este esențială pentru a spori eficacitatea și impactul pe termen lung asupra consumatorilor. CESE subliniază că sistemele de calitate ale UE și agricultura ecologică sunt deja eligibile în temeiul Regulamentului (UE) nr. 1144/2014 privind măsurile de promovare. Cu toate acestea, CESE propune extinderea temelor eligibile – atunci când sunt compatibile cu obiectivele UE – pentru a include turismul durabil și marca teritorială ca instrumente complementare de promovare a produselor durabile și de înaltă calitate.</w:t>
      </w:r>
    </w:p>
    <w:p w14:paraId="50E9ACB6" w14:textId="77777777" w:rsidR="008F2BB1" w:rsidRPr="00377DA3" w:rsidRDefault="008F2BB1" w:rsidP="008F2BB1">
      <w:pPr>
        <w:rPr>
          <w:lang w:val="en-GB"/>
        </w:rPr>
      </w:pPr>
    </w:p>
    <w:p w14:paraId="2F93A6BF" w14:textId="77777777" w:rsidR="008F2BB1" w:rsidRPr="00377DA3" w:rsidRDefault="008F2BB1" w:rsidP="008F2BB1">
      <w:pPr>
        <w:pStyle w:val="Heading2"/>
      </w:pPr>
      <w:r>
        <w:t>CESE face apel la Comisia Europeană să efectueze un studiu comparativ asupra efectului multiplicator al investițiilor în agențiile naționale și regionale de promovare a alimentelor, care să vizeze în special contribuția acestora la dezvoltarea economică, veniturile fiscale și ocuparea forței de muncă în zonele rurale. Scopul acestui studiu este de a identifica cele mai eficace modele naționale și regionale de promovare, de a evalua impactul acestora asupra dezvoltării economice rurale, a veniturilor fiscale și a ocupării forței de muncă și de a oferi recomandări bazate pe dovezi pentru extinderea bunelor practici în alte state membre și în țările candidate.</w:t>
      </w:r>
    </w:p>
    <w:p w14:paraId="4E70C50D" w14:textId="77777777" w:rsidR="008F2BB1" w:rsidRPr="00377DA3" w:rsidRDefault="008F2BB1" w:rsidP="008F2BB1">
      <w:pPr>
        <w:rPr>
          <w:lang w:val="en-GB"/>
        </w:rPr>
      </w:pPr>
    </w:p>
    <w:p w14:paraId="5744717E" w14:textId="77777777" w:rsidR="008F2BB1" w:rsidRPr="00377DA3" w:rsidRDefault="008F2BB1" w:rsidP="008F2BB1">
      <w:pPr>
        <w:pStyle w:val="Heading1"/>
        <w:keepNext/>
        <w:keepLines/>
        <w:rPr>
          <w:b/>
          <w:bCs/>
        </w:rPr>
      </w:pPr>
      <w:r>
        <w:rPr>
          <w:b/>
        </w:rPr>
        <w:t>Cadrul de acțiune: provocări și opțiuni strategice</w:t>
      </w:r>
    </w:p>
    <w:p w14:paraId="77C2CC95" w14:textId="77777777" w:rsidR="008F2BB1" w:rsidRPr="00377DA3" w:rsidRDefault="008F2BB1" w:rsidP="008F2BB1">
      <w:pPr>
        <w:keepNext/>
        <w:keepLines/>
        <w:rPr>
          <w:lang w:val="en-GB"/>
        </w:rPr>
      </w:pPr>
    </w:p>
    <w:p w14:paraId="072F59DB" w14:textId="77777777" w:rsidR="008F2BB1" w:rsidRPr="00377DA3" w:rsidRDefault="008F2BB1" w:rsidP="008F2BB1">
      <w:pPr>
        <w:pStyle w:val="Heading2"/>
      </w:pPr>
      <w:r>
        <w:t xml:space="preserve">Capacitarea fermierilor ca parteneri egali și respectați în lanțul agroalimentar rămâne în continuare o condiție esențială pentru un sistem alimentar echitabil și </w:t>
      </w:r>
      <w:proofErr w:type="spellStart"/>
      <w:r>
        <w:t>rezilient</w:t>
      </w:r>
      <w:proofErr w:type="spellEnd"/>
      <w:r>
        <w:t>. Fermierii trebuie să aibă acces la o remunerație justă, condiții de lucru decente și acces echitabil la piețe cu valoare adăugată, inclusiv prin canale de vânzări alternative, cum ar fi comercializarea directă, comerțul electronic și rețelele alimentare locale.</w:t>
      </w:r>
    </w:p>
    <w:p w14:paraId="3E96E56D" w14:textId="77777777" w:rsidR="008F2BB1" w:rsidRPr="00377DA3" w:rsidRDefault="008F2BB1" w:rsidP="008F2BB1">
      <w:pPr>
        <w:pStyle w:val="Heading2"/>
        <w:numPr>
          <w:ilvl w:val="0"/>
          <w:numId w:val="0"/>
        </w:numPr>
        <w:rPr>
          <w:lang w:val="en-GB"/>
        </w:rPr>
      </w:pPr>
    </w:p>
    <w:p w14:paraId="3DEC4949" w14:textId="77777777" w:rsidR="008F2BB1" w:rsidRPr="00377DA3" w:rsidRDefault="008F2BB1" w:rsidP="008F2BB1">
      <w:pPr>
        <w:pStyle w:val="Heading2"/>
      </w:pPr>
      <w:r>
        <w:t>Întrucât agricultura ecologică necesită, de obicei, o utilizare mai intensivă a forței de muncă, CESE subliniază necesitatea de a asigura condiții de muncă echitabile și dezvoltarea competențelor atât pentru producători, cât și pentru lucrători. Sprijinirea cooperării de-a lungul lanțului valoric ecologic este esențială pentru sustenabilitatea pe termen lung a sectorului.</w:t>
      </w:r>
    </w:p>
    <w:p w14:paraId="2CC44253" w14:textId="77777777" w:rsidR="008F2BB1" w:rsidRPr="00377DA3" w:rsidRDefault="008F2BB1" w:rsidP="008F2BB1">
      <w:pPr>
        <w:pStyle w:val="Heading2"/>
        <w:numPr>
          <w:ilvl w:val="0"/>
          <w:numId w:val="0"/>
        </w:numPr>
        <w:rPr>
          <w:lang w:val="en-GB"/>
        </w:rPr>
      </w:pPr>
    </w:p>
    <w:p w14:paraId="0031249A" w14:textId="77777777" w:rsidR="008F2BB1" w:rsidRPr="00377DA3" w:rsidRDefault="008F2BB1" w:rsidP="008F2BB1">
      <w:pPr>
        <w:pStyle w:val="Heading2"/>
      </w:pPr>
      <w:r>
        <w:t>Și participarea consumatorilor trebuie să constituie un pilon central al oricărei strategii menite să crească consumul de produse de calitate. Educarea consumatorilor cu privire la efectele alegerilor lor alimentare asupra mediului și sănătății și asigurarea accesibilității, inclusiv în materie de preț, a opțiunilor sustenabile vor fi esențiale pentru a îndeplini obiectivele de sustenabilitate și de sănătate publică ale UE.</w:t>
      </w:r>
    </w:p>
    <w:p w14:paraId="7855CF21" w14:textId="77777777" w:rsidR="008F2BB1" w:rsidRPr="00377DA3" w:rsidRDefault="008F2BB1" w:rsidP="008F2BB1">
      <w:pPr>
        <w:ind w:left="567"/>
        <w:rPr>
          <w:lang w:val="en-GB"/>
        </w:rPr>
      </w:pPr>
    </w:p>
    <w:p w14:paraId="0EF8251F" w14:textId="77777777" w:rsidR="008F2BB1" w:rsidRPr="00377DA3" w:rsidRDefault="008F2BB1" w:rsidP="008F2BB1">
      <w:pPr>
        <w:pStyle w:val="Heading2"/>
      </w:pPr>
      <w:r>
        <w:t>Accesibilitatea prețurilor continuă să fie un obstacol major în calea consumului de produse de calitate. Chiar dacă produsele de calitate sunt recunoscute la scară largă ca fiind mai sustenabile și mai sănătoase, deciziile de cumpărare sunt adesea restricționate de preț. CESE solicită măsuri menite să elimine acest decalaj legat de accesibilitatea prețurilor, care să includă stimulente fiscale specifice, cum ar fi reducerea TVA, realizarea de investiții în lanțuri de aprovizionare locale cu produse de calitate și integrarea acestui tip de produse în sistemele de achiziții publice. Aceste măsuri ar trebui să se bazeze pe analizarea comportamentului consumatorilor, cu un accent special pe tineri, și, ori de câte ori este posibil, ar trebui să se acorde prioritate produselor de origine locală, în cadrul obiectivului de achiziții publice de 25 %.</w:t>
      </w:r>
    </w:p>
    <w:p w14:paraId="60B4C8FD" w14:textId="77777777" w:rsidR="008F2BB1" w:rsidRPr="00377DA3" w:rsidRDefault="008F2BB1" w:rsidP="008F2BB1">
      <w:pPr>
        <w:rPr>
          <w:lang w:val="en-GB"/>
        </w:rPr>
      </w:pPr>
    </w:p>
    <w:p w14:paraId="128F6AA1" w14:textId="77777777" w:rsidR="008F2BB1" w:rsidRPr="00377DA3" w:rsidRDefault="008F2BB1" w:rsidP="00D7034B">
      <w:pPr>
        <w:pStyle w:val="Heading2"/>
        <w:keepNext/>
        <w:keepLines/>
      </w:pPr>
      <w:r>
        <w:lastRenderedPageBreak/>
        <w:t>Pentru a stimula cererea, CESE recomandă elaborarea unei strategii de consum ecologic la nivelul UE, care ar trebui să includă:</w:t>
      </w:r>
    </w:p>
    <w:p w14:paraId="22FA585D" w14:textId="77777777" w:rsidR="008F2BB1" w:rsidRPr="0084281F" w:rsidRDefault="008F2BB1" w:rsidP="008F2BB1">
      <w:pPr>
        <w:ind w:left="567"/>
        <w:rPr>
          <w:sz w:val="18"/>
          <w:szCs w:val="18"/>
          <w:lang w:val="en-GB"/>
        </w:rPr>
      </w:pPr>
    </w:p>
    <w:p w14:paraId="791CB243" w14:textId="77777777" w:rsidR="008F2BB1" w:rsidRPr="004E2DC1" w:rsidRDefault="008F2BB1" w:rsidP="008F2BB1">
      <w:pPr>
        <w:pStyle w:val="ListParagraph"/>
        <w:numPr>
          <w:ilvl w:val="0"/>
          <w:numId w:val="6"/>
        </w:numPr>
        <w:ind w:left="851" w:hanging="284"/>
      </w:pPr>
      <w:r>
        <w:t>obiective minime pentru produsele de calitate în instituțiile publice (de exemplu, 25 % în școli și spitale); pentru a atinge treptat acest obiectiv, CESE solicită introducerea unor criterii clare de diferențiere în procedurile de achiziții publice, care să favorizeze mai degrabă calitatea decât prețul de achiziție;</w:t>
      </w:r>
    </w:p>
    <w:p w14:paraId="5CEFA34F" w14:textId="77777777" w:rsidR="008F2BB1" w:rsidRPr="004E2DC1" w:rsidRDefault="008F2BB1" w:rsidP="008F2BB1">
      <w:pPr>
        <w:pStyle w:val="ListParagraph"/>
        <w:numPr>
          <w:ilvl w:val="0"/>
          <w:numId w:val="6"/>
        </w:numPr>
        <w:ind w:left="851" w:hanging="284"/>
      </w:pPr>
      <w:r>
        <w:t>campanii promoționale specifice legate de sănătate, politici climatice și dezvoltare rurală;</w:t>
      </w:r>
    </w:p>
    <w:p w14:paraId="7058E7FC" w14:textId="77777777" w:rsidR="008F2BB1" w:rsidRPr="004E2DC1" w:rsidRDefault="008F2BB1" w:rsidP="008F2BB1">
      <w:pPr>
        <w:pStyle w:val="ListParagraph"/>
        <w:numPr>
          <w:ilvl w:val="0"/>
          <w:numId w:val="6"/>
        </w:numPr>
        <w:ind w:left="851" w:hanging="284"/>
      </w:pPr>
      <w:r>
        <w:t>parteneriate cu distribuitori cu amănuntul și operatori de servicii alimentare pentru a consolida vizibilitatea și disponibilitatea produselor ecologice;</w:t>
      </w:r>
    </w:p>
    <w:p w14:paraId="1DC8AA08" w14:textId="77777777" w:rsidR="008F2BB1" w:rsidRPr="0084281F" w:rsidRDefault="008F2BB1" w:rsidP="008F2BB1">
      <w:pPr>
        <w:pStyle w:val="ListParagraph"/>
        <w:ind w:left="851"/>
        <w:rPr>
          <w:sz w:val="18"/>
          <w:szCs w:val="18"/>
        </w:rPr>
      </w:pPr>
    </w:p>
    <w:p w14:paraId="362FB592" w14:textId="77777777" w:rsidR="008F2BB1" w:rsidRPr="00377DA3" w:rsidRDefault="008F2BB1" w:rsidP="008F2BB1">
      <w:pPr>
        <w:pStyle w:val="Heading2"/>
      </w:pPr>
      <w:r>
        <w:t xml:space="preserve">CESE observă că, în multe state membre, organizațiile din sectorul produselor de calitate nu dispun de capacitatea instituțională de a coordona producătorii, de a construi parteneriate cu comercianții cu amănuntul și de a conduce dezvoltarea pieței. Investițiile publice la scară mică în aceste organizații ar putea avea un impact semnificativ de-a lungul lanțului valoric. </w:t>
      </w:r>
    </w:p>
    <w:p w14:paraId="5F557283" w14:textId="77777777" w:rsidR="008F2BB1" w:rsidRPr="0084281F" w:rsidRDefault="008F2BB1" w:rsidP="008F2BB1">
      <w:pPr>
        <w:pStyle w:val="ListParagraph"/>
        <w:ind w:left="0"/>
        <w:rPr>
          <w:sz w:val="18"/>
          <w:szCs w:val="18"/>
        </w:rPr>
      </w:pPr>
    </w:p>
    <w:p w14:paraId="6C16E893" w14:textId="77777777" w:rsidR="008F2BB1" w:rsidRPr="00377DA3" w:rsidRDefault="008F2BB1" w:rsidP="008F2BB1">
      <w:pPr>
        <w:pStyle w:val="Heading2"/>
      </w:pPr>
      <w:r>
        <w:t xml:space="preserve">CESE reafirmă importanța cercetării, a inovării și a serviciilor de consiliere adaptate la agricultura ecologică. Tranziția către practici ecologice sau îmbunătățirea acestora necesită schimburi de cunoștințe, acces la tehnologii de </w:t>
      </w:r>
      <w:proofErr w:type="spellStart"/>
      <w:r>
        <w:t>agromediu</w:t>
      </w:r>
      <w:proofErr w:type="spellEnd"/>
      <w:r>
        <w:t xml:space="preserve"> adecvate și sisteme de consiliere dedicate fermierilor. Este esențială consolidarea investițiilor în cercetarea și inovarea în domeniul ecologic în cadrul programului Orizont Europa și al programelor statelor membre.</w:t>
      </w:r>
    </w:p>
    <w:p w14:paraId="45E53933" w14:textId="77777777" w:rsidR="008F2BB1" w:rsidRPr="0084281F" w:rsidRDefault="008F2BB1" w:rsidP="008F2BB1">
      <w:pPr>
        <w:rPr>
          <w:sz w:val="18"/>
          <w:szCs w:val="18"/>
          <w:lang w:val="en-GB"/>
        </w:rPr>
      </w:pPr>
    </w:p>
    <w:p w14:paraId="05D045A7" w14:textId="77777777" w:rsidR="008F2BB1" w:rsidRPr="00377DA3" w:rsidRDefault="008F2BB1" w:rsidP="008F2BB1">
      <w:pPr>
        <w:pStyle w:val="Heading2"/>
      </w:pPr>
      <w:r>
        <w:t>De asemenea, este nevoie de un cadru de reglementare mai solid și mai transparent pentru a întări încrederea în certificarea ecologică, în special în ceea ce privește importurile. CESE confirmă că produsele ecologice importate trebuie să respecte standarde echivalente sau conforme cu cele din UE și că Comisia sprijină statele membre prin instrumente digitale, cum ar fi TRACES, notificările OFIS și mecanismele de supraveghere aferente. În acest context, CESE solicită o utilizare mai extinsă și mai transparentă a acestor instrumente pentru a asigura încrederea consumatorilor și aplicarea consecventă în întreaga UE.</w:t>
      </w:r>
    </w:p>
    <w:p w14:paraId="220CCF44" w14:textId="77777777" w:rsidR="008F2BB1" w:rsidRPr="0084281F" w:rsidRDefault="008F2BB1" w:rsidP="008F2BB1">
      <w:pPr>
        <w:rPr>
          <w:sz w:val="18"/>
          <w:szCs w:val="18"/>
          <w:lang w:val="en-GB"/>
        </w:rPr>
      </w:pPr>
    </w:p>
    <w:p w14:paraId="60783500" w14:textId="77777777" w:rsidR="008F2BB1" w:rsidRPr="00377DA3" w:rsidRDefault="008F2BB1" w:rsidP="008F2BB1">
      <w:pPr>
        <w:pStyle w:val="Heading2"/>
      </w:pPr>
      <w:r>
        <w:t>CESE sprijină integrarea agriculturii ecologice în strategiile de dezvoltare rurală și cele bazate pe realitatea locului, cum ar fi „</w:t>
      </w:r>
      <w:proofErr w:type="spellStart"/>
      <w:r>
        <w:t>eco</w:t>
      </w:r>
      <w:proofErr w:type="spellEnd"/>
      <w:r>
        <w:t xml:space="preserve">-districtele”, zonele agroecologice și clusterele economiei circulare. Aceste modele încurajează inovarea, participarea comunității și </w:t>
      </w:r>
      <w:proofErr w:type="spellStart"/>
      <w:r>
        <w:t>sinergiile</w:t>
      </w:r>
      <w:proofErr w:type="spellEnd"/>
      <w:r>
        <w:t xml:space="preserve"> între agricultură, educație, turism și sistemele alimentare durabile.</w:t>
      </w:r>
    </w:p>
    <w:p w14:paraId="7E961DE8" w14:textId="77777777" w:rsidR="008F2BB1" w:rsidRPr="0084281F" w:rsidRDefault="008F2BB1" w:rsidP="008F2BB1">
      <w:pPr>
        <w:rPr>
          <w:sz w:val="18"/>
          <w:szCs w:val="18"/>
          <w:lang w:val="en-GB"/>
        </w:rPr>
      </w:pPr>
    </w:p>
    <w:p w14:paraId="60065679" w14:textId="77777777" w:rsidR="008F2BB1" w:rsidRPr="00377DA3" w:rsidRDefault="008F2BB1" w:rsidP="008F2BB1">
      <w:pPr>
        <w:pStyle w:val="Heading2"/>
      </w:pPr>
      <w:r>
        <w:t>În fine, CESE subliniază nevoia de a proteja produsele de calitate în toate acordurile comerciale internaționale. Acest demers include asigurarea recunoașterii standardelor UE, protejarea indicațiilor geografice și poziționarea producției ecologice și certificate ca punct de referință global în ceea ce privește sustenabilitatea, siguranța alimentară și comerțul echitabil.</w:t>
      </w:r>
    </w:p>
    <w:p w14:paraId="6E305046" w14:textId="77777777" w:rsidR="008F2BB1" w:rsidRPr="0084281F" w:rsidRDefault="008F2BB1" w:rsidP="008F2BB1">
      <w:pPr>
        <w:rPr>
          <w:sz w:val="18"/>
          <w:szCs w:val="18"/>
          <w:lang w:val="en-GB"/>
        </w:rPr>
      </w:pPr>
    </w:p>
    <w:p w14:paraId="4E8471FC" w14:textId="77777777" w:rsidR="008F2BB1" w:rsidRPr="00377DA3" w:rsidRDefault="008F2BB1" w:rsidP="008F2BB1">
      <w:pPr>
        <w:pStyle w:val="Heading1"/>
        <w:keepNext/>
        <w:keepLines/>
        <w:rPr>
          <w:b/>
          <w:bCs/>
        </w:rPr>
      </w:pPr>
      <w:r>
        <w:rPr>
          <w:b/>
        </w:rPr>
        <w:t>Observații specifice</w:t>
      </w:r>
    </w:p>
    <w:p w14:paraId="4A15A165" w14:textId="77777777" w:rsidR="008F2BB1" w:rsidRPr="0084281F" w:rsidRDefault="008F2BB1" w:rsidP="008F2BB1">
      <w:pPr>
        <w:keepNext/>
        <w:keepLines/>
        <w:rPr>
          <w:sz w:val="18"/>
          <w:szCs w:val="18"/>
          <w:lang w:val="en-GB"/>
        </w:rPr>
      </w:pPr>
    </w:p>
    <w:p w14:paraId="3ADD7928" w14:textId="77777777" w:rsidR="008F2BB1" w:rsidRPr="00377DA3" w:rsidRDefault="008F2BB1" w:rsidP="008F2BB1">
      <w:pPr>
        <w:pStyle w:val="Heading2"/>
      </w:pPr>
      <w:r>
        <w:t>CESE sprijină sistemele existente de calitate bine reglementate ale UE, inclusiv pe cel ecologic, denumirea de origine protejată (DOP), indicația geografică protejată (IGP) și specialitatea tradițională garantată (STG). Aceste sisteme pun la dispoziție instrumente sigure de diferențiere a produselor, sprijină identitatea regională și oferă valoare adăugată atât producătorilor, cât și consumatorilor.</w:t>
      </w:r>
    </w:p>
    <w:p w14:paraId="5D7DC8B9" w14:textId="77777777" w:rsidR="008F2BB1" w:rsidRPr="004A4890" w:rsidRDefault="008F2BB1" w:rsidP="008F2BB1">
      <w:pPr>
        <w:rPr>
          <w:sz w:val="18"/>
          <w:szCs w:val="18"/>
          <w:lang w:val="en-GB"/>
        </w:rPr>
      </w:pPr>
    </w:p>
    <w:p w14:paraId="3D8A4F34" w14:textId="77777777" w:rsidR="008F2BB1" w:rsidRPr="00377DA3" w:rsidRDefault="008F2BB1" w:rsidP="008F2BB1">
      <w:pPr>
        <w:pStyle w:val="Heading2"/>
      </w:pPr>
      <w:r>
        <w:t>Cu toate acestea, CESE constată că termenii de comercializare nereglementați sau aplicați inconsecvent, cum ar fi „natural”, „tradițional” și „preparat în casă”, pot induce în eroare consumatorii și pot estompa diferențele dintre produsele certificate și cele necertificate, subminând astfel încrederea consumatorilor și afectând valoarea sistemelor de calitate consacrate ale UE. CESE invită Comisia Europeană să stabilească definiții și orientări clare și aplicabile pentru astfel de mențiuni. Acest aspect este deosebit de relevant pentru piețele în curs de dezvoltare, în care sensibilizarea consumatorilor poate fi mai scăzută, iar supravegherea reglementară limitată. CESE recomandă acordarea de asistență tehnică autorităților naționale pentru a stimula aplicarea etichetării și protecția consumatorilor.</w:t>
      </w:r>
    </w:p>
    <w:p w14:paraId="7E0D4A3D" w14:textId="77777777" w:rsidR="008F2BB1" w:rsidRPr="004A4890" w:rsidRDefault="008F2BB1" w:rsidP="008F2BB1">
      <w:pPr>
        <w:rPr>
          <w:sz w:val="18"/>
          <w:szCs w:val="18"/>
          <w:lang w:val="en-GB"/>
        </w:rPr>
      </w:pPr>
    </w:p>
    <w:p w14:paraId="5EE609E2" w14:textId="77777777" w:rsidR="008F2BB1" w:rsidRPr="00377DA3" w:rsidRDefault="008F2BB1" w:rsidP="008F2BB1">
      <w:pPr>
        <w:pStyle w:val="Heading2"/>
      </w:pPr>
      <w:r>
        <w:t xml:space="preserve">Diversitatea sistemelor naționale de calitate voluntare poate oferi instrumente valoroase pentru diferențiere, dar poate duce, de asemenea, la fragmentare și confuzie pe piața internă. CESE sprijină recunoașterea sistemelor naționale compatibile și alinierea lor la cadrele de la nivelul UE pentru a asigura o transparență și o comparabilitate sporite și îmbunătățirea accesului pe piață, mai ales pentru producătorii mici și mijlocii. Cooperarea transfrontalieră între întreprinderile mici – de exemplu în Balcanii de Vest – poate contribui la depășirea fragmentării. CESE încurajează inițiativele de dezvoltare a unei infrastructuri comune de certificare, a unor campanii regionale de promovare și a unor standarde armonizate. </w:t>
      </w:r>
    </w:p>
    <w:p w14:paraId="3A160987" w14:textId="77777777" w:rsidR="008F2BB1" w:rsidRPr="004A4890" w:rsidRDefault="008F2BB1" w:rsidP="008F2BB1">
      <w:pPr>
        <w:rPr>
          <w:sz w:val="18"/>
          <w:szCs w:val="18"/>
          <w:lang w:val="en-GB"/>
        </w:rPr>
      </w:pPr>
    </w:p>
    <w:p w14:paraId="7A78657E" w14:textId="77777777" w:rsidR="008F2BB1" w:rsidRPr="00377DA3" w:rsidRDefault="008F2BB1" w:rsidP="008F2BB1">
      <w:pPr>
        <w:pStyle w:val="Heading2"/>
      </w:pPr>
      <w:r>
        <w:t>CESE subliniază că agricultura ecologică primește în continuare sprijin inegal de la un stat membru la altul, deși avantajele sale legate de mediu și sociale sunt recunoscute. Pentru a atinge obiectivul UE de a cultiva ecologic 25 % din terenurile agricole până în 2030, este nevoie de o aliniere mai solidă între planurile strategice PAC, planurile naționale de acțiune pentru dezvoltarea producției ecologice și Planul de acțiune pentru dezvoltarea producției ecologice al UE. Fermierii care practică sistemul de agricultură ecologică trebuie să primească sprijin consecvent și adecvat în întreaga UE. Aceasta include, de asemenea, parcursuri adaptate pentru practicile de „agricultură de tranziție” care sprijină micii fermieri din zonele mai puțin dezvoltate în drumul lor către o conversie ecologică completă.</w:t>
      </w:r>
    </w:p>
    <w:p w14:paraId="77DA90BA" w14:textId="77777777" w:rsidR="008F2BB1" w:rsidRPr="004A4890" w:rsidRDefault="008F2BB1" w:rsidP="008F2BB1">
      <w:pPr>
        <w:rPr>
          <w:sz w:val="18"/>
          <w:szCs w:val="18"/>
          <w:lang w:val="en-GB"/>
        </w:rPr>
      </w:pPr>
    </w:p>
    <w:p w14:paraId="16EF1673" w14:textId="77777777" w:rsidR="008F2BB1" w:rsidRPr="00377DA3" w:rsidRDefault="008F2BB1" w:rsidP="008F2BB1">
      <w:pPr>
        <w:pStyle w:val="Heading2"/>
      </w:pPr>
      <w:r>
        <w:t>Produsele de calitate ar trebui integrate mai profund în lanțuri valorice mai ample, inclusiv turismul durabil, gastronomia locală, strategiile în domeniul bioeconomiei și marca teritorială. Sistemele de calitate pot servi, de asemenea, drept bază pentru crearea și dezvoltarea cooperativelor de producători, care contribuie la consolidarea puterii de negociere a fermierilor și la îmbunătățirea poziției acestora în cadrul lanțului de aprovizionare agroalimentar</w:t>
      </w:r>
      <w:r w:rsidRPr="00377DA3">
        <w:rPr>
          <w:rStyle w:val="FootnoteReference"/>
          <w:lang w:val="en-GB"/>
        </w:rPr>
        <w:footnoteReference w:id="2"/>
      </w:r>
      <w:r>
        <w:t>. Comitetul sprijină dezvoltarea „</w:t>
      </w:r>
      <w:proofErr w:type="spellStart"/>
      <w:r>
        <w:t>eco</w:t>
      </w:r>
      <w:proofErr w:type="spellEnd"/>
      <w:r>
        <w:t>-districtelor” și abordările bazate pe realitatea locului care corelează producția certificată cu identitatea regională și promovează reziliența economică locală.</w:t>
      </w:r>
    </w:p>
    <w:p w14:paraId="6D3CFC63" w14:textId="77777777" w:rsidR="008F2BB1" w:rsidRPr="004A4890" w:rsidRDefault="008F2BB1" w:rsidP="008F2BB1">
      <w:pPr>
        <w:rPr>
          <w:sz w:val="18"/>
          <w:szCs w:val="18"/>
          <w:lang w:val="en-GB"/>
        </w:rPr>
      </w:pPr>
    </w:p>
    <w:p w14:paraId="57AB4E29" w14:textId="77777777" w:rsidR="008F2BB1" w:rsidRPr="00377DA3" w:rsidRDefault="008F2BB1" w:rsidP="008F2BB1">
      <w:pPr>
        <w:pStyle w:val="Heading2"/>
        <w:rPr>
          <w:color w:val="212121"/>
          <w:sz w:val="24"/>
          <w:szCs w:val="24"/>
        </w:rPr>
      </w:pPr>
      <w:r>
        <w:t xml:space="preserve">CESE solicită aplicarea corespunzătoare a Regulamentului (UE) 2018/775 pentru a preveni practicile înșelătoare și a asigura o concurență loială și recomandă ca autoritățile competente ale statelor membre să efectueze controale oficiale specifice cu privire la aplicarea acestui regulament. De asemenea, CESE solicită Comisiei Europene să publice, o dată la doi ani, un raport privind punerea în aplicare a controalelor oficiale în acest domeniu. În cazul în care punerea în aplicare se dovedește insuficientă, CESE încurajează Comisia să ia în considerare revizuirea </w:t>
      </w:r>
      <w:r>
        <w:lastRenderedPageBreak/>
        <w:t>Regulamentului nr. 2018/775 și a orientărilor sale interpretative pentru a aborda mai bine utilizarea referințelor geografice și a simbolurilor naționale sau regionale de pe produsele alimentare care nu sunt legate de originea indicată sau de un sistem de certificare recunoscut.</w:t>
      </w:r>
    </w:p>
    <w:p w14:paraId="61E25FD2" w14:textId="77777777" w:rsidR="008F2BB1" w:rsidRPr="004A4890" w:rsidRDefault="008F2BB1" w:rsidP="008F2BB1">
      <w:pPr>
        <w:rPr>
          <w:sz w:val="18"/>
          <w:szCs w:val="18"/>
          <w:lang w:val="en-GB"/>
        </w:rPr>
      </w:pPr>
    </w:p>
    <w:p w14:paraId="4482EED4" w14:textId="77777777" w:rsidR="008F2BB1" w:rsidRPr="00377DA3" w:rsidRDefault="008F2BB1" w:rsidP="008F2BB1">
      <w:pPr>
        <w:pStyle w:val="Heading2"/>
      </w:pPr>
      <w:r>
        <w:t xml:space="preserve">CESE solicită ca cel puțin 25 % din alimentele din școli, spitale și cantine publice să fie produse de calitate, </w:t>
      </w:r>
      <w:proofErr w:type="spellStart"/>
      <w:r>
        <w:t>acordându-se</w:t>
      </w:r>
      <w:proofErr w:type="spellEnd"/>
      <w:r>
        <w:t xml:space="preserve"> prioritate produselor de origine locală, acolo unde este posibil. Normele UE privind achizițiile publice ar trebui să recompenseze furnizorii care oferă cote ridicate de produse de calitate și să includă criterii de durabilitate care să sprijine lanțurile de aprovizionare locale. În țările în curs de dezvoltare și în țările candidate, se recomandă o abordare etapizată, cu sprijin tehnic și financiar.</w:t>
      </w:r>
    </w:p>
    <w:p w14:paraId="6E11184D" w14:textId="77777777" w:rsidR="008F2BB1" w:rsidRPr="004A4890" w:rsidRDefault="008F2BB1" w:rsidP="008F2BB1">
      <w:pPr>
        <w:rPr>
          <w:sz w:val="18"/>
          <w:szCs w:val="18"/>
          <w:lang w:val="en-GB"/>
        </w:rPr>
      </w:pPr>
    </w:p>
    <w:p w14:paraId="20DE2149" w14:textId="77777777" w:rsidR="008F2BB1" w:rsidRPr="00377DA3" w:rsidRDefault="008F2BB1" w:rsidP="008F2BB1">
      <w:pPr>
        <w:pStyle w:val="Heading2"/>
      </w:pPr>
      <w:r>
        <w:t>Achizițiile publice pot fi un instrument puternic de promovare a obiectivelor sociale și de mediu. În centrul acestor succese se află trecerea de la achizițiile bazate exclusiv pe prețuri la utilizarea criteriului ofertei celei mai avantajoase din punct de vedere economic (</w:t>
      </w:r>
      <w:proofErr w:type="spellStart"/>
      <w:r>
        <w:rPr>
          <w:i/>
        </w:rPr>
        <w:t>most</w:t>
      </w:r>
      <w:proofErr w:type="spellEnd"/>
      <w:r>
        <w:rPr>
          <w:i/>
        </w:rPr>
        <w:t xml:space="preserve"> </w:t>
      </w:r>
      <w:proofErr w:type="spellStart"/>
      <w:r>
        <w:rPr>
          <w:i/>
        </w:rPr>
        <w:t>economically</w:t>
      </w:r>
      <w:proofErr w:type="spellEnd"/>
      <w:r>
        <w:rPr>
          <w:i/>
        </w:rPr>
        <w:t xml:space="preserve"> </w:t>
      </w:r>
      <w:proofErr w:type="spellStart"/>
      <w:r>
        <w:rPr>
          <w:i/>
        </w:rPr>
        <w:t>advantageous</w:t>
      </w:r>
      <w:proofErr w:type="spellEnd"/>
      <w:r>
        <w:rPr>
          <w:i/>
        </w:rPr>
        <w:t xml:space="preserve"> tender</w:t>
      </w:r>
      <w:r>
        <w:t xml:space="preserve"> - MEAT), în care prevalează standardele sociale, de mediu și etice. CESE recomandă această abordare, care se aliniază la solicitarea mișcării </w:t>
      </w:r>
      <w:proofErr w:type="spellStart"/>
      <w:r>
        <w:t>Fairtrade</w:t>
      </w:r>
      <w:proofErr w:type="spellEnd"/>
      <w:r>
        <w:t xml:space="preserve"> de a face din MEAT un criteriu implicit pentru achizițiile publice, asigurându-se că cheltuielile publice sprijină întreprinderile etice, inclusiv operatorii din domeniul comerțului echitabil.</w:t>
      </w:r>
    </w:p>
    <w:p w14:paraId="04AFA2CC" w14:textId="77777777" w:rsidR="008F2BB1" w:rsidRPr="004A4890" w:rsidRDefault="008F2BB1" w:rsidP="008F2BB1">
      <w:pPr>
        <w:rPr>
          <w:sz w:val="18"/>
          <w:szCs w:val="18"/>
          <w:lang w:val="en-GB"/>
        </w:rPr>
      </w:pPr>
    </w:p>
    <w:p w14:paraId="61052534" w14:textId="77777777" w:rsidR="008F2BB1" w:rsidRPr="00377DA3" w:rsidRDefault="008F2BB1" w:rsidP="008F2BB1">
      <w:pPr>
        <w:pStyle w:val="Heading2"/>
      </w:pPr>
      <w:r>
        <w:t>Mecanismele de finanțare pentru sustenabilitate și certificare trebuie consolidate semnificativ. CESE solicită ca Orientările privind achizițiile publice ecologice să fie extinse pentru a include toate sistemele de calitate bazate pe sustenabilitate, cu criterii clare referitoare la performanța de mediu în cazul licitațiilor pentru alimente și servicii de alimentație publică.</w:t>
      </w:r>
    </w:p>
    <w:p w14:paraId="1D712578" w14:textId="77777777" w:rsidR="008F2BB1" w:rsidRPr="004A4890" w:rsidRDefault="008F2BB1" w:rsidP="008F2BB1">
      <w:pPr>
        <w:rPr>
          <w:sz w:val="18"/>
          <w:szCs w:val="18"/>
          <w:lang w:val="en-GB"/>
        </w:rPr>
      </w:pPr>
    </w:p>
    <w:p w14:paraId="18B71D73" w14:textId="77777777" w:rsidR="008F2BB1" w:rsidRPr="00377DA3" w:rsidRDefault="008F2BB1" w:rsidP="008F2BB1">
      <w:pPr>
        <w:pStyle w:val="Heading2"/>
      </w:pPr>
      <w:r>
        <w:t xml:space="preserve">CESE reafirmă importanța structurilor de promovare naționale coordonate și finanțate corespunzător. Țările care au agenții naționale pentru calitatea și comercializarea produselor alimentare dau dovadă constant de randamente mai mari ale investițiilor ca urmare a unui grad mai ridicat de conștientizare în rândul consumatorilor, de pătrundere pe piață și de creștere a exporturilor. Statele membre ar trebui să fie sprijinite să înființeze astfel de agenții, cu un mandat clar de a promova produse certificate pe plan intern și extern. CESE recomandă, de asemenea, să se analizeze modul în care aceste structuri de promovare pot ajuta producătorii din țările candidate să acceseze piețele UE. </w:t>
      </w:r>
    </w:p>
    <w:p w14:paraId="43F188BD" w14:textId="77777777" w:rsidR="008F2BB1" w:rsidRPr="004A4890" w:rsidRDefault="008F2BB1" w:rsidP="008F2BB1">
      <w:pPr>
        <w:rPr>
          <w:sz w:val="18"/>
          <w:szCs w:val="18"/>
          <w:lang w:val="en-GB"/>
        </w:rPr>
      </w:pPr>
    </w:p>
    <w:p w14:paraId="24178AD6" w14:textId="77777777" w:rsidR="008F2BB1" w:rsidRPr="00377DA3" w:rsidRDefault="008F2BB1" w:rsidP="008F2BB1">
      <w:pPr>
        <w:pStyle w:val="Heading2"/>
      </w:pPr>
      <w:r>
        <w:t xml:space="preserve">Complexitatea administrativă a procedurilor de certificare rămâne un obstacol important, mai ales în cazul producătorilor mici și al noilor operatori pe piață. CESE solicită simplificarea și armonizarea normelor de certificare între statele membre, cu cerințe clare și proporționale, care să reflecte amploarea și tipul producției. Pentru a extinde participarea țărilor în curs de dezvoltare, ar trebui concepute proceduri de certificare simplificate, necostisitoare și scalabile, inclusiv modele de certificare în grup sau instrumente digitale de </w:t>
      </w:r>
      <w:proofErr w:type="spellStart"/>
      <w:r>
        <w:t>precertificare</w:t>
      </w:r>
      <w:proofErr w:type="spellEnd"/>
      <w:r>
        <w:t xml:space="preserve">. </w:t>
      </w:r>
    </w:p>
    <w:p w14:paraId="3635F4DB" w14:textId="77777777" w:rsidR="008F2BB1" w:rsidRPr="004A4890" w:rsidRDefault="008F2BB1" w:rsidP="008F2BB1">
      <w:pPr>
        <w:rPr>
          <w:sz w:val="18"/>
          <w:szCs w:val="18"/>
          <w:lang w:val="en-GB"/>
        </w:rPr>
      </w:pPr>
    </w:p>
    <w:p w14:paraId="4EFF497A" w14:textId="77777777" w:rsidR="008F2BB1" w:rsidRPr="00377DA3" w:rsidRDefault="008F2BB1" w:rsidP="008F2BB1">
      <w:pPr>
        <w:pStyle w:val="Heading2"/>
      </w:pPr>
      <w:r>
        <w:t>Este nevoie de un sistem continuu de monitorizare și evaluare pentru a asigura capacitatea de răspuns la evoluțiile pieței și performanța politicii. Comitetul încurajează integrarea obiectivelor de certificare, promovare și sustenabilitate în evaluările programelor UE și recomandă urmărirea progreselor înregistrate în direcția îndeplinirii obiectivelor de consum și producție, în special în ceea ce privește alimentele de calitate.</w:t>
      </w:r>
    </w:p>
    <w:p w14:paraId="0D47849A" w14:textId="77777777" w:rsidR="008F2BB1" w:rsidRPr="00377DA3" w:rsidRDefault="008F2BB1" w:rsidP="008F2BB1">
      <w:pPr>
        <w:pStyle w:val="Heading2"/>
      </w:pPr>
      <w:r>
        <w:t xml:space="preserve">Investițiile în cercetare, inovare și servicii de consiliere adaptate la agricultura ecologică sunt esențiale pentru dezvoltarea sectorului. CESE solicită creșterea finanțării în cadrul Orizont </w:t>
      </w:r>
      <w:r>
        <w:lastRenderedPageBreak/>
        <w:t xml:space="preserve">Europa și al programelor naționale de cercetare și inovare, pentru a sprijini cercetarea aplicată privind sistemele ecologice, dezvoltarea lanțurilor de aprovizionare și comportamentul consumatorilor. În plus, agenda de cercetare ar trebui să includă subiecte relevante pentru sistemele cu resurse limitate și cu consum redus de resurse din țările în curs de dezvoltare. </w:t>
      </w:r>
    </w:p>
    <w:p w14:paraId="0BB6B894" w14:textId="77777777" w:rsidR="008F2BB1" w:rsidRPr="004A4890" w:rsidRDefault="008F2BB1" w:rsidP="008F2BB1">
      <w:pPr>
        <w:rPr>
          <w:sz w:val="18"/>
          <w:szCs w:val="18"/>
          <w:lang w:val="en-GB"/>
        </w:rPr>
      </w:pPr>
    </w:p>
    <w:p w14:paraId="7BD3B4D1" w14:textId="77777777" w:rsidR="008F2BB1" w:rsidRPr="00377DA3" w:rsidRDefault="008F2BB1" w:rsidP="008F2BB1">
      <w:pPr>
        <w:pStyle w:val="Heading2"/>
      </w:pPr>
      <w:r>
        <w:t>Încrederea consumatorilor în eticheta de calitate depinde de existența unor sisteme solide de control și transparență, în special în ceea ce privește produsele ecologice de import. Comitetul recomandă consolidarea asigurării respectării standardelor de echivalență, armonizarea inspecțiilor și realizarea de investiții în instrumente de trasabilitate digitale, care să garanteze credibilitatea certificării de calitate a UE.</w:t>
      </w:r>
    </w:p>
    <w:p w14:paraId="03CCB8D4" w14:textId="77777777" w:rsidR="008F2BB1" w:rsidRPr="004A4890" w:rsidRDefault="008F2BB1" w:rsidP="008F2BB1">
      <w:pPr>
        <w:rPr>
          <w:sz w:val="18"/>
          <w:szCs w:val="18"/>
          <w:lang w:val="en-GB"/>
        </w:rPr>
      </w:pPr>
    </w:p>
    <w:p w14:paraId="5FDB5D14" w14:textId="77777777" w:rsidR="008F2BB1" w:rsidRPr="00377DA3" w:rsidRDefault="008F2BB1" w:rsidP="008F2BB1">
      <w:pPr>
        <w:pStyle w:val="Heading2"/>
        <w:rPr>
          <w:color w:val="0E0E0E"/>
        </w:rPr>
      </w:pPr>
      <w:r>
        <w:t xml:space="preserve">CESE consideră că agricultura ecologică și producția alimentară de calitate sunt factori-cheie ai reînnoirii generațiilor în agricultură. Abordarea bazată pe valori este atrăgătoare pentru tineri și pentru noii fermieri. Comitetul recomandă ca planurile strategice ale PAC să ofere sprijin specific tinerilor fermieri care practică sistemul de agricultură ecologică, întreprinderilor nou-înființate și prelucrătorilor, inclusiv în țările candidate, prin investiții, acces la credite și formare. </w:t>
      </w:r>
      <w:r>
        <w:rPr>
          <w:color w:val="0E0E0E"/>
        </w:rPr>
        <w:t xml:space="preserve">CESE recomandă, de asemenea, instituirea unor mecanisme de guvernanță favorabile incluziunii, cum ar fi consiliile consultative și modelele de guvernanță participativă în </w:t>
      </w:r>
      <w:proofErr w:type="spellStart"/>
      <w:r>
        <w:rPr>
          <w:color w:val="0E0E0E"/>
        </w:rPr>
        <w:t>eco</w:t>
      </w:r>
      <w:proofErr w:type="spellEnd"/>
      <w:r>
        <w:rPr>
          <w:color w:val="0E0E0E"/>
        </w:rPr>
        <w:t>-districte, pentru a implica tinerii în elaborarea strategiilor teritoriale.</w:t>
      </w:r>
    </w:p>
    <w:p w14:paraId="7D8EADB7" w14:textId="77777777" w:rsidR="008F2BB1" w:rsidRPr="004A4890" w:rsidRDefault="008F2BB1" w:rsidP="008F2BB1">
      <w:pPr>
        <w:rPr>
          <w:sz w:val="18"/>
          <w:szCs w:val="18"/>
          <w:lang w:val="en-GB"/>
        </w:rPr>
      </w:pPr>
    </w:p>
    <w:p w14:paraId="65AB436F" w14:textId="77777777" w:rsidR="008F2BB1" w:rsidRPr="00377DA3" w:rsidRDefault="008F2BB1" w:rsidP="008F2BB1">
      <w:pPr>
        <w:pStyle w:val="Heading2"/>
      </w:pPr>
      <w:r>
        <w:t>Agricultura ecologică ar trebui, de asemenea, integrată în strategiile de dezvoltare teritorială, inclusiv în strategia „Sate inteligente”, în programele LEADER și în clusterele de bioeconomie. Astfel vor fi încurajate cooperarea, inovarea la nivel local și noile oportunități economice în zonele rurale.</w:t>
      </w:r>
    </w:p>
    <w:p w14:paraId="7646E033" w14:textId="77777777" w:rsidR="008F2BB1" w:rsidRPr="004A4890" w:rsidRDefault="008F2BB1" w:rsidP="008F2BB1">
      <w:pPr>
        <w:rPr>
          <w:sz w:val="18"/>
          <w:szCs w:val="18"/>
          <w:lang w:val="en-GB"/>
        </w:rPr>
      </w:pPr>
    </w:p>
    <w:p w14:paraId="1813ED6E" w14:textId="77777777" w:rsidR="008F2BB1" w:rsidRPr="00377DA3" w:rsidRDefault="008F2BB1" w:rsidP="008F2BB1">
      <w:pPr>
        <w:pStyle w:val="Heading2"/>
      </w:pPr>
      <w:r>
        <w:t>În cele din urmă, CESE subliniază că sistemele alimentare ale UE pentru produsele ecologice și certificate trebuie protejate și promovate în toate acordurile comerciale internaționale. Aceasta include garantarea recunoașterii standardelor și a etichetelor UE, asigurarea echivalenței cerințelor de sustenabilitate pentru produsele de import și poziționarea sistemelor UE ca puncte de referință pentru sisteme alimentare echitabile, transparente și durabile la nivel global. Ori de câte ori este posibil, aceste principii ar trebui să se aplice retroactiv și acordurilor comerciale existente, pentru a asigura alinierea la obiectivele UE în materie de mediu, sănătate și protecție a consumatorilor.</w:t>
      </w:r>
    </w:p>
    <w:p w14:paraId="4F8853D3" w14:textId="77777777" w:rsidR="008F2BB1" w:rsidRPr="004A4890" w:rsidRDefault="008F2BB1" w:rsidP="008F2BB1">
      <w:pPr>
        <w:rPr>
          <w:sz w:val="18"/>
          <w:szCs w:val="18"/>
          <w:lang w:val="en-GB"/>
        </w:rPr>
      </w:pPr>
    </w:p>
    <w:p w14:paraId="3C04AEB4" w14:textId="77777777" w:rsidR="008F2BB1" w:rsidRPr="00377DA3" w:rsidRDefault="008F2BB1" w:rsidP="008F2BB1">
      <w:pPr>
        <w:pStyle w:val="Heading1"/>
        <w:rPr>
          <w:b/>
          <w:bCs/>
        </w:rPr>
      </w:pPr>
      <w:r>
        <w:rPr>
          <w:b/>
        </w:rPr>
        <w:t>Calea de urmat</w:t>
      </w:r>
    </w:p>
    <w:p w14:paraId="1AAEFC32" w14:textId="77777777" w:rsidR="008F2BB1" w:rsidRPr="004A4890" w:rsidRDefault="008F2BB1" w:rsidP="008F2BB1">
      <w:pPr>
        <w:rPr>
          <w:sz w:val="18"/>
          <w:szCs w:val="18"/>
          <w:lang w:val="en-GB"/>
        </w:rPr>
      </w:pPr>
    </w:p>
    <w:p w14:paraId="460DC49C" w14:textId="77777777" w:rsidR="008F2BB1" w:rsidRPr="00377DA3" w:rsidRDefault="008F2BB1" w:rsidP="008F2BB1">
      <w:pPr>
        <w:pStyle w:val="Heading2"/>
      </w:pPr>
      <w:r>
        <w:t>Un sistem agroalimentar european durabil, competitiv și echitabil necesită sprijinirea și promovarea produselor de calitate, recunoașterea fermierilor ca actori strategici ai tranziției verzi și integrarea lor în lanțuri valorice moderne. CESE invită Comisia și statele membre să își intensifice eforturile în această direcție și este dispus să îndeplinească rolul de partener activ în procesul de dialog structurat de la nivelul UE.</w:t>
      </w:r>
    </w:p>
    <w:p w14:paraId="193C623A" w14:textId="77777777" w:rsidR="008F2BB1" w:rsidRPr="004A4890" w:rsidRDefault="008F2BB1" w:rsidP="00377DA3">
      <w:pPr>
        <w:rPr>
          <w:sz w:val="18"/>
          <w:szCs w:val="18"/>
          <w:lang w:val="en-GB"/>
        </w:rPr>
      </w:pPr>
    </w:p>
    <w:p w14:paraId="19197246" w14:textId="3AF6D176" w:rsidR="00D04AA0" w:rsidRPr="00377DA3" w:rsidRDefault="00D04AA0" w:rsidP="00D04AA0">
      <w:r>
        <w:t>Bruxelles, 18 septembrie 2025.</w:t>
      </w:r>
    </w:p>
    <w:p w14:paraId="0041B822" w14:textId="3D03B3DA" w:rsidR="00D04AA0" w:rsidRPr="004A4890" w:rsidRDefault="00D04AA0" w:rsidP="00D04AA0">
      <w:pPr>
        <w:spacing w:line="276" w:lineRule="auto"/>
        <w:rPr>
          <w:sz w:val="18"/>
          <w:szCs w:val="18"/>
          <w:lang w:val="en-GB"/>
        </w:rPr>
      </w:pPr>
    </w:p>
    <w:p w14:paraId="52177794" w14:textId="77777777" w:rsidR="004E2DC1" w:rsidRPr="004A4890" w:rsidRDefault="004E2DC1" w:rsidP="00D04AA0">
      <w:pPr>
        <w:spacing w:line="276" w:lineRule="auto"/>
        <w:rPr>
          <w:sz w:val="18"/>
          <w:szCs w:val="18"/>
          <w:lang w:val="en-GB"/>
        </w:rPr>
      </w:pPr>
    </w:p>
    <w:p w14:paraId="74419583" w14:textId="16D43905" w:rsidR="00D04AA0" w:rsidRPr="00377DA3" w:rsidRDefault="005B1AF3" w:rsidP="00D04AA0">
      <w:pPr>
        <w:spacing w:line="276" w:lineRule="auto"/>
        <w:rPr>
          <w:i/>
          <w:iCs/>
        </w:rPr>
      </w:pPr>
      <w:r>
        <w:rPr>
          <w:i/>
        </w:rPr>
        <w:t>Președintele Comitetului Economic și Social European</w:t>
      </w:r>
    </w:p>
    <w:p w14:paraId="2BF4BFAC" w14:textId="3A256FA6" w:rsidR="00D04AA0" w:rsidRPr="004A4890" w:rsidRDefault="00525D63" w:rsidP="004A4890">
      <w:pPr>
        <w:spacing w:line="276" w:lineRule="auto"/>
      </w:pPr>
      <w:r>
        <w:t>Oliver RÖPKE</w:t>
      </w:r>
    </w:p>
    <w:p w14:paraId="6BABC1C7" w14:textId="425E3DDA" w:rsidR="00F53370" w:rsidRPr="004A4890" w:rsidRDefault="00D04AA0" w:rsidP="004A4890">
      <w:pPr>
        <w:overflowPunct w:val="0"/>
        <w:autoSpaceDE w:val="0"/>
        <w:autoSpaceDN w:val="0"/>
        <w:adjustRightInd w:val="0"/>
        <w:jc w:val="center"/>
        <w:textAlignment w:val="baseline"/>
      </w:pPr>
      <w:r>
        <w:t>_____________</w:t>
      </w:r>
    </w:p>
    <w:sectPr w:rsidR="00F53370" w:rsidRPr="004A4890" w:rsidSect="001E74A1">
      <w:headerReference w:type="even" r:id="rId21"/>
      <w:headerReference w:type="default" r:id="rId22"/>
      <w:footerReference w:type="default" r:id="rId23"/>
      <w:headerReference w:type="first" r:id="rId24"/>
      <w:pgSz w:w="11907" w:h="16839" w:code="9"/>
      <w:pgMar w:top="1418" w:right="1418" w:bottom="1418" w:left="1418" w:header="709"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90EA58" w14:textId="77777777" w:rsidR="00A545E5" w:rsidRDefault="00A545E5" w:rsidP="00F53370">
      <w:pPr>
        <w:spacing w:line="240" w:lineRule="auto"/>
      </w:pPr>
      <w:r>
        <w:separator/>
      </w:r>
    </w:p>
  </w:endnote>
  <w:endnote w:type="continuationSeparator" w:id="0">
    <w:p w14:paraId="2B0E8916" w14:textId="77777777" w:rsidR="00A545E5" w:rsidRDefault="00A545E5" w:rsidP="00F53370">
      <w:pPr>
        <w:spacing w:line="240" w:lineRule="auto"/>
      </w:pPr>
      <w:r>
        <w:continuationSeparator/>
      </w:r>
    </w:p>
  </w:endnote>
  <w:endnote w:type="continuationNotice" w:id="1">
    <w:p w14:paraId="1364DE18" w14:textId="77777777" w:rsidR="00A545E5" w:rsidRDefault="00A545E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A705E7" w14:textId="77777777" w:rsidR="003E4776" w:rsidRDefault="003E477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F8369" w14:textId="77777777" w:rsidR="003E4776" w:rsidRDefault="003E477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4E743" w14:textId="77777777" w:rsidR="003E4776" w:rsidRDefault="003E47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FD4BD" w14:textId="77777777" w:rsidR="00574C9B" w:rsidRDefault="00574C9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3217E" w14:textId="572A5E31" w:rsidR="0084105C" w:rsidRPr="003065C9" w:rsidRDefault="00221D36" w:rsidP="00221D36">
    <w:pPr>
      <w:pStyle w:val="Footer"/>
      <w:jc w:val="left"/>
    </w:pPr>
    <w:r>
      <w:t xml:space="preserve">NAT/949 – EESC-2025-00673-00-00-AC-TRA (EN) </w:t>
    </w:r>
    <w:r>
      <w:fldChar w:fldCharType="begin"/>
    </w:r>
    <w:r>
      <w:instrText xml:space="preserve"> PAGE  \* Arabic  \* MERGEFORMAT </w:instrText>
    </w:r>
    <w:r>
      <w:fldChar w:fldCharType="separate"/>
    </w:r>
    <w:r>
      <w:t>8</w:t>
    </w:r>
    <w:r>
      <w:fldChar w:fldCharType="end"/>
    </w:r>
    <w:r>
      <w:t>/</w:t>
    </w:r>
    <w:r>
      <w:fldChar w:fldCharType="begin"/>
    </w:r>
    <w:r>
      <w:instrText xml:space="preserve"> = </w:instrText>
    </w:r>
    <w:r w:rsidR="006C4D83">
      <w:fldChar w:fldCharType="begin"/>
    </w:r>
    <w:r w:rsidR="006C4D83">
      <w:instrText xml:space="preserve"> NUMPAGES </w:instrText>
    </w:r>
    <w:r w:rsidR="006C4D83">
      <w:fldChar w:fldCharType="separate"/>
    </w:r>
    <w:r w:rsidR="00F26DDF">
      <w:rPr>
        <w:noProof/>
      </w:rPr>
      <w:instrText>10</w:instrText>
    </w:r>
    <w:r w:rsidR="006C4D83">
      <w:fldChar w:fldCharType="end"/>
    </w:r>
    <w:r>
      <w:instrText xml:space="preserve"> - 2 </w:instrText>
    </w:r>
    <w:r>
      <w:fldChar w:fldCharType="separate"/>
    </w:r>
    <w:r w:rsidR="00F26DDF">
      <w:rPr>
        <w:noProof/>
      </w:rPr>
      <w:t>8</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BE741D" w14:textId="77777777" w:rsidR="00A545E5" w:rsidRDefault="00A545E5" w:rsidP="00F53370">
      <w:pPr>
        <w:spacing w:line="240" w:lineRule="auto"/>
      </w:pPr>
      <w:r>
        <w:separator/>
      </w:r>
    </w:p>
  </w:footnote>
  <w:footnote w:type="continuationSeparator" w:id="0">
    <w:p w14:paraId="0CDD21A0" w14:textId="77777777" w:rsidR="00A545E5" w:rsidRDefault="00A545E5" w:rsidP="00F53370">
      <w:pPr>
        <w:spacing w:line="240" w:lineRule="auto"/>
      </w:pPr>
      <w:r>
        <w:continuationSeparator/>
      </w:r>
    </w:p>
  </w:footnote>
  <w:footnote w:type="continuationNotice" w:id="1">
    <w:p w14:paraId="63AAA168" w14:textId="77777777" w:rsidR="00A545E5" w:rsidRDefault="00A545E5">
      <w:pPr>
        <w:spacing w:line="240" w:lineRule="auto"/>
      </w:pPr>
    </w:p>
  </w:footnote>
  <w:footnote w:id="2">
    <w:p w14:paraId="314829B5" w14:textId="64879C6B" w:rsidR="008F2BB1" w:rsidRPr="0082157A" w:rsidRDefault="008F2BB1" w:rsidP="008F2BB1">
      <w:pPr>
        <w:pStyle w:val="FootnoteText"/>
      </w:pPr>
      <w:r>
        <w:rPr>
          <w:rStyle w:val="FootnoteReference"/>
        </w:rPr>
        <w:footnoteRef/>
      </w:r>
      <w:r>
        <w:tab/>
        <w:t xml:space="preserve">JO C, C/2025/2016, 30.4.2025, ELI: </w:t>
      </w:r>
      <w:hyperlink r:id="rId1" w:history="1">
        <w:r>
          <w:rPr>
            <w:rStyle w:val="Hyperlink"/>
          </w:rPr>
          <w:t>http://data.europa.eu/eli/C/2025/2016/oj</w:t>
        </w:r>
      </w:hyperlink>
      <w:r>
        <w:t xml:space="preserve"> și JO C, C/2025/117, 10.1.2025, ELI:</w:t>
      </w:r>
      <w:r w:rsidR="00D7034B">
        <w:t> </w:t>
      </w:r>
      <w:hyperlink r:id="rId2" w:history="1">
        <w:r w:rsidR="004A4890" w:rsidRPr="00CE5578">
          <w:rPr>
            <w:rStyle w:val="Hyperlink"/>
          </w:rPr>
          <w:t>http://data.europa.eu/eli/C/2025/117/oj</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4A669" w14:textId="252CAFAF" w:rsidR="00574C9B" w:rsidRDefault="006C4D83">
    <w:pPr>
      <w:pStyle w:val="Header"/>
    </w:pPr>
    <w:r>
      <w:pict w14:anchorId="3E5C97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6" o:spid="_x0000_s2060" type="#_x0000_t75" style="position:absolute;left:0;text-align:left;margin-left:0;margin-top:0;width:595.2pt;height:841.9pt;z-index:-251658237;mso-position-horizontal:center;mso-position-horizontal-relative:margin;mso-position-vertical:center;mso-position-vertical-relative:margin" o:allowincell="f">
          <v:imagedata r:id="rId1" o:title="footer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95081" w14:textId="1B726336" w:rsidR="00574C9B" w:rsidRDefault="00A9718E">
    <w:pPr>
      <w:pStyle w:val="Header"/>
    </w:pPr>
    <w:r>
      <w:rPr>
        <w:noProof/>
      </w:rPr>
      <w:drawing>
        <wp:anchor distT="0" distB="0" distL="114300" distR="114300" simplePos="0" relativeHeight="251663360" behindDoc="0" locked="0" layoutInCell="1" allowOverlap="1" wp14:anchorId="41963908" wp14:editId="766BAA55">
          <wp:simplePos x="0" y="0"/>
          <wp:positionH relativeFrom="page">
            <wp:align>center</wp:align>
          </wp:positionH>
          <wp:positionV relativeFrom="page">
            <wp:posOffset>288290</wp:posOffset>
          </wp:positionV>
          <wp:extent cx="6944360" cy="3343275"/>
          <wp:effectExtent l="0" t="0" r="8890" b="9525"/>
          <wp:wrapNone/>
          <wp:docPr id="1" name="Picture 1" title="EESCLogo2021_RO"/>
          <wp:cNvGraphicFramePr/>
          <a:graphic xmlns:a="http://schemas.openxmlformats.org/drawingml/2006/main">
            <a:graphicData uri="http://schemas.openxmlformats.org/drawingml/2006/picture">
              <pic:pic xmlns:pic="http://schemas.openxmlformats.org/drawingml/2006/picture">
                <pic:nvPicPr>
                  <pic:cNvPr id="1" name="Picture 1" title="EESCLogo2021_RO"/>
                  <pic:cNvPicPr/>
                </pic:nvPicPr>
                <pic:blipFill>
                  <a:blip r:embed="rId1">
                    <a:extLst>
                      <a:ext uri="{28A0092B-C50C-407E-A947-70E740481C1C}">
                        <a14:useLocalDpi xmlns:a14="http://schemas.microsoft.com/office/drawing/2010/main" val="0"/>
                      </a:ext>
                    </a:extLst>
                  </a:blip>
                  <a:stretch>
                    <a:fillRect/>
                  </a:stretch>
                </pic:blipFill>
                <pic:spPr>
                  <a:xfrm>
                    <a:off x="0" y="0"/>
                    <a:ext cx="6944360" cy="3343275"/>
                  </a:xfrm>
                  <a:prstGeom prst="rect">
                    <a:avLst/>
                  </a:prstGeom>
                </pic:spPr>
              </pic:pic>
            </a:graphicData>
          </a:graphic>
          <wp14:sizeRelH relativeFrom="margin">
            <wp14:pctWidth>0</wp14:pctWidth>
          </wp14:sizeRelH>
          <wp14:sizeRelV relativeFrom="margin">
            <wp14:pctHeight>0</wp14:pctHeight>
          </wp14:sizeRelV>
        </wp:anchor>
      </w:drawing>
    </w:r>
    <w:r w:rsidR="006C4D83">
      <w:pict w14:anchorId="0292D8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7" o:spid="_x0000_s2061" type="#_x0000_t75" style="position:absolute;left:0;text-align:left;margin-left:0;margin-top:0;width:595.2pt;height:841.9pt;z-index:-251658236;mso-position-horizontal:center;mso-position-horizontal-relative:page;mso-position-vertical:top;mso-position-vertical-relative:page" o:allowincell="f">
          <v:imagedata r:id="rId2" o:title="footer only"/>
          <w10:wrap anchorx="page"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55837F" w14:textId="007EBCA1" w:rsidR="00574C9B" w:rsidRDefault="006C4D83">
    <w:pPr>
      <w:pStyle w:val="Header"/>
    </w:pPr>
    <w:r>
      <w:pict w14:anchorId="191712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5" o:spid="_x0000_s2059" type="#_x0000_t75" style="position:absolute;left:0;text-align:left;margin-left:0;margin-top:0;width:595.2pt;height:841.9pt;z-index:-251658238;mso-position-horizontal:center;mso-position-horizontal-relative:margin;mso-position-vertical:center;mso-position-vertical-relative:margin" o:allowincell="f">
          <v:imagedata r:id="rId1" o:title="footer only"/>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B9C34" w14:textId="7FEF32E3" w:rsidR="00574C9B" w:rsidRDefault="006C4D83">
    <w:pPr>
      <w:pStyle w:val="Header"/>
    </w:pPr>
    <w:r>
      <w:pict w14:anchorId="16802F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9" o:spid="_x0000_s2063" type="#_x0000_t75" style="position:absolute;left:0;text-align:left;margin-left:0;margin-top:0;width:595.2pt;height:841.9pt;z-index:-251658234;mso-position-horizontal:center;mso-position-horizontal-relative:margin;mso-position-vertical:center;mso-position-vertical-relative:margin" o:allowincell="f">
          <v:imagedata r:id="rId1" o:title="footer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9FC7C" w14:textId="308D261F" w:rsidR="00574C9B" w:rsidRDefault="006C4D83">
    <w:pPr>
      <w:pStyle w:val="Header"/>
    </w:pPr>
    <w:r>
      <w:pict w14:anchorId="31FC4AD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0" o:spid="_x0000_s2064" type="#_x0000_t75" style="position:absolute;left:0;text-align:left;margin-left:0;margin-top:0;width:595.2pt;height:841.9pt;z-index:-251658233;visibility:hidden;mso-position-horizontal:center;mso-position-horizontal-relative:margin;mso-position-vertical:center;mso-position-vertical-relative:margin" o:allowincell="f">
          <v:imagedata r:id="rId1" o:title="footer only"/>
          <w10:wrap anchorx="margin" anchory="margin"/>
        </v:shape>
      </w:pict>
    </w:r>
    <w:r w:rsidR="00A9718E">
      <w:rPr>
        <w:noProof/>
      </w:rPr>
      <w:drawing>
        <wp:anchor distT="0" distB="0" distL="114300" distR="114300" simplePos="0" relativeHeight="251662336" behindDoc="1" locked="0" layoutInCell="1" allowOverlap="1" wp14:anchorId="5FA9E479" wp14:editId="13AEE0F5">
          <wp:simplePos x="0" y="0"/>
          <wp:positionH relativeFrom="page">
            <wp:posOffset>-10571</wp:posOffset>
          </wp:positionH>
          <wp:positionV relativeFrom="page">
            <wp:posOffset>-221993</wp:posOffset>
          </wp:positionV>
          <wp:extent cx="7581265" cy="10898802"/>
          <wp:effectExtent l="0" t="0" r="63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ackground (footer) recto.png"/>
                  <pic:cNvPicPr/>
                </pic:nvPicPr>
                <pic:blipFill>
                  <a:blip r:embed="rId2">
                    <a:extLst>
                      <a:ext uri="{28A0092B-C50C-407E-A947-70E740481C1C}">
                        <a14:useLocalDpi xmlns:a14="http://schemas.microsoft.com/office/drawing/2010/main" val="0"/>
                      </a:ext>
                    </a:extLst>
                  </a:blip>
                  <a:stretch>
                    <a:fillRect/>
                  </a:stretch>
                </pic:blipFill>
                <pic:spPr>
                  <a:xfrm>
                    <a:off x="0" y="0"/>
                    <a:ext cx="7585107" cy="10904325"/>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F67873" w14:textId="56798CB4" w:rsidR="00574C9B" w:rsidRDefault="006C4D83">
    <w:pPr>
      <w:pStyle w:val="Header"/>
    </w:pPr>
    <w:r>
      <w:pict w14:anchorId="1017B5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18" o:spid="_x0000_s2062" type="#_x0000_t75" style="position:absolute;left:0;text-align:left;margin-left:0;margin-top:0;width:595.2pt;height:841.9pt;z-index:-251658235;mso-position-horizontal:center;mso-position-horizontal-relative:margin;mso-position-vertical:center;mso-position-vertical-relative:margin" o:allowincell="f">
          <v:imagedata r:id="rId1" o:title="footer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FFAD5" w14:textId="60B66FCE" w:rsidR="004871B8" w:rsidRDefault="006C4D83">
    <w:pPr>
      <w:pStyle w:val="Header"/>
    </w:pPr>
    <w:r>
      <w:pict w14:anchorId="51EC15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2" o:spid="_x0000_s2066" type="#_x0000_t75" style="position:absolute;left:0;text-align:left;margin-left:0;margin-top:0;width:595.2pt;height:841.9pt;z-index:-251658231;mso-position-horizontal:center;mso-position-horizontal-relative:margin;mso-position-vertical:center;mso-position-vertical-relative:margin" o:allowincell="f">
          <v:imagedata r:id="rId1" o:title="footer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32120" w14:textId="43FA7B78" w:rsidR="00FA08F8" w:rsidRDefault="006C4D83">
    <w:pPr>
      <w:pStyle w:val="Header"/>
    </w:pPr>
    <w:r>
      <w:pict w14:anchorId="7B5F8F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3" o:spid="_x0000_s2067" type="#_x0000_t75" style="position:absolute;left:0;text-align:left;margin-left:0;margin-top:0;width:595.2pt;height:841.9pt;z-index:-251658230;visibility:hidden;mso-position-horizontal:center;mso-position-horizontal-relative:margin;mso-position-vertical:center;mso-position-vertical-relative:margin" o:allowincell="f">
          <v:imagedata r:id="rId1" o:title="footer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FEDF91" w14:textId="4DD3A706" w:rsidR="004871B8" w:rsidRDefault="006C4D83">
    <w:pPr>
      <w:pStyle w:val="Header"/>
    </w:pPr>
    <w:r>
      <w:pict w14:anchorId="4BBB7A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04021" o:spid="_x0000_s2065" type="#_x0000_t75" style="position:absolute;left:0;text-align:left;margin-left:0;margin-top:0;width:595.2pt;height:841.9pt;z-index:-251658232;mso-position-horizontal:center;mso-position-horizontal-relative:margin;mso-position-vertical:center;mso-position-vertical-relative:margin" o:allowincell="f">
          <v:imagedata r:id="rId1" o:title="footer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2DDCE010"/>
    <w:lvl w:ilvl="0">
      <w:start w:val="1"/>
      <w:numFmt w:val="decimal"/>
      <w:pStyle w:val="Heading1"/>
      <w:lvlText w:val="%1."/>
      <w:legacy w:legacy="1" w:legacySpace="0" w:legacyIndent="0"/>
      <w:lvlJc w:val="left"/>
      <w:rPr>
        <w:b w:val="0"/>
      </w:rPr>
    </w:lvl>
    <w:lvl w:ilvl="1">
      <w:start w:val="1"/>
      <w:numFmt w:val="decimal"/>
      <w:pStyle w:val="Heading2"/>
      <w:lvlText w:val="%1.%2"/>
      <w:legacy w:legacy="1" w:legacySpace="144" w:legacyIndent="0"/>
      <w:lvlJc w:val="left"/>
    </w:lvl>
    <w:lvl w:ilvl="2">
      <w:start w:val="1"/>
      <w:numFmt w:val="decimal"/>
      <w:pStyle w:val="Heading3"/>
      <w:lvlText w:val="%1.%2.%3"/>
      <w:legacy w:legacy="1" w:legacySpace="144" w:legacyIndent="0"/>
      <w:lvlJc w:val="left"/>
    </w:lvl>
    <w:lvl w:ilvl="3">
      <w:start w:val="1"/>
      <w:numFmt w:val="decimal"/>
      <w:pStyle w:val="Heading4"/>
      <w:lvlText w:val="%1.%2.%3.%4"/>
      <w:legacy w:legacy="1" w:legacySpace="144" w:legacyIndent="0"/>
      <w:lvlJc w:val="left"/>
    </w:lvl>
    <w:lvl w:ilvl="4">
      <w:start w:val="1"/>
      <w:numFmt w:val="decimal"/>
      <w:pStyle w:val="Heading5"/>
      <w:lvlText w:val="%1.%2.%3.%4.%5"/>
      <w:legacy w:legacy="1" w:legacySpace="144" w:legacyIndent="0"/>
      <w:lvlJc w:val="left"/>
    </w:lvl>
    <w:lvl w:ilvl="5">
      <w:start w:val="1"/>
      <w:numFmt w:val="decimal"/>
      <w:pStyle w:val="Heading6"/>
      <w:lvlText w:val="%1.%2.%3.%4.%5.%6"/>
      <w:legacy w:legacy="1" w:legacySpace="144" w:legacyIndent="0"/>
      <w:lvlJc w:val="left"/>
    </w:lvl>
    <w:lvl w:ilvl="6">
      <w:start w:val="1"/>
      <w:numFmt w:val="decimal"/>
      <w:pStyle w:val="Heading7"/>
      <w:lvlText w:val="%1.%2.%3.%4.%5.%6.%7"/>
      <w:legacy w:legacy="1" w:legacySpace="144" w:legacyIndent="0"/>
      <w:lvlJc w:val="left"/>
    </w:lvl>
    <w:lvl w:ilvl="7">
      <w:start w:val="1"/>
      <w:numFmt w:val="decimal"/>
      <w:pStyle w:val="Heading8"/>
      <w:lvlText w:val="%1.%2.%3.%4.%5.%6.%7.%8"/>
      <w:legacy w:legacy="1" w:legacySpace="144" w:legacyIndent="0"/>
      <w:lvlJc w:val="left"/>
    </w:lvl>
    <w:lvl w:ilvl="8">
      <w:start w:val="1"/>
      <w:numFmt w:val="decimal"/>
      <w:pStyle w:val="Heading9"/>
      <w:lvlText w:val="%1.%2.%3.%4.%5.%6.%7.%8.%9"/>
      <w:legacy w:legacy="1" w:legacySpace="144" w:legacyIndent="0"/>
      <w:lvlJc w:val="left"/>
    </w:lvl>
  </w:abstractNum>
  <w:abstractNum w:abstractNumId="1" w15:restartNumberingAfterBreak="0">
    <w:nsid w:val="1C1C1D4D"/>
    <w:multiLevelType w:val="hybridMultilevel"/>
    <w:tmpl w:val="96FCCD82"/>
    <w:lvl w:ilvl="0" w:tplc="04090001">
      <w:start w:val="1"/>
      <w:numFmt w:val="bullet"/>
      <w:lvlText w:val=""/>
      <w:lvlJc w:val="left"/>
      <w:pPr>
        <w:ind w:left="1287" w:hanging="360"/>
      </w:pPr>
      <w:rPr>
        <w:rFonts w:ascii="Symbol" w:hAnsi="Symbol"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 w15:restartNumberingAfterBreak="0">
    <w:nsid w:val="2ACC1836"/>
    <w:multiLevelType w:val="hybridMultilevel"/>
    <w:tmpl w:val="0226BE4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15:restartNumberingAfterBreak="0">
    <w:nsid w:val="44C5E858"/>
    <w:multiLevelType w:val="hybridMultilevel"/>
    <w:tmpl w:val="C6822766"/>
    <w:lvl w:ilvl="0" w:tplc="F61422C8">
      <w:start w:val="1"/>
      <w:numFmt w:val="bullet"/>
      <w:lvlText w:val=""/>
      <w:lvlJc w:val="left"/>
      <w:pPr>
        <w:ind w:left="720" w:hanging="360"/>
      </w:pPr>
      <w:rPr>
        <w:rFonts w:ascii="Symbol" w:hAnsi="Symbol" w:hint="default"/>
      </w:rPr>
    </w:lvl>
    <w:lvl w:ilvl="1" w:tplc="CEE24F08">
      <w:start w:val="1"/>
      <w:numFmt w:val="bullet"/>
      <w:lvlText w:val="o"/>
      <w:lvlJc w:val="left"/>
      <w:pPr>
        <w:ind w:left="1440" w:hanging="360"/>
      </w:pPr>
      <w:rPr>
        <w:rFonts w:ascii="Courier New" w:hAnsi="Courier New" w:hint="default"/>
      </w:rPr>
    </w:lvl>
    <w:lvl w:ilvl="2" w:tplc="33D84264">
      <w:start w:val="1"/>
      <w:numFmt w:val="bullet"/>
      <w:lvlText w:val=""/>
      <w:lvlJc w:val="left"/>
      <w:pPr>
        <w:ind w:left="2160" w:hanging="360"/>
      </w:pPr>
      <w:rPr>
        <w:rFonts w:ascii="Wingdings" w:hAnsi="Wingdings" w:hint="default"/>
      </w:rPr>
    </w:lvl>
    <w:lvl w:ilvl="3" w:tplc="77709FCC">
      <w:start w:val="1"/>
      <w:numFmt w:val="bullet"/>
      <w:lvlText w:val=""/>
      <w:lvlJc w:val="left"/>
      <w:pPr>
        <w:ind w:left="2880" w:hanging="360"/>
      </w:pPr>
      <w:rPr>
        <w:rFonts w:ascii="Symbol" w:hAnsi="Symbol" w:hint="default"/>
      </w:rPr>
    </w:lvl>
    <w:lvl w:ilvl="4" w:tplc="DAC41DCA">
      <w:start w:val="1"/>
      <w:numFmt w:val="bullet"/>
      <w:lvlText w:val="o"/>
      <w:lvlJc w:val="left"/>
      <w:pPr>
        <w:ind w:left="3600" w:hanging="360"/>
      </w:pPr>
      <w:rPr>
        <w:rFonts w:ascii="Courier New" w:hAnsi="Courier New" w:hint="default"/>
      </w:rPr>
    </w:lvl>
    <w:lvl w:ilvl="5" w:tplc="330CE362">
      <w:start w:val="1"/>
      <w:numFmt w:val="bullet"/>
      <w:lvlText w:val=""/>
      <w:lvlJc w:val="left"/>
      <w:pPr>
        <w:ind w:left="4320" w:hanging="360"/>
      </w:pPr>
      <w:rPr>
        <w:rFonts w:ascii="Wingdings" w:hAnsi="Wingdings" w:hint="default"/>
      </w:rPr>
    </w:lvl>
    <w:lvl w:ilvl="6" w:tplc="B586816E">
      <w:start w:val="1"/>
      <w:numFmt w:val="bullet"/>
      <w:lvlText w:val=""/>
      <w:lvlJc w:val="left"/>
      <w:pPr>
        <w:ind w:left="5040" w:hanging="360"/>
      </w:pPr>
      <w:rPr>
        <w:rFonts w:ascii="Symbol" w:hAnsi="Symbol" w:hint="default"/>
      </w:rPr>
    </w:lvl>
    <w:lvl w:ilvl="7" w:tplc="F89AC008">
      <w:start w:val="1"/>
      <w:numFmt w:val="bullet"/>
      <w:lvlText w:val="o"/>
      <w:lvlJc w:val="left"/>
      <w:pPr>
        <w:ind w:left="5760" w:hanging="360"/>
      </w:pPr>
      <w:rPr>
        <w:rFonts w:ascii="Courier New" w:hAnsi="Courier New" w:hint="default"/>
      </w:rPr>
    </w:lvl>
    <w:lvl w:ilvl="8" w:tplc="94A03E88">
      <w:start w:val="1"/>
      <w:numFmt w:val="bullet"/>
      <w:lvlText w:val=""/>
      <w:lvlJc w:val="left"/>
      <w:pPr>
        <w:ind w:left="6480" w:hanging="360"/>
      </w:pPr>
      <w:rPr>
        <w:rFonts w:ascii="Wingdings" w:hAnsi="Wingdings" w:hint="default"/>
      </w:rPr>
    </w:lvl>
  </w:abstractNum>
  <w:abstractNum w:abstractNumId="4" w15:restartNumberingAfterBreak="0">
    <w:nsid w:val="7D671ED5"/>
    <w:multiLevelType w:val="hybridMultilevel"/>
    <w:tmpl w:val="F9E8FCF8"/>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2"/>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6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370"/>
    <w:rsid w:val="000045CF"/>
    <w:rsid w:val="00020389"/>
    <w:rsid w:val="000266E3"/>
    <w:rsid w:val="00053D00"/>
    <w:rsid w:val="000A0F3B"/>
    <w:rsid w:val="000C3B70"/>
    <w:rsid w:val="000E5E03"/>
    <w:rsid w:val="001119FD"/>
    <w:rsid w:val="00115651"/>
    <w:rsid w:val="00153981"/>
    <w:rsid w:val="00185E99"/>
    <w:rsid w:val="00186921"/>
    <w:rsid w:val="0019231D"/>
    <w:rsid w:val="001955B6"/>
    <w:rsid w:val="001A6116"/>
    <w:rsid w:val="001D61AC"/>
    <w:rsid w:val="001E15AA"/>
    <w:rsid w:val="001E3FA1"/>
    <w:rsid w:val="001F7360"/>
    <w:rsid w:val="00200E87"/>
    <w:rsid w:val="00206D14"/>
    <w:rsid w:val="00214BDC"/>
    <w:rsid w:val="00215E81"/>
    <w:rsid w:val="00221D36"/>
    <w:rsid w:val="0024727F"/>
    <w:rsid w:val="00282E54"/>
    <w:rsid w:val="002B6A7B"/>
    <w:rsid w:val="002E1BFF"/>
    <w:rsid w:val="003353D7"/>
    <w:rsid w:val="003659F9"/>
    <w:rsid w:val="00377DA3"/>
    <w:rsid w:val="003E4776"/>
    <w:rsid w:val="00401DE5"/>
    <w:rsid w:val="004051F7"/>
    <w:rsid w:val="004145C8"/>
    <w:rsid w:val="00441E51"/>
    <w:rsid w:val="00445D22"/>
    <w:rsid w:val="0045106C"/>
    <w:rsid w:val="00461CAF"/>
    <w:rsid w:val="00480D98"/>
    <w:rsid w:val="004871B8"/>
    <w:rsid w:val="00492082"/>
    <w:rsid w:val="004A02D9"/>
    <w:rsid w:val="004A4890"/>
    <w:rsid w:val="004E2DC1"/>
    <w:rsid w:val="004F3B80"/>
    <w:rsid w:val="00525D63"/>
    <w:rsid w:val="005411EF"/>
    <w:rsid w:val="00574C9B"/>
    <w:rsid w:val="0058411F"/>
    <w:rsid w:val="005961A4"/>
    <w:rsid w:val="005B1AF3"/>
    <w:rsid w:val="005C530F"/>
    <w:rsid w:val="005D26C7"/>
    <w:rsid w:val="006125A1"/>
    <w:rsid w:val="00653E7D"/>
    <w:rsid w:val="00662207"/>
    <w:rsid w:val="00667F09"/>
    <w:rsid w:val="00686424"/>
    <w:rsid w:val="006B57A6"/>
    <w:rsid w:val="006C0EAF"/>
    <w:rsid w:val="006C4D83"/>
    <w:rsid w:val="006D53A6"/>
    <w:rsid w:val="00724FE3"/>
    <w:rsid w:val="00754370"/>
    <w:rsid w:val="00776ACF"/>
    <w:rsid w:val="00787837"/>
    <w:rsid w:val="00787ABB"/>
    <w:rsid w:val="007B1355"/>
    <w:rsid w:val="007B6C64"/>
    <w:rsid w:val="007E356C"/>
    <w:rsid w:val="00822952"/>
    <w:rsid w:val="00836505"/>
    <w:rsid w:val="00837061"/>
    <w:rsid w:val="0084281F"/>
    <w:rsid w:val="00844B87"/>
    <w:rsid w:val="00867C81"/>
    <w:rsid w:val="0089251B"/>
    <w:rsid w:val="008A6DD4"/>
    <w:rsid w:val="008F2BB1"/>
    <w:rsid w:val="008F6165"/>
    <w:rsid w:val="008F74D7"/>
    <w:rsid w:val="00904C42"/>
    <w:rsid w:val="00914683"/>
    <w:rsid w:val="00924C05"/>
    <w:rsid w:val="00937CF2"/>
    <w:rsid w:val="009613F4"/>
    <w:rsid w:val="009724CB"/>
    <w:rsid w:val="00976645"/>
    <w:rsid w:val="00976F77"/>
    <w:rsid w:val="0098228C"/>
    <w:rsid w:val="009832C7"/>
    <w:rsid w:val="009E2100"/>
    <w:rsid w:val="00A21F3B"/>
    <w:rsid w:val="00A310E1"/>
    <w:rsid w:val="00A36AB0"/>
    <w:rsid w:val="00A545E5"/>
    <w:rsid w:val="00A96981"/>
    <w:rsid w:val="00A9718E"/>
    <w:rsid w:val="00AB37A3"/>
    <w:rsid w:val="00AB3D07"/>
    <w:rsid w:val="00AB6D77"/>
    <w:rsid w:val="00AC5114"/>
    <w:rsid w:val="00B25683"/>
    <w:rsid w:val="00B35B72"/>
    <w:rsid w:val="00B42AD4"/>
    <w:rsid w:val="00B51901"/>
    <w:rsid w:val="00B62B62"/>
    <w:rsid w:val="00BC4FD4"/>
    <w:rsid w:val="00BD50F6"/>
    <w:rsid w:val="00BF2E5B"/>
    <w:rsid w:val="00C073E1"/>
    <w:rsid w:val="00C25647"/>
    <w:rsid w:val="00C27A3D"/>
    <w:rsid w:val="00C66AEA"/>
    <w:rsid w:val="00C76BA9"/>
    <w:rsid w:val="00C9040A"/>
    <w:rsid w:val="00C91E4D"/>
    <w:rsid w:val="00CB110A"/>
    <w:rsid w:val="00CB7CD0"/>
    <w:rsid w:val="00CC7342"/>
    <w:rsid w:val="00CE303A"/>
    <w:rsid w:val="00D01AB0"/>
    <w:rsid w:val="00D039AF"/>
    <w:rsid w:val="00D04AA0"/>
    <w:rsid w:val="00D13128"/>
    <w:rsid w:val="00D7034B"/>
    <w:rsid w:val="00D821E4"/>
    <w:rsid w:val="00D95232"/>
    <w:rsid w:val="00D961C7"/>
    <w:rsid w:val="00DA2D12"/>
    <w:rsid w:val="00DB7F50"/>
    <w:rsid w:val="00DD4E12"/>
    <w:rsid w:val="00DE30C7"/>
    <w:rsid w:val="00DF400F"/>
    <w:rsid w:val="00DF48E2"/>
    <w:rsid w:val="00E15BF4"/>
    <w:rsid w:val="00E2376B"/>
    <w:rsid w:val="00E26935"/>
    <w:rsid w:val="00E27707"/>
    <w:rsid w:val="00E333C8"/>
    <w:rsid w:val="00E52B04"/>
    <w:rsid w:val="00E661B7"/>
    <w:rsid w:val="00E90A9D"/>
    <w:rsid w:val="00EB0175"/>
    <w:rsid w:val="00EE5841"/>
    <w:rsid w:val="00F2069F"/>
    <w:rsid w:val="00F26DDF"/>
    <w:rsid w:val="00F36478"/>
    <w:rsid w:val="00F51EF6"/>
    <w:rsid w:val="00F53370"/>
    <w:rsid w:val="00F82540"/>
    <w:rsid w:val="00F90BE2"/>
    <w:rsid w:val="00FB1D7A"/>
    <w:rsid w:val="00FC0C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68"/>
    <o:shapelayout v:ext="edit">
      <o:idmap v:ext="edit" data="1"/>
    </o:shapelayout>
  </w:shapeDefaults>
  <w:decimalSymbol w:val="."/>
  <w:listSeparator w:val=","/>
  <w14:docId w14:val="3F46F6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4C9B"/>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F53370"/>
    <w:pPr>
      <w:numPr>
        <w:numId w:val="1"/>
      </w:numPr>
      <w:ind w:left="567" w:hanging="567"/>
      <w:outlineLvl w:val="0"/>
    </w:pPr>
    <w:rPr>
      <w:kern w:val="28"/>
    </w:rPr>
  </w:style>
  <w:style w:type="paragraph" w:styleId="Heading2">
    <w:name w:val="heading 2"/>
    <w:basedOn w:val="Normal"/>
    <w:next w:val="Normal"/>
    <w:link w:val="Heading2Char"/>
    <w:qFormat/>
    <w:rsid w:val="00F53370"/>
    <w:pPr>
      <w:numPr>
        <w:ilvl w:val="1"/>
        <w:numId w:val="1"/>
      </w:numPr>
      <w:ind w:left="567" w:hanging="567"/>
      <w:outlineLvl w:val="1"/>
    </w:pPr>
  </w:style>
  <w:style w:type="paragraph" w:styleId="Heading3">
    <w:name w:val="heading 3"/>
    <w:basedOn w:val="Normal"/>
    <w:next w:val="Normal"/>
    <w:link w:val="Heading3Char"/>
    <w:qFormat/>
    <w:rsid w:val="00F53370"/>
    <w:pPr>
      <w:numPr>
        <w:ilvl w:val="2"/>
        <w:numId w:val="1"/>
      </w:numPr>
      <w:ind w:left="567" w:hanging="567"/>
      <w:outlineLvl w:val="2"/>
    </w:pPr>
  </w:style>
  <w:style w:type="paragraph" w:styleId="Heading4">
    <w:name w:val="heading 4"/>
    <w:basedOn w:val="Normal"/>
    <w:next w:val="Normal"/>
    <w:link w:val="Heading4Char"/>
    <w:qFormat/>
    <w:rsid w:val="00F53370"/>
    <w:pPr>
      <w:numPr>
        <w:ilvl w:val="3"/>
        <w:numId w:val="1"/>
      </w:numPr>
      <w:ind w:left="567" w:hanging="567"/>
      <w:outlineLvl w:val="3"/>
    </w:pPr>
  </w:style>
  <w:style w:type="paragraph" w:styleId="Heading5">
    <w:name w:val="heading 5"/>
    <w:basedOn w:val="Normal"/>
    <w:next w:val="Normal"/>
    <w:link w:val="Heading5Char"/>
    <w:qFormat/>
    <w:rsid w:val="00F53370"/>
    <w:pPr>
      <w:numPr>
        <w:ilvl w:val="4"/>
        <w:numId w:val="1"/>
      </w:numPr>
      <w:ind w:left="567" w:hanging="567"/>
      <w:outlineLvl w:val="4"/>
    </w:pPr>
  </w:style>
  <w:style w:type="paragraph" w:styleId="Heading6">
    <w:name w:val="heading 6"/>
    <w:basedOn w:val="Normal"/>
    <w:next w:val="Normal"/>
    <w:link w:val="Heading6Char"/>
    <w:qFormat/>
    <w:rsid w:val="00F53370"/>
    <w:pPr>
      <w:numPr>
        <w:ilvl w:val="5"/>
        <w:numId w:val="1"/>
      </w:numPr>
      <w:ind w:left="567" w:hanging="567"/>
      <w:outlineLvl w:val="5"/>
    </w:pPr>
  </w:style>
  <w:style w:type="paragraph" w:styleId="Heading7">
    <w:name w:val="heading 7"/>
    <w:basedOn w:val="Normal"/>
    <w:next w:val="Normal"/>
    <w:link w:val="Heading7Char"/>
    <w:qFormat/>
    <w:rsid w:val="00F53370"/>
    <w:pPr>
      <w:numPr>
        <w:ilvl w:val="6"/>
        <w:numId w:val="1"/>
      </w:numPr>
      <w:ind w:left="567" w:hanging="567"/>
      <w:outlineLvl w:val="6"/>
    </w:pPr>
  </w:style>
  <w:style w:type="paragraph" w:styleId="Heading8">
    <w:name w:val="heading 8"/>
    <w:basedOn w:val="Normal"/>
    <w:next w:val="Normal"/>
    <w:link w:val="Heading8Char"/>
    <w:qFormat/>
    <w:rsid w:val="00F53370"/>
    <w:pPr>
      <w:numPr>
        <w:ilvl w:val="7"/>
        <w:numId w:val="1"/>
      </w:numPr>
      <w:ind w:left="567" w:hanging="567"/>
      <w:outlineLvl w:val="7"/>
    </w:pPr>
  </w:style>
  <w:style w:type="paragraph" w:styleId="Heading9">
    <w:name w:val="heading 9"/>
    <w:basedOn w:val="Normal"/>
    <w:next w:val="Normal"/>
    <w:link w:val="Heading9Char"/>
    <w:qFormat/>
    <w:rsid w:val="00F53370"/>
    <w:pPr>
      <w:numPr>
        <w:ilvl w:val="8"/>
        <w:numId w:val="1"/>
      </w:numPr>
      <w:ind w:left="567" w:hanging="567"/>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53370"/>
    <w:rPr>
      <w:rFonts w:ascii="Times New Roman" w:eastAsia="Times New Roman" w:hAnsi="Times New Roman" w:cs="Times New Roman"/>
      <w:kern w:val="28"/>
    </w:rPr>
  </w:style>
  <w:style w:type="character" w:customStyle="1" w:styleId="Heading2Char">
    <w:name w:val="Heading 2 Char"/>
    <w:basedOn w:val="DefaultParagraphFont"/>
    <w:link w:val="Heading2"/>
    <w:rsid w:val="00F53370"/>
    <w:rPr>
      <w:rFonts w:ascii="Times New Roman" w:eastAsia="Times New Roman" w:hAnsi="Times New Roman" w:cs="Times New Roman"/>
    </w:rPr>
  </w:style>
  <w:style w:type="character" w:customStyle="1" w:styleId="Heading3Char">
    <w:name w:val="Heading 3 Char"/>
    <w:basedOn w:val="DefaultParagraphFont"/>
    <w:link w:val="Heading3"/>
    <w:rsid w:val="00F53370"/>
    <w:rPr>
      <w:rFonts w:ascii="Times New Roman" w:eastAsia="Times New Roman" w:hAnsi="Times New Roman" w:cs="Times New Roman"/>
    </w:rPr>
  </w:style>
  <w:style w:type="character" w:customStyle="1" w:styleId="Heading4Char">
    <w:name w:val="Heading 4 Char"/>
    <w:basedOn w:val="DefaultParagraphFont"/>
    <w:link w:val="Heading4"/>
    <w:rsid w:val="00F53370"/>
    <w:rPr>
      <w:rFonts w:ascii="Times New Roman" w:eastAsia="Times New Roman" w:hAnsi="Times New Roman" w:cs="Times New Roman"/>
    </w:rPr>
  </w:style>
  <w:style w:type="character" w:customStyle="1" w:styleId="Heading5Char">
    <w:name w:val="Heading 5 Char"/>
    <w:basedOn w:val="DefaultParagraphFont"/>
    <w:link w:val="Heading5"/>
    <w:rsid w:val="00F53370"/>
    <w:rPr>
      <w:rFonts w:ascii="Times New Roman" w:eastAsia="Times New Roman" w:hAnsi="Times New Roman" w:cs="Times New Roman"/>
    </w:rPr>
  </w:style>
  <w:style w:type="character" w:customStyle="1" w:styleId="Heading6Char">
    <w:name w:val="Heading 6 Char"/>
    <w:basedOn w:val="DefaultParagraphFont"/>
    <w:link w:val="Heading6"/>
    <w:rsid w:val="00F53370"/>
    <w:rPr>
      <w:rFonts w:ascii="Times New Roman" w:eastAsia="Times New Roman" w:hAnsi="Times New Roman" w:cs="Times New Roman"/>
    </w:rPr>
  </w:style>
  <w:style w:type="character" w:customStyle="1" w:styleId="Heading7Char">
    <w:name w:val="Heading 7 Char"/>
    <w:basedOn w:val="DefaultParagraphFont"/>
    <w:link w:val="Heading7"/>
    <w:rsid w:val="00F53370"/>
    <w:rPr>
      <w:rFonts w:ascii="Times New Roman" w:eastAsia="Times New Roman" w:hAnsi="Times New Roman" w:cs="Times New Roman"/>
    </w:rPr>
  </w:style>
  <w:style w:type="character" w:customStyle="1" w:styleId="Heading8Char">
    <w:name w:val="Heading 8 Char"/>
    <w:basedOn w:val="DefaultParagraphFont"/>
    <w:link w:val="Heading8"/>
    <w:rsid w:val="00F53370"/>
    <w:rPr>
      <w:rFonts w:ascii="Times New Roman" w:eastAsia="Times New Roman" w:hAnsi="Times New Roman" w:cs="Times New Roman"/>
    </w:rPr>
  </w:style>
  <w:style w:type="character" w:customStyle="1" w:styleId="Heading9Char">
    <w:name w:val="Heading 9 Char"/>
    <w:basedOn w:val="DefaultParagraphFont"/>
    <w:link w:val="Heading9"/>
    <w:rsid w:val="00F53370"/>
    <w:rPr>
      <w:rFonts w:ascii="Times New Roman" w:eastAsia="Times New Roman" w:hAnsi="Times New Roman" w:cs="Times New Roman"/>
    </w:rPr>
  </w:style>
  <w:style w:type="paragraph" w:styleId="Footer">
    <w:name w:val="footer"/>
    <w:basedOn w:val="Normal"/>
    <w:link w:val="FooterChar"/>
    <w:qFormat/>
    <w:rsid w:val="00F53370"/>
  </w:style>
  <w:style w:type="character" w:customStyle="1" w:styleId="FooterChar">
    <w:name w:val="Footer Char"/>
    <w:basedOn w:val="DefaultParagraphFont"/>
    <w:link w:val="Footer"/>
    <w:rsid w:val="00F53370"/>
    <w:rPr>
      <w:rFonts w:ascii="Times New Roman" w:eastAsia="Times New Roman" w:hAnsi="Times New Roman" w:cs="Times New Roman"/>
    </w:rPr>
  </w:style>
  <w:style w:type="paragraph" w:styleId="FootnoteText">
    <w:name w:val="footnote text"/>
    <w:basedOn w:val="Normal"/>
    <w:link w:val="FootnoteTextChar"/>
    <w:qFormat/>
    <w:rsid w:val="00F53370"/>
    <w:pPr>
      <w:keepLines/>
      <w:spacing w:after="60" w:line="240" w:lineRule="auto"/>
      <w:ind w:left="567" w:hanging="567"/>
    </w:pPr>
    <w:rPr>
      <w:sz w:val="16"/>
    </w:rPr>
  </w:style>
  <w:style w:type="character" w:customStyle="1" w:styleId="FootnoteTextChar">
    <w:name w:val="Footnote Text Char"/>
    <w:basedOn w:val="DefaultParagraphFont"/>
    <w:link w:val="FootnoteText"/>
    <w:rsid w:val="00F53370"/>
    <w:rPr>
      <w:rFonts w:ascii="Times New Roman" w:eastAsia="Times New Roman" w:hAnsi="Times New Roman" w:cs="Times New Roman"/>
      <w:sz w:val="16"/>
    </w:rPr>
  </w:style>
  <w:style w:type="paragraph" w:styleId="Header">
    <w:name w:val="header"/>
    <w:basedOn w:val="Normal"/>
    <w:link w:val="HeaderChar"/>
    <w:qFormat/>
    <w:rsid w:val="00F53370"/>
  </w:style>
  <w:style w:type="character" w:customStyle="1" w:styleId="HeaderChar">
    <w:name w:val="Header Char"/>
    <w:basedOn w:val="DefaultParagraphFont"/>
    <w:link w:val="Header"/>
    <w:rsid w:val="00F53370"/>
    <w:rPr>
      <w:rFonts w:ascii="Times New Roman" w:eastAsia="Times New Roman" w:hAnsi="Times New Roman" w:cs="Times New Roman"/>
    </w:rPr>
  </w:style>
  <w:style w:type="paragraph" w:customStyle="1" w:styleId="quotes">
    <w:name w:val="quotes"/>
    <w:basedOn w:val="Normal"/>
    <w:next w:val="Normal"/>
    <w:rsid w:val="00F53370"/>
    <w:pPr>
      <w:ind w:left="720"/>
    </w:pPr>
    <w:rPr>
      <w:i/>
    </w:rPr>
  </w:style>
  <w:style w:type="character" w:styleId="FootnoteReference">
    <w:name w:val="footnote reference"/>
    <w:aliases w:val="Footnote symbol"/>
    <w:basedOn w:val="DefaultParagraphFont"/>
    <w:unhideWhenUsed/>
    <w:qFormat/>
    <w:rsid w:val="00F53370"/>
    <w:rPr>
      <w:sz w:val="24"/>
      <w:vertAlign w:val="superscript"/>
    </w:rPr>
  </w:style>
  <w:style w:type="table" w:styleId="TableGrid">
    <w:name w:val="Table Grid"/>
    <w:basedOn w:val="TableNormal"/>
    <w:uiPriority w:val="39"/>
    <w:rsid w:val="00F5337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8A6DD4"/>
    <w:rPr>
      <w:color w:val="0000FF"/>
      <w:u w:val="single"/>
    </w:rPr>
  </w:style>
  <w:style w:type="character" w:styleId="CommentReference">
    <w:name w:val="annotation reference"/>
    <w:basedOn w:val="DefaultParagraphFont"/>
    <w:uiPriority w:val="99"/>
    <w:semiHidden/>
    <w:unhideWhenUsed/>
    <w:rsid w:val="00976F77"/>
    <w:rPr>
      <w:sz w:val="16"/>
      <w:szCs w:val="16"/>
    </w:rPr>
  </w:style>
  <w:style w:type="paragraph" w:styleId="CommentText">
    <w:name w:val="annotation text"/>
    <w:basedOn w:val="Normal"/>
    <w:link w:val="CommentTextChar"/>
    <w:uiPriority w:val="99"/>
    <w:semiHidden/>
    <w:unhideWhenUsed/>
    <w:rsid w:val="00976F77"/>
    <w:pPr>
      <w:spacing w:line="240" w:lineRule="auto"/>
    </w:pPr>
    <w:rPr>
      <w:sz w:val="20"/>
      <w:szCs w:val="20"/>
    </w:rPr>
  </w:style>
  <w:style w:type="character" w:customStyle="1" w:styleId="CommentTextChar">
    <w:name w:val="Comment Text Char"/>
    <w:basedOn w:val="DefaultParagraphFont"/>
    <w:link w:val="CommentText"/>
    <w:uiPriority w:val="99"/>
    <w:semiHidden/>
    <w:rsid w:val="00976F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76F77"/>
    <w:rPr>
      <w:b/>
      <w:bCs/>
    </w:rPr>
  </w:style>
  <w:style w:type="character" w:customStyle="1" w:styleId="CommentSubjectChar">
    <w:name w:val="Comment Subject Char"/>
    <w:basedOn w:val="CommentTextChar"/>
    <w:link w:val="CommentSubject"/>
    <w:uiPriority w:val="99"/>
    <w:semiHidden/>
    <w:rsid w:val="00976F77"/>
    <w:rPr>
      <w:rFonts w:ascii="Times New Roman" w:eastAsia="Times New Roman" w:hAnsi="Times New Roman" w:cs="Times New Roman"/>
      <w:b/>
      <w:bCs/>
      <w:sz w:val="20"/>
      <w:szCs w:val="20"/>
    </w:rPr>
  </w:style>
  <w:style w:type="paragraph" w:styleId="Revision">
    <w:name w:val="Revision"/>
    <w:hidden/>
    <w:uiPriority w:val="99"/>
    <w:semiHidden/>
    <w:rsid w:val="00976F77"/>
    <w:pPr>
      <w:spacing w:after="0" w:line="240" w:lineRule="auto"/>
    </w:pPr>
    <w:rPr>
      <w:rFonts w:ascii="Times New Roman" w:eastAsia="Times New Roman" w:hAnsi="Times New Roman" w:cs="Times New Roman"/>
    </w:rPr>
  </w:style>
  <w:style w:type="paragraph" w:styleId="BalloonText">
    <w:name w:val="Balloon Text"/>
    <w:basedOn w:val="Normal"/>
    <w:link w:val="BalloonTextChar"/>
    <w:uiPriority w:val="99"/>
    <w:semiHidden/>
    <w:unhideWhenUsed/>
    <w:rsid w:val="00976F77"/>
    <w:pPr>
      <w:spacing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976F77"/>
    <w:rPr>
      <w:rFonts w:ascii="Segoe UI" w:eastAsia="Times New Roman" w:hAnsi="Segoe UI" w:cs="Times New Roman"/>
      <w:sz w:val="18"/>
      <w:szCs w:val="18"/>
    </w:rPr>
  </w:style>
  <w:style w:type="paragraph" w:styleId="ListParagraph">
    <w:name w:val="List Paragraph"/>
    <w:basedOn w:val="Normal"/>
    <w:uiPriority w:val="34"/>
    <w:qFormat/>
    <w:rsid w:val="00D04AA0"/>
    <w:pPr>
      <w:ind w:left="720"/>
      <w:contextualSpacing/>
    </w:pPr>
  </w:style>
  <w:style w:type="character" w:styleId="FollowedHyperlink">
    <w:name w:val="FollowedHyperlink"/>
    <w:basedOn w:val="DefaultParagraphFont"/>
    <w:uiPriority w:val="99"/>
    <w:semiHidden/>
    <w:unhideWhenUsed/>
    <w:rsid w:val="00221D36"/>
    <w:rPr>
      <w:color w:val="954F72" w:themeColor="followedHyperlink"/>
      <w:u w:val="single"/>
    </w:rPr>
  </w:style>
  <w:style w:type="character" w:customStyle="1" w:styleId="UnresolvedMention1">
    <w:name w:val="Unresolved Mention1"/>
    <w:basedOn w:val="DefaultParagraphFont"/>
    <w:uiPriority w:val="99"/>
    <w:semiHidden/>
    <w:unhideWhenUsed/>
    <w:rsid w:val="00221D36"/>
    <w:rPr>
      <w:color w:val="605E5C"/>
      <w:shd w:val="clear" w:color="auto" w:fill="E1DFDD"/>
    </w:rPr>
  </w:style>
  <w:style w:type="character" w:styleId="UnresolvedMention">
    <w:name w:val="Unresolved Mention"/>
    <w:basedOn w:val="DefaultParagraphFont"/>
    <w:uiPriority w:val="99"/>
    <w:semiHidden/>
    <w:unhideWhenUsed/>
    <w:rsid w:val="004A48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8.xml"/><Relationship Id="rId27" Type="http://schemas.openxmlformats.org/officeDocument/2006/relationships/customXml" Target="../customXml/item5.xml"/></Relationships>
</file>

<file path=word/_rels/footnotes.xml.rels><?xml version="1.0" encoding="UTF-8" standalone="yes"?>
<Relationships xmlns="http://schemas.openxmlformats.org/package/2006/relationships"><Relationship Id="rId2" Type="http://schemas.openxmlformats.org/officeDocument/2006/relationships/hyperlink" Target="http://data.europa.eu/eli/C/2025/117/oj" TargetMode="External"/><Relationship Id="rId1" Type="http://schemas.openxmlformats.org/officeDocument/2006/relationships/hyperlink" Target="http://data.europa.eu/eli/C/2025/2016/oj"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1a33af13-4045-4f88-9d7b-618e30f79918">A6WAAD5KZT2Q-604569563-16144</_dlc_DocId>
    <_dlc_DocIdUrl xmlns="1a33af13-4045-4f88-9d7b-618e30f79918">
      <Url>http://dm/eesc/2025/_layouts/15/DocIdRedir.aspx?ID=A6WAAD5KZT2Q-604569563-16144</Url>
      <Description>A6WAAD5KZT2Q-604569563-16144</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AC</TermName>
          <TermId xmlns="http://schemas.microsoft.com/office/infopath/2007/PartnerControls">a4cc1d15-fb08-4679-ad46-e4e0cba5fe92</TermId>
        </TermInfo>
      </Terms>
    </DocumentType_0>
    <Procedure xmlns="1a33af13-4045-4f88-9d7b-618e30f79918"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1a33af13-4045-4f88-9d7b-618e30f79918">2025-09-22T12:00:00+00:00</ProductionDate>
    <DocumentNumber xmlns="be3ca9a7-9286-4008-99ec-aebc20da9dc2">673</DocumentNumber>
    <FicheYear xmlns="1a33af13-4045-4f88-9d7b-618e30f79918"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TaxCatchAll xmlns="1a33af13-4045-4f88-9d7b-618e30f79918">
      <Value>31</Value>
      <Value>79</Value>
      <Value>50</Value>
      <Value>47</Value>
      <Value>46</Value>
      <Value>43</Value>
      <Value>42</Value>
      <Value>41</Value>
      <Value>40</Value>
      <Value>39</Value>
      <Value>37</Value>
      <Value>36</Value>
      <Value>35</Value>
      <Value>34</Value>
      <Value>33</Value>
      <Value>32</Value>
      <Value>120</Value>
      <Value>30</Value>
      <Value>29</Value>
      <Value>28</Value>
      <Value>27</Value>
      <Value>24</Value>
      <Value>23</Value>
      <Value>16</Value>
      <Value>15</Value>
      <Value>13</Value>
      <Value>12</Value>
      <Value>8</Value>
      <Value>5</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s>
    </DocumentLanguage_0>
    <MeetingDate xmlns="1a33af13-4045-4f88-9d7b-618e30f79918" xsi:nil="true"/>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1a33af13-4045-4f88-9d7b-618e30f79918">ATS &amp; PADURE</Rapporteur>
    <DocumentYear xmlns="1a33af13-4045-4f88-9d7b-618e30f79918">2025</DocumentYear>
    <FicheNumber xmlns="1a33af13-4045-4f88-9d7b-618e30f79918">294672</FicheNumber>
    <OriginalSender xmlns="1a33af13-4045-4f88-9d7b-618e30f79918">
      <UserInfo>
        <DisplayName>Soldan Aureliana Cristiana</DisplayName>
        <AccountId>1535</AccountId>
        <AccountType/>
      </UserInfo>
    </OriginalSender>
    <DocumentPart xmlns="1a33af13-4045-4f88-9d7b-618e30f79918">0</DocumentPart>
    <AdoptionDate xmlns="1a33af13-4045-4f88-9d7b-618e30f79918">2025-09-18T12:00:00+00:00</AdoptionDate>
    <RequestingService xmlns="1a33af13-4045-4f88-9d7b-618e30f79918">Systèmes alimentaires durables, environnement, dév. rural</RequestingService>
    <MeetingName_0 xmlns="http://schemas.microsoft.com/sharepoint/v3/fields">
      <Terms xmlns="http://schemas.microsoft.com/office/infopath/2007/PartnerControl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MT</TermName>
          <TermId xmlns="http://schemas.microsoft.com/office/infopath/2007/PartnerControls">7df99101-6854-4a26-b53a-b88c0da02c26</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GA</TermName>
          <TermId xmlns="http://schemas.microsoft.com/office/infopath/2007/PartnerControls">762d2456-c427-4ecb-b312-af3dad8e258c</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be3ca9a7-9286-4008-99ec-aebc20da9dc2" xsi:nil="true"/>
    <DossierName_0 xmlns="http://schemas.microsoft.com/sharepoint/v3/fields">
      <Terms xmlns="http://schemas.microsoft.com/office/infopath/2007/PartnerControls">
        <TermInfo xmlns="http://schemas.microsoft.com/office/infopath/2007/PartnerControls">
          <TermName xmlns="http://schemas.microsoft.com/office/infopath/2007/PartnerControls">NAT</TermName>
          <TermId xmlns="http://schemas.microsoft.com/office/infopath/2007/PartnerControls">b263ab5d-0564-42a8-87bf-1cc57d938922</TermId>
        </TermInfo>
      </Terms>
    </DossierName_0>
    <DocumentVersion xmlns="1a33af13-4045-4f88-9d7b-618e30f79918">0</DocumentVersion>
    <DossierNumber xmlns="1a33af13-4045-4f88-9d7b-618e30f79918">949</DossierNumber>
  </documentManagement>
</p:properties>
</file>

<file path=customXml/item4.xml><?xml version="1.0" encoding="utf-8"?>
<ct:contentTypeSchema xmlns:ct="http://schemas.microsoft.com/office/2006/metadata/contentType" xmlns:ma="http://schemas.microsoft.com/office/2006/metadata/properties/metaAttributes" ct:_="" ma:_="" ma:contentTypeName="DM Document" ma:contentTypeID="0x010100EA97B91038054C99906057A708A1480A006BB3B767F3CF4149BF520211D4A86BC0" ma:contentTypeVersion="4" ma:contentTypeDescription="Defines the documents for Document Manager V2" ma:contentTypeScope="" ma:versionID="8f2b3a3e062f062a7ee8ba210ef02323">
  <xsd:schema xmlns:xsd="http://www.w3.org/2001/XMLSchema" xmlns:xs="http://www.w3.org/2001/XMLSchema" xmlns:p="http://schemas.microsoft.com/office/2006/metadata/properties" xmlns:ns2="1a33af13-4045-4f88-9d7b-618e30f79918" xmlns:ns3="http://schemas.microsoft.com/sharepoint/v3/fields" xmlns:ns4="be3ca9a7-9286-4008-99ec-aebc20da9dc2" targetNamespace="http://schemas.microsoft.com/office/2006/metadata/properties" ma:root="true" ma:fieldsID="f021f5764e4548d9eb17bdf3b768072d" ns2:_="" ns3:_="" ns4:_="">
    <xsd:import namespace="1a33af13-4045-4f88-9d7b-618e30f79918"/>
    <xsd:import namespace="http://schemas.microsoft.com/sharepoint/v3/fields"/>
    <xsd:import namespace="be3ca9a7-9286-4008-99ec-aebc20da9dc2"/>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33af13-4045-4f88-9d7b-618e30f7991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c795c8aa-ad9d-4177-b7c3-7e58e1f2dfdf}" ma:internalName="TaxCatchAll" ma:showField="CatchAllData"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c795c8aa-ad9d-4177-b7c3-7e58e1f2dfdf}" ma:internalName="TaxCatchAllLabel" ma:readOnly="true" ma:showField="CatchAllDataLabel" ma:web="1a33af13-4045-4f88-9d7b-618e30f79918">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e3ca9a7-9286-4008-99ec-aebc20da9dc2"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676877A-1F23-40F2-B8AB-FF66C101CAC9}">
  <ds:schemaRefs>
    <ds:schemaRef ds:uri="http://schemas.openxmlformats.org/officeDocument/2006/bibliography"/>
  </ds:schemaRefs>
</ds:datastoreItem>
</file>

<file path=customXml/itemProps2.xml><?xml version="1.0" encoding="utf-8"?>
<ds:datastoreItem xmlns:ds="http://schemas.openxmlformats.org/officeDocument/2006/customXml" ds:itemID="{CEF16B29-CBD7-4877-B71A-CCA5D35C9BC7}">
  <ds:schemaRefs>
    <ds:schemaRef ds:uri="http://schemas.microsoft.com/sharepoint/v3/contenttype/forms"/>
  </ds:schemaRefs>
</ds:datastoreItem>
</file>

<file path=customXml/itemProps3.xml><?xml version="1.0" encoding="utf-8"?>
<ds:datastoreItem xmlns:ds="http://schemas.openxmlformats.org/officeDocument/2006/customXml" ds:itemID="{12C1FA58-3677-4CCD-9FBC-9DB319F5F890}">
  <ds:schemaRefs>
    <ds:schemaRef ds:uri="http://schemas.microsoft.com/office/2006/metadata/properties"/>
    <ds:schemaRef ds:uri="http://schemas.microsoft.com/office/infopath/2007/PartnerControls"/>
    <ds:schemaRef ds:uri="faa3019d-1caa-44e1-9ef8-f62c9787953d"/>
    <ds:schemaRef ds:uri="79c32e30-91f5-42f8-9d68-38e1a3525689"/>
  </ds:schemaRefs>
</ds:datastoreItem>
</file>

<file path=customXml/itemProps4.xml><?xml version="1.0" encoding="utf-8"?>
<ds:datastoreItem xmlns:ds="http://schemas.openxmlformats.org/officeDocument/2006/customXml" ds:itemID="{1845B051-CB46-4206-BC15-3895E083DD44}"/>
</file>

<file path=customXml/itemProps5.xml><?xml version="1.0" encoding="utf-8"?>
<ds:datastoreItem xmlns:ds="http://schemas.openxmlformats.org/officeDocument/2006/customXml" ds:itemID="{6C913F7D-F0BC-4DB4-AA6C-81BA6A7375FC}"/>
</file>

<file path=docProps/app.xml><?xml version="1.0" encoding="utf-8"?>
<Properties xmlns="http://schemas.openxmlformats.org/officeDocument/2006/extended-properties" xmlns:vt="http://schemas.openxmlformats.org/officeDocument/2006/docPropsVTypes">
  <Template>Normal.dotm</Template>
  <TotalTime>8</TotalTime>
  <Pages>10</Pages>
  <Words>3997</Words>
  <Characters>22784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EESC AC - Model</vt:lpstr>
    </vt:vector>
  </TitlesOfParts>
  <Manager/>
  <Company/>
  <LinksUpToDate>false</LinksUpToDate>
  <CharactersWithSpaces>26728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Viitorul alimentelor ecologice și de calitate și modul în care poate fi promovat consumul lor</dc:title>
  <dc:subject>ADMIN</dc:subject>
  <dc:creator/>
  <cp:keywords>COR-EESC-2024-01326-10-00-ADMIN-TRA-EN</cp:keywords>
  <dc:description>Rapporteur:  - Original language: EN - Date of document: 18/04/2024 - Date of meeting:  - External documents:  - Administrator:  SUCIU Serban</dc:description>
  <cp:lastModifiedBy/>
  <cp:revision>9</cp:revision>
  <dcterms:created xsi:type="dcterms:W3CDTF">2025-09-22T14:32:00Z</dcterms:created>
  <dcterms:modified xsi:type="dcterms:W3CDTF">2025-09-22T14:41:00Z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19/09/2025, 17/04/2024, 12/04/2024, 17/05/2022</vt:lpwstr>
  </property>
  <property fmtid="{D5CDD505-2E9C-101B-9397-08002B2CF9AE}" pid="4" name="Pref_Time">
    <vt:lpwstr>08:22:06, 09:47:22, 11:43:34, 14:58:36</vt:lpwstr>
  </property>
  <property fmtid="{D5CDD505-2E9C-101B-9397-08002B2CF9AE}" pid="5" name="Pref_User">
    <vt:lpwstr>pacup, enied, enied, enied</vt:lpwstr>
  </property>
  <property fmtid="{D5CDD505-2E9C-101B-9397-08002B2CF9AE}" pid="6" name="Pref_FileName">
    <vt:lpwstr>EESC-2025-00673-00-00-AC-TRA-EN-CRR.docx, COR-EESC-2024-01326-10-00-ADMIN-TRA-EN.docx, COR-EESC-2024-01326-10-00-ADMIN-ORI.docx, COR-EESC-2022-02592-00-00-ADMIN-ORI.docx</vt:lpwstr>
  </property>
  <property fmtid="{D5CDD505-2E9C-101B-9397-08002B2CF9AE}" pid="7" name="_dlc_DocIdItemGuid">
    <vt:lpwstr>ef4620f2-83f4-4bfd-ad53-083466d714c5</vt:lpwstr>
  </property>
  <property fmtid="{D5CDD505-2E9C-101B-9397-08002B2CF9AE}" pid="8" name="AvailableTranslations">
    <vt:lpwstr>36;#RO|feb747a2-64cd-4299-af12-4833ddc30497;#32;#MT|7df99101-6854-4a26-b53a-b88c0da02c26;#24;#PL|1e03da61-4678-4e07-b136-b5024ca9197b;#31;#SL|98a412ae-eb01-49e9-ae3d-585a81724cfc;#47;#BG|1a1b3951-7821-4e6a-85f5-5673fc08bd2c;#39;#LV|46f7e311-5d9f-4663-b433-18aeccb7ace7;#50;#HR|2f555653-ed1a-4fe6-8362-9082d95989e5;#43;#GA|762d2456-c427-4ecb-b312-af3dad8e258c;#41;#ET|ff6c3f4c-b02c-4c3c-ab07-2c37995a7a0a;#37;#HU|6b229040-c589-4408-b4c1-4285663d20a8;#30;#LT|a7ff5ce7-6123-4f68-865a-a57c31810414;#28;#SV|c2ed69e7-a339-43d7-8f22-d93680a92aa0;#16;#ES|e7a6b05b-ae16-40c8-add9-68b64b03aeba;#42;#EL|6d4f4d51-af9b-4650-94b4-4276bee85c91;#46;#SK|46d9fce0-ef79-4f71-b89b-cd6aa82426b8;#35;#FI|87606a43-d45f-42d6-b8c9-e1a3457db5b7;#23;#DE|f6b31e5a-26fa-4935-b661-318e46daf27e;#12;#FR|d2afafd3-4c81-4f60-8f52-ee33f2f54ff3;#27;#NL|55c6556c-b4f4-441d-9acf-c498d4f838bd;#40;#DA|5d49c027-8956-412b-aa16-e85a0f96ad0e;#33;#PT|50ccc04a-eadd-42ae-a0cb-acaf45f812ba;#5;#EN|f2175f21-25d7-44a3-96da-d6a61b075e1b;#29;#CS|72f9705b-0217-4fd3-bea2-cbc7ed80e26e;#34;#IT|0774613c-01ed-4e5d-a25d-11d2388de825</vt:lpwstr>
  </property>
  <property fmtid="{D5CDD505-2E9C-101B-9397-08002B2CF9AE}" pid="9" name="DocumentType_0">
    <vt:lpwstr>AC|a4cc1d15-fb08-4679-ad46-e4e0cba5fe92</vt:lpwstr>
  </property>
  <property fmtid="{D5CDD505-2E9C-101B-9397-08002B2CF9AE}" pid="10" name="DocumentSource_0">
    <vt:lpwstr>EESC|422833ec-8d7e-4e65-8e4e-8bed07ffb729</vt:lpwstr>
  </property>
  <property fmtid="{D5CDD505-2E9C-101B-9397-08002B2CF9AE}" pid="11" name="ProductionDate">
    <vt:filetime>2024-04-17T12:00:00Z</vt:filetime>
  </property>
  <property fmtid="{D5CDD505-2E9C-101B-9397-08002B2CF9AE}" pid="12" name="DocumentNumber">
    <vt:i4>673</vt:i4>
  </property>
  <property fmtid="{D5CDD505-2E9C-101B-9397-08002B2CF9AE}" pid="13" name="DossierName">
    <vt:lpwstr>120;#NAT|b263ab5d-0564-42a8-87bf-1cc57d938922</vt:lpwstr>
  </property>
  <property fmtid="{D5CDD505-2E9C-101B-9397-08002B2CF9AE}" pid="14" name="Confidentiality_0">
    <vt:lpwstr>Unrestricted|826e22d7-d029-4ec0-a450-0c28ff673572</vt:lpwstr>
  </property>
  <property fmtid="{D5CDD505-2E9C-101B-9397-08002B2CF9AE}" pid="15" name="Confidentiality">
    <vt:lpwstr>15;#Unrestricted|826e22d7-d029-4ec0-a450-0c28ff673572</vt:lpwstr>
  </property>
  <property fmtid="{D5CDD505-2E9C-101B-9397-08002B2CF9AE}" pid="16" name="OriginalLanguage">
    <vt:lpwstr>5;#EN|f2175f21-25d7-44a3-96da-d6a61b075e1b</vt:lpwstr>
  </property>
  <property fmtid="{D5CDD505-2E9C-101B-9397-08002B2CF9AE}" pid="17" name="MeetingName">
    <vt:lpwstr/>
  </property>
  <property fmtid="{D5CDD505-2E9C-101B-9397-08002B2CF9AE}" pid="18" name="TaxCatchAll">
    <vt:lpwstr>31;#SL|98a412ae-eb01-49e9-ae3d-585a81724cfc;#79;#AC|a4cc1d15-fb08-4679-ad46-e4e0cba5fe92;#50;#HR|2f555653-ed1a-4fe6-8362-9082d95989e5;#47;#BG|1a1b3951-7821-4e6a-85f5-5673fc08bd2c;#46;#SK|46d9fce0-ef79-4f71-b89b-cd6aa82426b8;#43;#GA|762d2456-c427-4ecb-b312-af3dad8e258c;#42;#EL|6d4f4d51-af9b-4650-94b4-4276bee85c91;#41;#ET|ff6c3f4c-b02c-4c3c-ab07-2c37995a7a0a;#40;#DA|5d49c027-8956-412b-aa16-e85a0f96ad0e;#39;#LV|46f7e311-5d9f-4663-b433-18aeccb7ace7;#37;#HU|6b229040-c589-4408-b4c1-4285663d20a8;#35;#FI|87606a43-d45f-42d6-b8c9-e1a3457db5b7;#34;#IT|0774613c-01ed-4e5d-a25d-11d2388de825;#33;#PT|50ccc04a-eadd-42ae-a0cb-acaf45f812ba;#32;#MT|7df99101-6854-4a26-b53a-b88c0da02c26;#120;#NAT|b263ab5d-0564-42a8-87bf-1cc57d938922;#30;#LT|a7ff5ce7-6123-4f68-865a-a57c31810414;#29;#CS|72f9705b-0217-4fd3-bea2-cbc7ed80e26e;#28;#SV|c2ed69e7-a339-43d7-8f22-d93680a92aa0;#27;#NL|55c6556c-b4f4-441d-9acf-c498d4f838bd;#24;#PL|1e03da61-4678-4e07-b136-b5024ca9197b;#23;#DE|f6b31e5a-26fa-4935-b661-318e46daf27e;#16;#ES|e7a6b05b-ae16-40c8-add9-68b64b03aeba;#15;#Unrestricted|826e22d7-d029-4ec0-a450-0c28ff673572;#13;#TRA|150d2a88-1431-44e6-a8ca-0bb753ab8672;#12;#FR|d2afafd3-4c81-4f60-8f52-ee33f2f54ff3;#8;#Final|ea5e6674-7b27-4bac-b091-73adbb394efe;#5;#EN|f2175f21-25d7-44a3-96da-d6a61b075e1b;#1;#EESC|422833ec-8d7e-4e65-8e4e-8bed07ffb729</vt:lpwstr>
  </property>
  <property fmtid="{D5CDD505-2E9C-101B-9397-08002B2CF9AE}" pid="19" name="DocumentLanguage_0">
    <vt:lpwstr>EN|f2175f21-25d7-44a3-96da-d6a61b075e1b</vt:lpwstr>
  </property>
  <property fmtid="{D5CDD505-2E9C-101B-9397-08002B2CF9AE}" pid="20" name="VersionStatus_0">
    <vt:lpwstr>Final|ea5e6674-7b27-4bac-b091-73adbb394efe</vt:lpwstr>
  </property>
  <property fmtid="{D5CDD505-2E9C-101B-9397-08002B2CF9AE}" pid="21" name="VersionStatus">
    <vt:lpwstr>8;#Final|ea5e6674-7b27-4bac-b091-73adbb394efe</vt:lpwstr>
  </property>
  <property fmtid="{D5CDD505-2E9C-101B-9397-08002B2CF9AE}" pid="22" name="DocumentYear">
    <vt:i4>2025</vt:i4>
  </property>
  <property fmtid="{D5CDD505-2E9C-101B-9397-08002B2CF9AE}" pid="23" name="FicheNumber">
    <vt:i4>294672</vt:i4>
  </property>
  <property fmtid="{D5CDD505-2E9C-101B-9397-08002B2CF9AE}" pid="24" name="OriginalSender">
    <vt:lpwstr>51;#Nieddu Emma</vt:lpwstr>
  </property>
  <property fmtid="{D5CDD505-2E9C-101B-9397-08002B2CF9AE}" pid="25" name="DocumentType">
    <vt:lpwstr>79;#AC|a4cc1d15-fb08-4679-ad46-e4e0cba5fe92</vt:lpwstr>
  </property>
  <property fmtid="{D5CDD505-2E9C-101B-9397-08002B2CF9AE}" pid="26" name="DocumentPart">
    <vt:i4>0</vt:i4>
  </property>
  <property fmtid="{D5CDD505-2E9C-101B-9397-08002B2CF9AE}" pid="27" name="DocumentSource">
    <vt:lpwstr>1;#EESC|422833ec-8d7e-4e65-8e4e-8bed07ffb729</vt:lpwstr>
  </property>
  <property fmtid="{D5CDD505-2E9C-101B-9397-08002B2CF9AE}" pid="28" name="RequestingService">
    <vt:lpwstr>Systèmes alimentaires durables, environnement, dév. rural</vt:lpwstr>
  </property>
  <property fmtid="{D5CDD505-2E9C-101B-9397-08002B2CF9AE}" pid="29" name="DocumentLanguage">
    <vt:lpwstr>36;#RO|feb747a2-64cd-4299-af12-4833ddc30497</vt:lpwstr>
  </property>
  <property fmtid="{D5CDD505-2E9C-101B-9397-08002B2CF9AE}" pid="30" name="AvailableTranslations_0">
    <vt:lpwstr>MT|7df99101-6854-4a26-b53a-b88c0da02c26;PL|1e03da61-4678-4e07-b136-b5024ca9197b;SL|98a412ae-eb01-49e9-ae3d-585a81724cfc;BG|1a1b3951-7821-4e6a-85f5-5673fc08bd2c;LV|46f7e311-5d9f-4663-b433-18aeccb7ace7;HR|2f555653-ed1a-4fe6-8362-9082d95989e5;GA|762d2456-c427-4ecb-b312-af3dad8e258c;ET|ff6c3f4c-b02c-4c3c-ab07-2c37995a7a0a;HU|6b229040-c589-4408-b4c1-4285663d20a8;LT|a7ff5ce7-6123-4f68-865a-a57c31810414;SV|c2ed69e7-a339-43d7-8f22-d93680a92aa0;ES|e7a6b05b-ae16-40c8-add9-68b64b03aeba;EL|6d4f4d51-af9b-4650-94b4-4276bee85c91;SK|46d9fce0-ef79-4f71-b89b-cd6aa82426b8;FI|87606a43-d45f-42d6-b8c9-e1a3457db5b7;DE|f6b31e5a-26fa-4935-b661-318e46daf27e;FR|d2afafd3-4c81-4f60-8f52-ee33f2f54ff3;NL|55c6556c-b4f4-441d-9acf-c498d4f838bd;DA|5d49c027-8956-412b-aa16-e85a0f96ad0e;PT|50ccc04a-eadd-42ae-a0cb-acaf45f812ba;EN|f2175f21-25d7-44a3-96da-d6a61b075e1b;CS|72f9705b-0217-4fd3-bea2-cbc7ed80e26e;IT|0774613c-01ed-4e5d-a25d-11d2388de825</vt:lpwstr>
  </property>
  <property fmtid="{D5CDD505-2E9C-101B-9397-08002B2CF9AE}" pid="31" name="DocumentStatus_0">
    <vt:lpwstr>TRA|150d2a88-1431-44e6-a8ca-0bb753ab8672</vt:lpwstr>
  </property>
  <property fmtid="{D5CDD505-2E9C-101B-9397-08002B2CF9AE}" pid="32" name="OriginalLanguage_0">
    <vt:lpwstr>EN|f2175f21-25d7-44a3-96da-d6a61b075e1b</vt:lpwstr>
  </property>
  <property fmtid="{D5CDD505-2E9C-101B-9397-08002B2CF9AE}" pid="33" name="_docset_NoMedatataSyncRequired">
    <vt:lpwstr>False</vt:lpwstr>
  </property>
  <property fmtid="{D5CDD505-2E9C-101B-9397-08002B2CF9AE}" pid="34" name="DocumentVersion">
    <vt:i4>0</vt:i4>
  </property>
  <property fmtid="{D5CDD505-2E9C-101B-9397-08002B2CF9AE}" pid="35" name="DocumentStatus">
    <vt:lpwstr>13;#TRA|150d2a88-1431-44e6-a8ca-0bb753ab8672</vt:lpwstr>
  </property>
  <property fmtid="{D5CDD505-2E9C-101B-9397-08002B2CF9AE}" pid="36" name="MeetingName_0">
    <vt:lpwstr/>
  </property>
  <property fmtid="{D5CDD505-2E9C-101B-9397-08002B2CF9AE}" pid="37" name="DossierName_0">
    <vt:lpwstr>NAT|b263ab5d-0564-42a8-87bf-1cc57d938922</vt:lpwstr>
  </property>
  <property fmtid="{D5CDD505-2E9C-101B-9397-08002B2CF9AE}" pid="38" name="ContentTypeId">
    <vt:lpwstr>0x010100EA97B91038054C99906057A708A1480A006BB3B767F3CF4149BF520211D4A86BC0</vt:lpwstr>
  </property>
  <property fmtid="{D5CDD505-2E9C-101B-9397-08002B2CF9AE}" pid="39" name="MediaServiceImageTags">
    <vt:lpwstr/>
  </property>
  <property fmtid="{D5CDD505-2E9C-101B-9397-08002B2CF9AE}" pid="40" name="DossierNumber">
    <vt:i4>949</vt:i4>
  </property>
  <property fmtid="{D5CDD505-2E9C-101B-9397-08002B2CF9AE}" pid="42" name="Rapporteur">
    <vt:lpwstr>ATS &amp; PADURE</vt:lpwstr>
  </property>
  <property fmtid="{D5CDD505-2E9C-101B-9397-08002B2CF9AE}" pid="43" name="AdoptionDate">
    <vt:filetime>2025-09-18T12:00:00Z</vt:filetime>
  </property>
</Properties>
</file>