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9"/>
      </w:tblGrid>
      <w:tr w:rsidR="00C610FB" w14:paraId="4B18B74B" w14:textId="77777777">
        <w:trPr>
          <w:jc w:val="center"/>
        </w:trPr>
        <w:tc>
          <w:tcPr>
            <w:tcW w:w="5000" w:type="pct"/>
            <w:vAlign w:val="center"/>
          </w:tcPr>
          <w:p w:rsidR="00C610FB" w:rsidP="00FE40FE" w:rsidRDefault="00EB611A" w14:paraId="4B8F14AB" w14:textId="77777777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</w:rPr>
              <w:t>STANOVISKO</w:t>
            </w:r>
          </w:p>
        </w:tc>
      </w:tr>
      <w:tr w:rsidR="00C610FB" w14:paraId="428F80C1" w14:textId="77777777">
        <w:trPr>
          <w:trHeight w:val="567"/>
          <w:jc w:val="center"/>
        </w:trPr>
        <w:tc>
          <w:tcPr>
            <w:tcW w:w="5000" w:type="pct"/>
            <w:vAlign w:val="center"/>
          </w:tcPr>
          <w:p w:rsidR="00C610FB" w:rsidP="00FE40FE" w:rsidRDefault="00EB611A" w14:paraId="0E3C838D" w14:textId="2E0F4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Evropského hospodářského a sociálního výboru</w:t>
            </w:r>
          </w:p>
        </w:tc>
      </w:tr>
      <w:tr w:rsidR="00C610FB" w14:paraId="5FCA7EB1" w14:textId="77777777">
        <w:trPr>
          <w:jc w:val="center"/>
        </w:trPr>
        <w:tc>
          <w:tcPr>
            <w:tcW w:w="5000" w:type="pct"/>
            <w:vAlign w:val="center"/>
          </w:tcPr>
          <w:p w:rsidR="00C610FB" w:rsidP="00FE40FE" w:rsidRDefault="00EB611A" w14:paraId="164B3F5D" w14:textId="1DA5A4F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</w:rPr>
              <w:t>Reindustrializace Evropy v kontextu krize životních nákladů</w:t>
            </w:r>
          </w:p>
        </w:tc>
      </w:tr>
      <w:tr w:rsidR="00C610FB" w14:paraId="0A2CA787" w14:textId="77777777">
        <w:trPr>
          <w:jc w:val="center"/>
        </w:trPr>
        <w:tc>
          <w:tcPr>
            <w:tcW w:w="5000" w:type="pct"/>
            <w:vAlign w:val="center"/>
          </w:tcPr>
          <w:p w:rsidR="00C610FB" w:rsidP="00FE40FE" w:rsidRDefault="00EB611A" w14:paraId="766B3712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position w:val="24"/>
                <w:sz w:val="24"/>
                <w:szCs w:val="24"/>
              </w:rPr>
            </w:pPr>
            <w:r>
              <w:rPr>
                <w:sz w:val="24"/>
              </w:rPr>
              <w:t>_____________</w:t>
            </w:r>
          </w:p>
        </w:tc>
      </w:tr>
      <w:tr w:rsidR="00C610FB" w14:paraId="651BE820" w14:textId="77777777">
        <w:trPr>
          <w:jc w:val="center"/>
        </w:trPr>
        <w:tc>
          <w:tcPr>
            <w:tcW w:w="5000" w:type="pct"/>
            <w:vAlign w:val="center"/>
          </w:tcPr>
          <w:p w:rsidR="00C610FB" w:rsidP="00FE40FE" w:rsidRDefault="00EB611A" w14:paraId="6614847C" w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Reindustrializace Evropy – příležitost pro podniky, zaměstnance a občany v kontextu krize životních nákladů</w:t>
            </w:r>
          </w:p>
          <w:p w:rsidRPr="00FE40FE" w:rsidR="00C610FB" w:rsidP="00FE40FE" w:rsidRDefault="00EB611A" w14:paraId="6E238E6D" w14:textId="101A0D39">
            <w:pPr>
              <w:jc w:val="center"/>
              <w:rPr>
                <w:b/>
                <w:bCs/>
              </w:rPr>
            </w:pPr>
            <w:r w:rsidRPr="00FE40FE">
              <w:rPr>
                <w:b/>
                <w:bCs/>
              </w:rPr>
              <w:t>(stanovisko z vlastní iniciativy)</w:t>
            </w:r>
          </w:p>
        </w:tc>
      </w:tr>
      <w:tr w:rsidR="00C610FB" w14:paraId="295584EE" w14:textId="77777777">
        <w:trPr>
          <w:jc w:val="center"/>
        </w:trPr>
        <w:tc>
          <w:tcPr>
            <w:tcW w:w="5000" w:type="pct"/>
            <w:vAlign w:val="center"/>
          </w:tcPr>
          <w:p w:rsidR="00C610FB" w:rsidP="00FE40FE" w:rsidRDefault="00C610FB" w14:paraId="7AA50FA1" w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C610FB" w14:paraId="41F47321" w14:textId="77777777">
        <w:trPr>
          <w:jc w:val="center"/>
        </w:trPr>
        <w:tc>
          <w:tcPr>
            <w:tcW w:w="5000" w:type="pct"/>
            <w:vAlign w:val="center"/>
          </w:tcPr>
          <w:p w:rsidR="00C610FB" w:rsidP="00FE40FE" w:rsidRDefault="00EB611A" w14:paraId="50D97899" w14:textId="7F3C6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CCMI/239</w:t>
            </w:r>
          </w:p>
        </w:tc>
      </w:tr>
      <w:tr w:rsidR="00C610FB" w14:paraId="2110FDEB" w14:textId="77777777">
        <w:trPr>
          <w:jc w:val="center"/>
        </w:trPr>
        <w:tc>
          <w:tcPr>
            <w:tcW w:w="5000" w:type="pct"/>
            <w:vAlign w:val="center"/>
          </w:tcPr>
          <w:p w:rsidR="00C610FB" w:rsidP="00FE40FE" w:rsidRDefault="00C610FB" w14:paraId="59F181E4" w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C610FB" w14:paraId="5DF7EBEA" w14:textId="77777777">
        <w:trPr>
          <w:jc w:val="center"/>
        </w:trPr>
        <w:tc>
          <w:tcPr>
            <w:tcW w:w="5000" w:type="pct"/>
            <w:vAlign w:val="center"/>
          </w:tcPr>
          <w:p w:rsidR="00C610FB" w:rsidP="00FE40FE" w:rsidRDefault="00EB611A" w14:paraId="23E9DE0A" w14:textId="71A14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Zpravodaj: </w:t>
            </w:r>
            <w:r>
              <w:rPr>
                <w:b/>
                <w:sz w:val="24"/>
              </w:rPr>
              <w:t>Andrés BARCELÓ DELGADO (ES-I)</w:t>
            </w:r>
          </w:p>
        </w:tc>
      </w:tr>
      <w:tr w:rsidR="00C610FB" w14:paraId="1AE590E4" w14:textId="77777777">
        <w:trPr>
          <w:jc w:val="center"/>
        </w:trPr>
        <w:tc>
          <w:tcPr>
            <w:tcW w:w="5000" w:type="pct"/>
            <w:vAlign w:val="center"/>
          </w:tcPr>
          <w:p w:rsidR="00C610FB" w:rsidP="00FE40FE" w:rsidRDefault="00EB611A" w14:paraId="3CA82D7B" w14:textId="23F0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Spoluzpravodajka: </w:t>
            </w:r>
            <w:r>
              <w:rPr>
                <w:b/>
                <w:sz w:val="24"/>
              </w:rPr>
              <w:t>Monika SITÁROVÁ (SK-kat. 2)</w:t>
            </w:r>
          </w:p>
        </w:tc>
      </w:tr>
    </w:tbl>
    <w:p w:rsidR="00C610FB" w:rsidP="00FE40FE" w:rsidRDefault="00EB611A" w14:paraId="0B225863" w14:textId="7777777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3357AC0E" wp14:anchorId="3735E109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0FB" w:rsidRDefault="00EB611A" w14:paraId="03B00903" w14:textId="77777777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35E109">
                <v:stroke joinstyle="miter"/>
                <v:path gradientshapeok="t" o:connecttype="rect"/>
              </v:shapetype>
              <v:shape id="Text Box 17" style="position:absolute;left:0;text-align:left;margin-left:-15.9pt;margin-top:747pt;width:58.4pt;height:34pt;z-index:-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">
                <v:textbox>
                  <w:txbxContent>
                    <w:p w:rsidR="00C610FB" w:rsidRDefault="00EB611A" w14:paraId="03B00903" w14:textId="77777777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610FB" w:rsidP="00FE40FE" w:rsidRDefault="00C610FB" w14:paraId="3FA5826A" w14:textId="77777777">
      <w:pPr>
        <w:rPr>
          <w:lang w:val="en-GB"/>
        </w:rPr>
      </w:pPr>
    </w:p>
    <w:p w:rsidR="00C610FB" w:rsidP="00FE40FE" w:rsidRDefault="00C610FB" w14:paraId="4B88FC0A" w14:textId="77777777">
      <w:pPr>
        <w:rPr>
          <w:lang w:val="en-GB"/>
        </w:rPr>
        <w:sectPr w:rsidR="00C610FB" w:rsidSect="00A25C6D">
          <w:headerReference w:type="even" r:id="rId11"/>
          <w:headerReference w:type="default" r:id="rId12"/>
          <w:headerReference w:type="first" r:id="rId13"/>
          <w:pgSz w:w="11907" w:h="16839" w:code="9"/>
          <w:pgMar w:top="5669" w:right="1417" w:bottom="1417" w:left="1417" w:header="709" w:footer="709" w:gutter="0"/>
          <w:cols w:space="720"/>
          <w:docGrid w:linePitch="360"/>
        </w:sect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C610FB" w14:paraId="3380D050" w14:textId="77777777">
        <w:tc>
          <w:tcPr>
            <w:tcW w:w="3085" w:type="dxa"/>
          </w:tcPr>
          <w:p w:rsidR="00C610FB" w:rsidP="00FE40FE" w:rsidRDefault="00EB611A" w14:paraId="51BED169" w14:textId="67D9B4FA">
            <w:pPr>
              <w:autoSpaceDE w:val="0"/>
              <w:autoSpaceDN w:val="0"/>
              <w:jc w:val="left"/>
              <w:rPr>
                <w:szCs w:val="20"/>
              </w:rPr>
            </w:pPr>
            <w:r>
              <w:lastRenderedPageBreak/>
              <w:t>Poradci</w:t>
            </w:r>
          </w:p>
        </w:tc>
        <w:tc>
          <w:tcPr>
            <w:tcW w:w="6204" w:type="dxa"/>
            <w:vAlign w:val="bottom"/>
          </w:tcPr>
          <w:p w:rsidR="00C610FB" w:rsidP="00FE40FE" w:rsidRDefault="00EB611A" w14:paraId="07C2DF2B" w14:textId="77777777">
            <w:r>
              <w:t>Vega GIL OYAREGUI (pro zpravodaje skupiny I)</w:t>
            </w:r>
          </w:p>
          <w:p w:rsidR="00C610FB" w:rsidP="00FE40FE" w:rsidRDefault="00EB611A" w14:paraId="207494E5" w14:textId="59F82F24">
            <w:pPr>
              <w:autoSpaceDE w:val="0"/>
              <w:autoSpaceDN w:val="0"/>
              <w:jc w:val="left"/>
            </w:pPr>
            <w:r>
              <w:t>Juan José LUIS DELGADO (pro spoluzpravodajku kategorie 2)</w:t>
            </w:r>
          </w:p>
        </w:tc>
      </w:tr>
      <w:tr w:rsidR="00C610FB" w14:paraId="64074C63" w14:textId="77777777">
        <w:tc>
          <w:tcPr>
            <w:tcW w:w="3085" w:type="dxa"/>
          </w:tcPr>
          <w:p w:rsidR="00C610FB" w:rsidP="00FE40FE" w:rsidRDefault="00C610FB" w14:paraId="51393BC8" w14:textId="77777777">
            <w:pPr>
              <w:autoSpaceDE w:val="0"/>
              <w:autoSpaceDN w:val="0"/>
              <w:jc w:val="left"/>
              <w:rPr>
                <w:szCs w:val="20"/>
                <w:lang w:val="en-GB"/>
              </w:rPr>
            </w:pPr>
          </w:p>
        </w:tc>
        <w:tc>
          <w:tcPr>
            <w:tcW w:w="6204" w:type="dxa"/>
            <w:vAlign w:val="bottom"/>
          </w:tcPr>
          <w:p w:rsidR="00C610FB" w:rsidP="00FE40FE" w:rsidRDefault="00C610FB" w14:paraId="1BB75A13" w14:textId="77777777">
            <w:pPr>
              <w:autoSpaceDE w:val="0"/>
              <w:autoSpaceDN w:val="0"/>
              <w:jc w:val="left"/>
              <w:rPr>
                <w:lang w:val="en-GB"/>
              </w:rPr>
            </w:pPr>
          </w:p>
        </w:tc>
      </w:tr>
      <w:tr w:rsidR="00C610FB" w14:paraId="21AF33F1" w14:textId="77777777">
        <w:tc>
          <w:tcPr>
            <w:tcW w:w="3085" w:type="dxa"/>
          </w:tcPr>
          <w:p w:rsidR="00C610FB" w:rsidP="00FE40FE" w:rsidRDefault="00EB611A" w14:paraId="7B26A8E7" w14:textId="568CF9D2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Rozhodnutí plenárního shromáždění</w:t>
            </w:r>
          </w:p>
        </w:tc>
        <w:tc>
          <w:tcPr>
            <w:tcW w:w="6204" w:type="dxa"/>
            <w:vAlign w:val="bottom"/>
          </w:tcPr>
          <w:p w:rsidR="00C610FB" w:rsidP="00FE40FE" w:rsidRDefault="00EB611A" w14:paraId="152AB004" w14:textId="6E6ED093">
            <w:pPr>
              <w:autoSpaceDE w:val="0"/>
              <w:autoSpaceDN w:val="0"/>
              <w:jc w:val="left"/>
            </w:pPr>
            <w:r>
              <w:t>5/12/2024</w:t>
            </w:r>
          </w:p>
        </w:tc>
      </w:tr>
      <w:tr w:rsidR="00C610FB" w14:paraId="3E385435" w14:textId="77777777">
        <w:tc>
          <w:tcPr>
            <w:tcW w:w="3085" w:type="dxa"/>
          </w:tcPr>
          <w:p w:rsidR="00C610FB" w:rsidP="00FE40FE" w:rsidRDefault="00EB611A" w14:paraId="3054D729" w14:textId="5D5B5FF6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Právní základ</w:t>
            </w:r>
          </w:p>
        </w:tc>
        <w:tc>
          <w:tcPr>
            <w:tcW w:w="6204" w:type="dxa"/>
            <w:vAlign w:val="bottom"/>
          </w:tcPr>
          <w:p w:rsidR="00C610FB" w:rsidP="00FE40FE" w:rsidRDefault="00EB611A" w14:paraId="41CF067A" w14:textId="3B6396C1">
            <w:pPr>
              <w:autoSpaceDE w:val="0"/>
              <w:autoSpaceDN w:val="0"/>
              <w:jc w:val="left"/>
            </w:pPr>
            <w:r>
              <w:t>čl. 52 odst. 2 jednacího řádu</w:t>
            </w:r>
          </w:p>
        </w:tc>
      </w:tr>
      <w:tr w:rsidR="00C610FB" w14:paraId="0E2099A6" w14:textId="77777777">
        <w:tc>
          <w:tcPr>
            <w:tcW w:w="3085" w:type="dxa"/>
          </w:tcPr>
          <w:p w:rsidR="00C610FB" w:rsidP="00FE40FE" w:rsidRDefault="00EB611A" w14:paraId="0BC68BA5" w14:textId="77777777">
            <w:pPr>
              <w:autoSpaceDE w:val="0"/>
              <w:autoSpaceDN w:val="0"/>
              <w:jc w:val="left"/>
            </w:pPr>
            <w:r>
              <w:t>Odpovědná komise</w:t>
            </w:r>
          </w:p>
        </w:tc>
        <w:tc>
          <w:tcPr>
            <w:tcW w:w="6204" w:type="dxa"/>
            <w:vAlign w:val="bottom"/>
          </w:tcPr>
          <w:p w:rsidR="00C610FB" w:rsidP="00FE40FE" w:rsidRDefault="00EB611A" w14:paraId="5AE7EA9E" w14:textId="3A48AD83">
            <w:pPr>
              <w:autoSpaceDE w:val="0"/>
              <w:autoSpaceDN w:val="0"/>
              <w:jc w:val="left"/>
            </w:pPr>
            <w:r>
              <w:t>Poradní komise pro průmyslové změny (CCMI)</w:t>
            </w:r>
          </w:p>
        </w:tc>
      </w:tr>
      <w:tr w:rsidR="00C610FB" w14:paraId="53972E32" w14:textId="77777777">
        <w:tc>
          <w:tcPr>
            <w:tcW w:w="3085" w:type="dxa"/>
          </w:tcPr>
          <w:p w:rsidR="00C610FB" w:rsidP="00FE40FE" w:rsidRDefault="00EB611A" w14:paraId="13B33E83" w14:textId="77777777">
            <w:pPr>
              <w:autoSpaceDE w:val="0"/>
              <w:autoSpaceDN w:val="0"/>
              <w:jc w:val="left"/>
            </w:pPr>
            <w:r>
              <w:t>Přijato v sekci</w:t>
            </w:r>
          </w:p>
        </w:tc>
        <w:tc>
          <w:tcPr>
            <w:tcW w:w="6204" w:type="dxa"/>
            <w:vAlign w:val="bottom"/>
          </w:tcPr>
          <w:p w:rsidR="00C610FB" w:rsidP="00FE40FE" w:rsidRDefault="00EB611A" w14:paraId="5E71ECD2" w14:textId="24E59C43">
            <w:pPr>
              <w:autoSpaceDE w:val="0"/>
              <w:autoSpaceDN w:val="0"/>
              <w:jc w:val="left"/>
            </w:pPr>
            <w:r>
              <w:t>4/6/2025</w:t>
            </w:r>
          </w:p>
        </w:tc>
      </w:tr>
      <w:tr w:rsidR="00C610FB" w14:paraId="7AE47B93" w14:textId="77777777">
        <w:tc>
          <w:tcPr>
            <w:tcW w:w="3085" w:type="dxa"/>
          </w:tcPr>
          <w:p w:rsidR="00C610FB" w:rsidP="00FE40FE" w:rsidRDefault="00EB611A" w14:paraId="26DE3092" w14:textId="5B7F7C13">
            <w:pPr>
              <w:autoSpaceDE w:val="0"/>
              <w:autoSpaceDN w:val="0"/>
              <w:jc w:val="left"/>
            </w:pPr>
            <w:r>
              <w:t>Přijato na plenárním zasedání</w:t>
            </w:r>
          </w:p>
        </w:tc>
        <w:tc>
          <w:tcPr>
            <w:tcW w:w="6204" w:type="dxa"/>
            <w:vAlign w:val="bottom"/>
          </w:tcPr>
          <w:p w:rsidR="00C610FB" w:rsidP="00FE40FE" w:rsidRDefault="00EB611A" w14:paraId="34FA2183" w14:textId="2F2425EE">
            <w:pPr>
              <w:autoSpaceDE w:val="0"/>
              <w:autoSpaceDN w:val="0"/>
              <w:jc w:val="left"/>
            </w:pPr>
            <w:r>
              <w:t>18/6/2025</w:t>
            </w:r>
          </w:p>
        </w:tc>
      </w:tr>
      <w:tr w:rsidR="00C610FB" w14:paraId="2FE8AE44" w14:textId="77777777">
        <w:tc>
          <w:tcPr>
            <w:tcW w:w="3085" w:type="dxa"/>
          </w:tcPr>
          <w:p w:rsidR="00C610FB" w:rsidP="00FE40FE" w:rsidRDefault="00EB611A" w14:paraId="2A65A034" w14:textId="77777777">
            <w:pPr>
              <w:autoSpaceDE w:val="0"/>
              <w:autoSpaceDN w:val="0"/>
              <w:jc w:val="left"/>
            </w:pPr>
            <w:r>
              <w:t>Plenární zasedání č.</w:t>
            </w:r>
          </w:p>
        </w:tc>
        <w:tc>
          <w:tcPr>
            <w:tcW w:w="6204" w:type="dxa"/>
            <w:vAlign w:val="bottom"/>
          </w:tcPr>
          <w:p w:rsidR="00C610FB" w:rsidP="00FE40FE" w:rsidRDefault="00EB611A" w14:paraId="17BFB0A7" w14:textId="6E04DB8F">
            <w:pPr>
              <w:autoSpaceDE w:val="0"/>
              <w:autoSpaceDN w:val="0"/>
              <w:jc w:val="left"/>
            </w:pPr>
            <w:r>
              <w:t>597</w:t>
            </w:r>
          </w:p>
        </w:tc>
      </w:tr>
      <w:tr w:rsidR="00C610FB" w14:paraId="3889B17A" w14:textId="77777777">
        <w:tc>
          <w:tcPr>
            <w:tcW w:w="3085" w:type="dxa"/>
          </w:tcPr>
          <w:p w:rsidR="00C610FB" w:rsidP="00FE40FE" w:rsidRDefault="00EB611A" w14:paraId="0C723801" w14:textId="77777777">
            <w:pPr>
              <w:autoSpaceDE w:val="0"/>
              <w:autoSpaceDN w:val="0"/>
              <w:jc w:val="left"/>
            </w:pPr>
            <w:r>
              <w:t>Výsledek hlasování</w:t>
            </w:r>
            <w:r>
              <w:br/>
              <w:t>(pro/proti/zdrželi se hlasování)</w:t>
            </w:r>
          </w:p>
        </w:tc>
        <w:tc>
          <w:tcPr>
            <w:tcW w:w="6204" w:type="dxa"/>
            <w:vAlign w:val="bottom"/>
          </w:tcPr>
          <w:p w:rsidR="00C610FB" w:rsidP="00FE40FE" w:rsidRDefault="00EB611A" w14:paraId="14DB34EA" w14:textId="4FDABA43">
            <w:pPr>
              <w:autoSpaceDE w:val="0"/>
              <w:autoSpaceDN w:val="0"/>
              <w:jc w:val="left"/>
            </w:pPr>
            <w:r>
              <w:t>197/0/2</w:t>
            </w:r>
          </w:p>
        </w:tc>
      </w:tr>
    </w:tbl>
    <w:p w:rsidR="00C610FB" w:rsidP="00FE40FE" w:rsidRDefault="00C610FB" w14:paraId="156A5F34" w14:textId="77777777">
      <w:pPr>
        <w:rPr>
          <w:lang w:val="en-GB"/>
        </w:rPr>
      </w:pPr>
    </w:p>
    <w:p w:rsidR="00C610FB" w:rsidP="00FE40FE" w:rsidRDefault="00C610FB" w14:paraId="2CD3051D" w14:textId="77777777">
      <w:pPr>
        <w:rPr>
          <w:lang w:val="en-GB"/>
        </w:rPr>
        <w:sectPr w:rsidR="00C610FB" w:rsidSect="00A25C6D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5669" w:right="1418" w:bottom="1418" w:left="1418" w:header="709" w:footer="709" w:gutter="0"/>
          <w:cols w:space="720"/>
          <w:docGrid w:linePitch="360"/>
        </w:sectPr>
      </w:pPr>
    </w:p>
    <w:p w:rsidR="00C610FB" w:rsidP="00FE40FE" w:rsidRDefault="00EB611A" w14:paraId="61188F24" w14:textId="77777777">
      <w:pPr>
        <w:keepNext/>
        <w:keepLines/>
      </w:pPr>
      <w:r>
        <w:lastRenderedPageBreak/>
        <w:t>ÚVOD</w:t>
      </w:r>
    </w:p>
    <w:p w:rsidR="00C610FB" w:rsidP="00FE40FE" w:rsidRDefault="00C610FB" w14:paraId="06384D32" w14:textId="77777777">
      <w:pPr>
        <w:keepNext/>
        <w:keepLines/>
        <w:rPr>
          <w:lang w:val="en-GB"/>
        </w:rPr>
      </w:pPr>
    </w:p>
    <w:p w:rsidR="00C610FB" w:rsidP="00FE40FE" w:rsidRDefault="00EB611A" w14:paraId="38F626F8" w14:textId="74B0E586">
      <w:r>
        <w:t xml:space="preserve">Toto stanovisko je součástí širšího balíčku stanovisek EHSV věnovaných tématu krize spojené </w:t>
      </w:r>
      <w:r w:rsidR="00645A41">
        <w:t>s </w:t>
      </w:r>
      <w:r>
        <w:t>nárůstem životních nákladů. EHSV v rámci tohoto balíčku zkoumá různé aspekty této politické výzvy a předkládá komplexní a rozsáhlý soubor doporučení určených evropským a vnitrostátním tvůrcům politik, organizacím občanské společnosti a dalším zúčastněným stranám. Balíček obsahuje sedm „odvětvových stanovisek“</w:t>
      </w:r>
      <w:r>
        <w:rPr>
          <w:rStyle w:val="FootnoteReference"/>
          <w:szCs w:val="24"/>
          <w:lang w:val="en-GB"/>
        </w:rPr>
        <w:footnoteReference w:id="1"/>
      </w:r>
      <w:r>
        <w:t>, z nichž každé je věnováno otázkám v konkrétní příslušné oblasti politiky. Obecná politická doporučení zaměřená na celkové řešení krize spojené s nárůstem životních nákladů a na budování odolnosti vůči krizím v budoucnu jsou pak představena v „zastřešujícím stanovisku“</w:t>
      </w:r>
      <w:r>
        <w:rPr>
          <w:rStyle w:val="FootnoteReference"/>
          <w:szCs w:val="24"/>
          <w:lang w:val="en-GB"/>
        </w:rPr>
        <w:footnoteReference w:id="2"/>
      </w:r>
      <w:r>
        <w:t>.</w:t>
      </w:r>
    </w:p>
    <w:p w:rsidR="00C610FB" w:rsidP="00FE40FE" w:rsidRDefault="00C610FB" w14:paraId="5641CD96" w14:textId="77777777">
      <w:pPr>
        <w:rPr>
          <w:lang w:val="en-GB"/>
        </w:rPr>
      </w:pPr>
    </w:p>
    <w:p w:rsidR="00C610FB" w:rsidP="00FE40FE" w:rsidRDefault="00EB611A" w14:paraId="3578D6FF" w14:textId="77777777">
      <w:pPr>
        <w:pStyle w:val="Heading1"/>
        <w:keepNext/>
        <w:rPr>
          <w:b/>
        </w:rPr>
      </w:pPr>
      <w:r>
        <w:rPr>
          <w:b/>
        </w:rPr>
        <w:t>Závěry a doporučení</w:t>
      </w:r>
    </w:p>
    <w:p w:rsidR="00C610FB" w:rsidP="00FE40FE" w:rsidRDefault="00C610FB" w14:paraId="77DCD6DD" w14:textId="77777777">
      <w:pPr>
        <w:keepNext/>
        <w:rPr>
          <w:lang w:val="en-GB"/>
        </w:rPr>
      </w:pPr>
    </w:p>
    <w:p w:rsidR="00C610FB" w:rsidP="00FE40FE" w:rsidRDefault="00EB611A" w14:paraId="6E2BE181" w14:textId="77777777">
      <w:pPr>
        <w:pStyle w:val="Heading2"/>
      </w:pPr>
      <w:r>
        <w:t>EHSV vítá iniciativu Komise Kompas konkurenceschopnosti, která se zaměřuje na zlepšení konkurenceschopnosti hospodářství EU s cílem snížit rozdíl oproti USA a Asii. Jeho vývoj musí zahrnovat jasné ukazatele výkonnosti, které umožní orgánům EU a zúčastněným stranám sledovat plnění každého úkolu zahrnutého do této iniciativy. Ke zvýšení konkurenceschopnosti EU jsou zapotřebí též vyšší soukromé i veřejné investice.</w:t>
      </w:r>
    </w:p>
    <w:p w:rsidR="00C610FB" w:rsidP="00FE40FE" w:rsidRDefault="00C610FB" w14:paraId="24771092" w14:textId="77777777">
      <w:pPr>
        <w:rPr>
          <w:lang w:val="en-GB"/>
        </w:rPr>
      </w:pPr>
    </w:p>
    <w:p w:rsidR="00C610FB" w:rsidP="00FE40FE" w:rsidRDefault="00EB611A" w14:paraId="06C36A83" w14:textId="77777777">
      <w:pPr>
        <w:pStyle w:val="Heading2"/>
      </w:pPr>
      <w:r>
        <w:t xml:space="preserve">Pracovní program Komise na rok 2025 zahrnuje Akční plán pro cenově dostupnou energii. EHSV žádá od Komise záruku, že plán zajistí dodávky elektřiny a stabilní, konkurenceschopnou a předvídatelnou cenu. Měl by také zahrnovat nízkouhlíkovou energii prostřednictvím obnovitelných zdrojů a paliv z obnovitelných zdrojů nebiologického původu (RFNBO). </w:t>
      </w:r>
    </w:p>
    <w:p w:rsidR="00C610FB" w:rsidP="00FE40FE" w:rsidRDefault="00C610FB" w14:paraId="11D9E348" w14:textId="77777777">
      <w:pPr>
        <w:rPr>
          <w:lang w:val="en-GB"/>
        </w:rPr>
      </w:pPr>
    </w:p>
    <w:p w:rsidR="00C610FB" w:rsidP="00FE40FE" w:rsidRDefault="00EB611A" w14:paraId="6EF103C4" w14:textId="2B5F6799">
      <w:pPr>
        <w:pStyle w:val="Heading2"/>
      </w:pPr>
      <w:r>
        <w:t xml:space="preserve">Jádrem procesu reindustrializace musí být otevřená strategická autonomie, která zajistí přístup </w:t>
      </w:r>
      <w:r w:rsidR="00645A41">
        <w:t>k </w:t>
      </w:r>
      <w:r>
        <w:t>surovinám, diverzifikaci zdrojů a zvýší odolnost hospodářství EU. Aby podniky získaly podnět k přesunu své výroby do EU, EHSV doporučuje přijmout průmyslovou politiku vycházející z přístupu založeného na hodnotovém řetězci. Tento přístup zdůrazňuje stejnou důležitost předcházejících i navazujících činností během transformace. Toho lze dosáhnout zvýšením počtu partnerství se zeměmi mimo EU a zjednodušením povolovacích postupů na podporu růstu vlastního těžebního průmyslu EU, současně s tím je ovšem nutno zajistit dodržování pracovních, sociálních a environmentálních norem.</w:t>
      </w:r>
    </w:p>
    <w:p w:rsidR="00C610FB" w:rsidP="00FE40FE" w:rsidRDefault="00C610FB" w14:paraId="2F2A6267" w14:textId="77777777">
      <w:pPr>
        <w:rPr>
          <w:lang w:val="en-GB"/>
        </w:rPr>
      </w:pPr>
    </w:p>
    <w:p w:rsidR="00C610FB" w:rsidP="00645A41" w:rsidRDefault="00EB611A" w14:paraId="080DC7FD" w14:textId="61673E2A">
      <w:pPr>
        <w:pStyle w:val="Heading2"/>
        <w:keepNext/>
        <w:keepLines/>
      </w:pPr>
      <w:r>
        <w:t xml:space="preserve">Zákonodárci EU musí využít připravovaný akt o akcelerátoru dekarbonizace průmyslu </w:t>
      </w:r>
      <w:r w:rsidR="00645A41">
        <w:t>k </w:t>
      </w:r>
      <w:r>
        <w:t>zajištění udržitelnosti alternativních obchodních modelů a modelů oběhového hospodářství tím, že podnikům, které se věnují transformaci, nabídnou urychlené povolování, finanční podporu a politickou podporu. Návrh aktu o oběhovém hospodářství by měl vyslat jasný signál podpory oběhovým podnikům a ujistit investory, že EU je ideálním prostředím pro vývoj čistých řešení.</w:t>
      </w:r>
    </w:p>
    <w:p w:rsidR="00C610FB" w:rsidP="00FE40FE" w:rsidRDefault="00C610FB" w14:paraId="13BDDBBA" w14:textId="77777777">
      <w:pPr>
        <w:rPr>
          <w:lang w:val="en-GB"/>
        </w:rPr>
      </w:pPr>
    </w:p>
    <w:p w:rsidR="00C610FB" w:rsidP="00FE40FE" w:rsidRDefault="00EB611A" w14:paraId="75A3257D" w14:textId="77777777">
      <w:pPr>
        <w:pStyle w:val="Heading2"/>
      </w:pPr>
      <w:r>
        <w:lastRenderedPageBreak/>
        <w:t>V zájmu posílení sociálního aspektu jednotného trhu musí být součástí procesu reindustrializace sociální dialog včetně kolektivního vyjednávání.</w:t>
      </w:r>
    </w:p>
    <w:p w:rsidR="00C610FB" w:rsidP="00FE40FE" w:rsidRDefault="00C610FB" w14:paraId="0EE23216" w14:textId="77777777">
      <w:pPr>
        <w:rPr>
          <w:lang w:val="en-GB"/>
        </w:rPr>
      </w:pPr>
    </w:p>
    <w:p w:rsidR="00C610FB" w:rsidP="00FE40FE" w:rsidRDefault="00EB611A" w14:paraId="16A82B45" w14:textId="77777777">
      <w:pPr>
        <w:pStyle w:val="Heading2"/>
      </w:pPr>
      <w:r>
        <w:t>Reindustrializace vyžaduje specializovaný inovační program s konkrétními cíli, které zahrnou jak stávající průmyslová odvětví, tak nový vývoj, a budou vycházet ze sociálního dialogu. Tento program vyžaduje veřejné investice, které musí být spojeny se sociální podmíněností dle Dohody o čistém průmyslu.</w:t>
      </w:r>
    </w:p>
    <w:p w:rsidR="00C610FB" w:rsidP="00FE40FE" w:rsidRDefault="00C610FB" w14:paraId="4C90AF29" w14:textId="77777777">
      <w:pPr>
        <w:pStyle w:val="Heading2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659CA177" w14:textId="77777777">
      <w:pPr>
        <w:pStyle w:val="Heading2"/>
      </w:pPr>
      <w:r>
        <w:t>EHSV navrhuje, aby EU podpořila programy partnerství veřejného a soukromého sektoru na podporu průmyslových investic, přičemž by existovala zvláštní část podporující podnikání mladých lidí ve zpracovatelském průmyslu. Takový program by měl podporovat spolupráci mezi veřejnými institucemi a soukromými společnostmi s cílem urychlit inovace a uvádění nových technologií na trh.</w:t>
      </w:r>
    </w:p>
    <w:p w:rsidR="00C610FB" w:rsidP="00FE40FE" w:rsidRDefault="00C610FB" w14:paraId="44EB4FCF" w14:textId="77777777">
      <w:pPr>
        <w:rPr>
          <w:lang w:val="en-GB"/>
        </w:rPr>
      </w:pPr>
    </w:p>
    <w:p w:rsidR="00C610FB" w:rsidP="00FE40FE" w:rsidRDefault="00EB611A" w14:paraId="1261A287" w14:textId="6DCD39E3">
      <w:pPr>
        <w:pStyle w:val="Heading2"/>
      </w:pPr>
      <w:r>
        <w:t xml:space="preserve">EHSV žádá, aby připravovaný návrh Komise o unii dovedností umožnil přímé uznávání </w:t>
      </w:r>
      <w:r w:rsidR="00645A41">
        <w:t>a </w:t>
      </w:r>
      <w:r>
        <w:t xml:space="preserve">potvrzování dovedností pracovníků v celé EU poté, co byly uznány veřejnými orgány jednoho členského státu, což by snížilo byrokratickou zátěž. Komise musí zahájit celounijní program na podporu průmyslového a spravedlivě placeného učňovského vzdělávání u mladších generací, </w:t>
      </w:r>
      <w:r w:rsidR="00645A41">
        <w:t>a </w:t>
      </w:r>
      <w:r>
        <w:t>podpořit tak odolnější pracovní sílu. Měla by také poskytnout nástroje pro předvídání a řízení změn a v rámci sociálního dialogu nabídnout postup spravedlivé transformace, který bude zahrnovat prohlubování dovedností a změnu kvalifikace pracovníků.</w:t>
      </w:r>
    </w:p>
    <w:p w:rsidR="00C610FB" w:rsidP="00FE40FE" w:rsidRDefault="00C610FB" w14:paraId="46A4BEDA" w14:textId="77777777">
      <w:pPr>
        <w:rPr>
          <w:lang w:val="en-GB"/>
        </w:rPr>
      </w:pPr>
    </w:p>
    <w:p w:rsidR="00C610FB" w:rsidP="00FE40FE" w:rsidRDefault="00EB611A" w14:paraId="393A98AC" w14:textId="77777777">
      <w:pPr>
        <w:pStyle w:val="Heading2"/>
      </w:pPr>
      <w:r>
        <w:t>Systém zadávání ekologicky čistých veřejných zakázek je příležitostí, jak nediskriminačním způsobem podpořit a ocenit úsilí podniků EU o udržitelnost.</w:t>
      </w:r>
    </w:p>
    <w:p w:rsidR="00C610FB" w:rsidP="00FE40FE" w:rsidRDefault="00C610FB" w14:paraId="17FFD268" w14:textId="77777777">
      <w:pPr>
        <w:rPr>
          <w:lang w:val="en-GB"/>
        </w:rPr>
      </w:pPr>
    </w:p>
    <w:p w:rsidR="00C610FB" w:rsidP="00FE40FE" w:rsidRDefault="00EB611A" w14:paraId="4C37A40A" w14:textId="77777777">
      <w:pPr>
        <w:pStyle w:val="Heading2"/>
      </w:pPr>
      <w:r>
        <w:t>Vzhledem k cíli zvýšit konkurenceschopnost a udržet a rozvíjet průmyslovou výrobu v EU žádá EHSV, aby souhrnné balíčky zajistily podnikům a pracovníkům regulační soudržnost a právní jistotu, zefektivnily povolovací postupy tak, aby byly jasnější, rychlejší a předvídatelnější, snížily požadavky na podávání zpráv a zrušily podávání zpráv, které je nadbytečné. Harmonizace norem pro čisté technologie v celé EU může též podnikům usnadnit přístup na trh a dodržování předpisů.</w:t>
      </w:r>
    </w:p>
    <w:p w:rsidR="00C610FB" w:rsidP="00FE40FE" w:rsidRDefault="00C610FB" w14:paraId="0D9CFFAF" w14:textId="77777777">
      <w:pPr>
        <w:rPr>
          <w:lang w:val="en-GB"/>
        </w:rPr>
      </w:pPr>
    </w:p>
    <w:p w:rsidR="00C610FB" w:rsidP="00645A41" w:rsidRDefault="00EB611A" w14:paraId="5B098D34" w14:textId="77777777">
      <w:pPr>
        <w:pStyle w:val="Heading1"/>
        <w:keepNext/>
        <w:keepLines/>
      </w:pPr>
      <w:r>
        <w:rPr>
          <w:b/>
        </w:rPr>
        <w:t>Obecné připomínky</w:t>
      </w:r>
    </w:p>
    <w:p w:rsidR="00C610FB" w:rsidP="00645A41" w:rsidRDefault="00C610FB" w14:paraId="187AD950" w14:textId="77777777">
      <w:pPr>
        <w:keepNext/>
        <w:keepLines/>
        <w:rPr>
          <w:lang w:val="en-GB"/>
        </w:rPr>
      </w:pPr>
    </w:p>
    <w:p w:rsidR="00C610FB" w:rsidP="00645A41" w:rsidRDefault="00EB611A" w14:paraId="3BEF883C" w14:textId="37EDC1C3">
      <w:pPr>
        <w:pStyle w:val="Heading2"/>
        <w:keepNext/>
        <w:keepLines/>
      </w:pPr>
      <w:r>
        <w:t>Zatímco některé makroekonomické ukazatele by mohly naznačovat, že ekonomika EU funguje přijatelným způsobem, s nižší inflací, velmi nízkou mírou nezaměstnanosti a lepšími náklady na energie než během energetické krize v roce 2022, průzkum Evropské komise Eurobarometr</w:t>
      </w:r>
      <w:r w:rsidR="00645A41">
        <w:t> z </w:t>
      </w:r>
      <w:r>
        <w:t xml:space="preserve">podzimu 2022 zjistil, že </w:t>
      </w:r>
      <w:r>
        <w:rPr>
          <w:b/>
        </w:rPr>
        <w:t>rostoucí životní náklady</w:t>
      </w:r>
      <w:r>
        <w:t xml:space="preserve"> jsou nejpalčivějším problémem pro 93 % občanů EU</w:t>
      </w:r>
      <w:r>
        <w:rPr>
          <w:sz w:val="24"/>
          <w:szCs w:val="24"/>
          <w:vertAlign w:val="superscript"/>
          <w:lang w:val="en-GB"/>
        </w:rPr>
        <w:footnoteReference w:id="3"/>
      </w:r>
      <w:r>
        <w:t>. Tento pocit přetrvává: životní náklady (42 %) a hospodářská situace (41 %) byly hlavními tématy, která motivovala evropské občany k hlasování v</w:t>
      </w:r>
      <w:r w:rsidR="00645A41">
        <w:t> </w:t>
      </w:r>
      <w:r>
        <w:t>posledních volbách do Evropského parlamentu v červnu loňského roku</w:t>
      </w:r>
      <w:r>
        <w:rPr>
          <w:sz w:val="24"/>
          <w:szCs w:val="24"/>
          <w:vertAlign w:val="superscript"/>
          <w:lang w:val="en-GB"/>
        </w:rPr>
        <w:footnoteReference w:id="4"/>
      </w:r>
      <w:r>
        <w:t>. V nejnovějším rozsáhlém průzkumu Eurofound 2024 navíc</w:t>
      </w:r>
      <w:r>
        <w:rPr>
          <w:i/>
        </w:rPr>
        <w:t xml:space="preserve"> </w:t>
      </w:r>
      <w:r>
        <w:t xml:space="preserve">„více respondentů než v předchozím roce uvedlo, že je obtížné vyjít </w:t>
      </w:r>
      <w:r w:rsidR="00645A41">
        <w:t>s </w:t>
      </w:r>
      <w:r>
        <w:t>penězi, přičemž 30 % respondentů uvedlo, že je obtížné nebo velmi obtížné vyjít s penězi, a to oproti 22 % v roce 2023“</w:t>
      </w:r>
      <w:r>
        <w:rPr>
          <w:rStyle w:val="FootnoteReference"/>
          <w:szCs w:val="24"/>
          <w:lang w:val="en-GB"/>
        </w:rPr>
        <w:footnoteReference w:id="5"/>
      </w:r>
      <w:r>
        <w:t>.</w:t>
      </w:r>
    </w:p>
    <w:p w:rsidR="00C610FB" w:rsidP="00FE40FE" w:rsidRDefault="00C610FB" w14:paraId="6F4A4C25" w14:textId="77777777">
      <w:pPr>
        <w:rPr>
          <w:lang w:val="en-GB"/>
        </w:rPr>
      </w:pPr>
    </w:p>
    <w:p w:rsidR="00C610FB" w:rsidP="00FE40FE" w:rsidRDefault="00EB611A" w14:paraId="10582C4B" w14:textId="77777777">
      <w:pPr>
        <w:pStyle w:val="Heading2"/>
      </w:pPr>
      <w:r>
        <w:t xml:space="preserve">Evropa se v současné době potýká s </w:t>
      </w:r>
      <w:r>
        <w:rPr>
          <w:b/>
        </w:rPr>
        <w:t>dvojím problémem,</w:t>
      </w:r>
      <w:r>
        <w:t xml:space="preserve"> a to s řešením krize životních nákladů a se zvrácením dlouhodobých dopadů deindustrializace. Oba problémy jsou vzájemně úzce propojeny a mají značné důsledky pro podniky, pracovníky a občany v celé Unii.</w:t>
      </w:r>
    </w:p>
    <w:p w:rsidR="00C610FB" w:rsidP="00FE40FE" w:rsidRDefault="00C610FB" w14:paraId="21A7EEAC" w14:textId="77777777">
      <w:pPr>
        <w:rPr>
          <w:lang w:val="en-GB"/>
        </w:rPr>
      </w:pPr>
    </w:p>
    <w:p w:rsidR="00C610FB" w:rsidP="00FE40FE" w:rsidRDefault="00EB611A" w14:paraId="427C0384" w14:textId="77777777">
      <w:pPr>
        <w:pStyle w:val="Heading2"/>
        <w:keepNext/>
        <w:keepLines/>
      </w:pPr>
      <w:r>
        <w:t xml:space="preserve">Hlavní příčiny </w:t>
      </w:r>
      <w:r>
        <w:rPr>
          <w:b/>
        </w:rPr>
        <w:t>krize životních nákladů</w:t>
      </w:r>
      <w:r>
        <w:t xml:space="preserve"> jsou tyto:</w:t>
      </w:r>
    </w:p>
    <w:p w:rsidR="00C610FB" w:rsidP="00FE40FE" w:rsidRDefault="00C610FB" w14:paraId="2A9FC049" w14:textId="77777777">
      <w:pPr>
        <w:keepNext/>
        <w:keepLines/>
        <w:rPr>
          <w:lang w:val="en-GB"/>
        </w:rPr>
      </w:pPr>
    </w:p>
    <w:p w:rsidR="00C610FB" w:rsidP="00FE40FE" w:rsidRDefault="00EB611A" w14:paraId="4DA0887C" w14:textId="43531C46">
      <w:pPr>
        <w:pStyle w:val="Heading3"/>
      </w:pPr>
      <w:r>
        <w:t xml:space="preserve">v roce 2021 se v důsledku rychlého hospodářského oživení po období COVID-19 zvýšila </w:t>
      </w:r>
      <w:r>
        <w:rPr>
          <w:b/>
        </w:rPr>
        <w:t xml:space="preserve">inflace </w:t>
      </w:r>
      <w:r>
        <w:t>a dosáhla 2,9 %. V důsledku války na Ukrajině a energetické krize se míra inflace</w:t>
      </w:r>
      <w:r w:rsidR="00645A41">
        <w:t> </w:t>
      </w:r>
      <w:r>
        <w:t>v</w:t>
      </w:r>
      <w:r w:rsidR="00645A41">
        <w:t> </w:t>
      </w:r>
      <w:r>
        <w:t>roce</w:t>
      </w:r>
      <w:r w:rsidR="00645A41">
        <w:t> </w:t>
      </w:r>
      <w:r>
        <w:t>2022 zvýšila na 9,2 %. Poté mírně klesla na 6,4 % a v roce 2024 se zmírnila na 2,6 %. Pocit inflace je však velmi silný, protože zboží z nákupního koše domácností má trvale vzestupnou tendenci</w:t>
      </w:r>
      <w:r>
        <w:rPr>
          <w:sz w:val="24"/>
          <w:szCs w:val="24"/>
          <w:vertAlign w:val="superscript"/>
          <w:lang w:val="en-GB"/>
        </w:rPr>
        <w:footnoteReference w:id="6"/>
      </w:r>
      <w:r>
        <w:t>. Výrazně to narušilo kupní sílu, což způsobilo obrovský finanční tlak na domácnosti se středními a nízkými příjmy.</w:t>
      </w:r>
    </w:p>
    <w:p w:rsidR="00C610FB" w:rsidP="00FE40FE" w:rsidRDefault="00C610FB" w14:paraId="22A0E054" w14:textId="77777777">
      <w:pPr>
        <w:rPr>
          <w:lang w:val="en-GB"/>
        </w:rPr>
      </w:pPr>
    </w:p>
    <w:p w:rsidR="00C610FB" w:rsidP="00FE40FE" w:rsidRDefault="00EB611A" w14:paraId="10CAC3D8" w14:textId="7E2064BB">
      <w:pPr>
        <w:pStyle w:val="Heading3"/>
      </w:pPr>
      <w:r>
        <w:t xml:space="preserve">Přestože velkoobchodní </w:t>
      </w:r>
      <w:r>
        <w:rPr>
          <w:b/>
        </w:rPr>
        <w:t>ceny elektřiny a plynu</w:t>
      </w:r>
      <w:r>
        <w:t xml:space="preserve"> od konce roku 2022 výrazně klesly, zůstávají přibližně na dvojnásobku historické úrovně, přičemž výkyvy jsou ovlivněny regulačními opatřeními, podmínkami na trhu a pokračujícím geopolitickým napětím</w:t>
      </w:r>
      <w:r>
        <w:rPr>
          <w:rStyle w:val="FootnoteReference"/>
          <w:lang w:val="en-GB"/>
        </w:rPr>
        <w:footnoteReference w:id="7"/>
      </w:r>
      <w:r>
        <w:t>. Nedávná reforma trhu s elektřinou nepřinesla kýžený výsledek, neboť žebříček nabídkových cen (systém mezních cen) brání spotřebitelům plně využívat výhod plynoucích ze zavádění energie z obnovitelných zdrojů. Draghiho zpráva ukazuje velký rozdíl v cenách elektřiny a plynu mezi EU a USA</w:t>
      </w:r>
      <w:r>
        <w:rPr>
          <w:sz w:val="24"/>
          <w:szCs w:val="24"/>
          <w:vertAlign w:val="superscript"/>
          <w:lang w:val="en-GB"/>
        </w:rPr>
        <w:footnoteReference w:id="8"/>
      </w:r>
      <w:r>
        <w:t xml:space="preserve">. Náklady na energii jsou i nadále problémem nejen pro průmysl, který patří vedle dopravy </w:t>
      </w:r>
      <w:r w:rsidR="00645A41">
        <w:t>k </w:t>
      </w:r>
      <w:r>
        <w:t>největším spotřebitelům energie, ale také pro nejzranitelnější domácnosti.</w:t>
      </w:r>
    </w:p>
    <w:p w:rsidR="00C610FB" w:rsidP="00FE40FE" w:rsidRDefault="00C610FB" w14:paraId="4DC7FA54" w14:textId="77777777">
      <w:pPr>
        <w:rPr>
          <w:lang w:val="en-GB"/>
        </w:rPr>
      </w:pPr>
    </w:p>
    <w:p w:rsidR="00C610FB" w:rsidP="00645A41" w:rsidRDefault="00EB611A" w14:paraId="0BDB3F96" w14:textId="0FD0BECD">
      <w:pPr>
        <w:pStyle w:val="Heading3"/>
        <w:keepNext/>
        <w:keepLines/>
      </w:pPr>
      <w:r>
        <w:t xml:space="preserve">Dopad na </w:t>
      </w:r>
      <w:r>
        <w:rPr>
          <w:b/>
        </w:rPr>
        <w:t>hospodářskou nerovnost</w:t>
      </w:r>
      <w:r>
        <w:t xml:space="preserve"> byl různý a měl více rozměrů: týkal se příjmů, přístupu ke zdravotní péči a vzdělávání. Reálné mzdy v roce 2024 v EU se stále odhadují o 1,1 % níže než </w:t>
      </w:r>
      <w:r w:rsidR="00645A41">
        <w:t>v </w:t>
      </w:r>
      <w:r>
        <w:t>roce 2019. Mnoho nízko</w:t>
      </w:r>
      <w:r w:rsidR="00FE40FE">
        <w:t xml:space="preserve"> </w:t>
      </w:r>
      <w:r>
        <w:t>- a středněpříjmových domácností stále pociťuje negativní vlivy období vysoké inflace na jejich kupní sílu. Ve srovnání s úrovněmi před rokem 2022 zůstává vysoká zejména míra materiální a sociální deprivace a finanční tísně pracovníků</w:t>
      </w:r>
      <w:r>
        <w:rPr>
          <w:rStyle w:val="FootnoteReference"/>
          <w:iCs/>
          <w:lang w:val="en-GB"/>
        </w:rPr>
        <w:footnoteReference w:id="9"/>
      </w:r>
      <w:r>
        <w:t>. Zároveň byly některé společenské skupiny postiženy více než jiné. Nejvíce utrpěla pracovní místa s nízkou kvalifikací, ženy a mladí lidé. Dlouhodobé dopady je třeba ještě prozkoumat</w:t>
      </w:r>
      <w:r>
        <w:rPr>
          <w:sz w:val="24"/>
          <w:szCs w:val="24"/>
          <w:vertAlign w:val="superscript"/>
          <w:lang w:val="en-GB"/>
        </w:rPr>
        <w:footnoteReference w:id="10"/>
      </w:r>
      <w:r>
        <w:t>.</w:t>
      </w:r>
    </w:p>
    <w:p w:rsidR="00C610FB" w:rsidP="00645A41" w:rsidRDefault="00C610FB" w14:paraId="75231383" w14:textId="77777777">
      <w:pPr>
        <w:keepNext/>
        <w:keepLines/>
        <w:rPr>
          <w:lang w:val="en-GB"/>
        </w:rPr>
      </w:pPr>
    </w:p>
    <w:p w:rsidR="00C610FB" w:rsidP="00645A41" w:rsidRDefault="00EB611A" w14:paraId="5DB0875E" w14:textId="77777777">
      <w:pPr>
        <w:pStyle w:val="Heading3"/>
        <w:keepNext/>
        <w:keepLines/>
      </w:pPr>
      <w:r>
        <w:t xml:space="preserve">Krize životních nákladů, prudce stoupající ceny energií a dopad pandemie COVID-19 zhoršily problémy s </w:t>
      </w:r>
      <w:r>
        <w:rPr>
          <w:b/>
        </w:rPr>
        <w:t>cenovou dostupností bydlení</w:t>
      </w:r>
      <w:r>
        <w:t xml:space="preserve">. Kromě toho stojí za zvýšením nákladů na bydlení strukturální faktory, jako je urbanizace, demografické změny a spekulativní investice do </w:t>
      </w:r>
      <w:r>
        <w:lastRenderedPageBreak/>
        <w:t>nemovitostí</w:t>
      </w:r>
      <w:r>
        <w:rPr>
          <w:rStyle w:val="FootnoteReference"/>
          <w:lang w:val="en-GB"/>
        </w:rPr>
        <w:footnoteReference w:id="11"/>
      </w:r>
      <w:r>
        <w:t>. Nadměrné náklady na bydlení se dotýkají nejen domácností s nízkými příjmy, ale i domácností s příjmy středními a mladých lidí. Cenově dostupné bydlení je pro mladé lidi pravděpodobně hlavním problémem, který jim brání v zahájení samostatného života. Ačkoli na konci roku 2023 byla situace na trhu práce pro mladé lidi příznivější než v posledních letech, na jejich cestě k nezávislosti zůstávalo mnoho překážek, jako jsou například rostoucí životní náklady a neschopnost odstěhovat se z domova rodičů</w:t>
      </w:r>
      <w:r>
        <w:rPr>
          <w:sz w:val="24"/>
          <w:szCs w:val="24"/>
          <w:vertAlign w:val="superscript"/>
          <w:lang w:val="en-GB"/>
        </w:rPr>
        <w:footnoteReference w:id="12"/>
      </w:r>
      <w:r>
        <w:t>.</w:t>
      </w:r>
    </w:p>
    <w:p w:rsidR="00C610FB" w:rsidP="00FE40FE" w:rsidRDefault="00C610FB" w14:paraId="584607E0" w14:textId="77777777">
      <w:pPr>
        <w:rPr>
          <w:lang w:val="en-GB"/>
        </w:rPr>
      </w:pPr>
    </w:p>
    <w:p w:rsidR="00C610FB" w:rsidP="00FE40FE" w:rsidRDefault="00EB611A" w14:paraId="11A8F757" w14:textId="77777777">
      <w:pPr>
        <w:pStyle w:val="Heading2"/>
        <w:keepNext/>
      </w:pPr>
      <w:r>
        <w:rPr>
          <w:b/>
        </w:rPr>
        <w:t>Deindustrializace</w:t>
      </w:r>
      <w:r>
        <w:t xml:space="preserve"> v Evropě</w:t>
      </w:r>
    </w:p>
    <w:p w:rsidR="00C610FB" w:rsidP="00FE40FE" w:rsidRDefault="00C610FB" w14:paraId="1A258BB7" w14:textId="77777777">
      <w:pPr>
        <w:keepNext/>
        <w:rPr>
          <w:lang w:val="en-GB"/>
        </w:rPr>
      </w:pPr>
    </w:p>
    <w:p w:rsidR="00C610FB" w:rsidP="00FE40FE" w:rsidRDefault="00EB611A" w14:paraId="2D6DAD6B" w14:textId="77777777">
      <w:r>
        <w:t>V posledních několika desetiletích prochází Evropa stále probíhajícím procesem deindustrializace, který se vyznačuje trvalým poklesem podílu výroby na ekonomice jako celku. V posledních letech se podíl průmyslu na HDP snížil z 21,0 % v roce 2005 na 18,5 % v roce 2022</w:t>
      </w:r>
      <w:r>
        <w:rPr>
          <w:rStyle w:val="FootnoteReference"/>
          <w:lang w:val="en-GB"/>
        </w:rPr>
        <w:footnoteReference w:id="13"/>
      </w:r>
      <w:r>
        <w:t>. Od roku 2008 dochází na celém kontinentu k nezadržitelnému poklesu pracovních míst ve výrobě a dopad se netýká jen pozic s nízkou kvalifikací, ale i vysoce kvalifikovaných odborníků</w:t>
      </w:r>
      <w:r>
        <w:rPr>
          <w:rStyle w:val="FootnoteReference"/>
          <w:lang w:val="en-GB"/>
        </w:rPr>
        <w:footnoteReference w:id="14"/>
      </w:r>
      <w:r>
        <w:t>. Tato změna byla způsobena několika faktory:</w:t>
      </w:r>
    </w:p>
    <w:p w:rsidR="00C610FB" w:rsidP="00FE40FE" w:rsidRDefault="00C610FB" w14:paraId="63A2B5B7" w14:textId="77777777">
      <w:pPr>
        <w:rPr>
          <w:lang w:val="en-GB"/>
        </w:rPr>
      </w:pPr>
    </w:p>
    <w:p w:rsidR="00C610FB" w:rsidP="00FE40FE" w:rsidRDefault="00EB611A" w14:paraId="74221122" w14:textId="6E9CC95E">
      <w:pPr>
        <w:pStyle w:val="Heading3"/>
      </w:pPr>
      <w:r>
        <w:t xml:space="preserve">globalizací: společnosti tradičně snižovaly náklady využitím externích dodavatelských řetězců </w:t>
      </w:r>
      <w:r w:rsidR="00645A41">
        <w:t>a </w:t>
      </w:r>
      <w:r>
        <w:t xml:space="preserve">přesunem svých výrobních kapacit do jiných lokalit. Přesun výroby do regionů s nižšími náklady na pracovní sílu měl za následek offshoring výroby, což vedlo k uzavírání továren </w:t>
      </w:r>
      <w:r w:rsidR="00645A41">
        <w:t>a </w:t>
      </w:r>
      <w:r>
        <w:t>ztrátám pracovních míst v Evropě.</w:t>
      </w:r>
    </w:p>
    <w:p w:rsidR="00C610FB" w:rsidP="00FE40FE" w:rsidRDefault="00C610FB" w14:paraId="59F83585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222A0603" w14:textId="18AAE32E">
      <w:pPr>
        <w:pStyle w:val="Heading3"/>
      </w:pPr>
      <w:r>
        <w:t xml:space="preserve">Zpožděními při technologické adaptaci a nedostatečnými investicemi do inovací: pokrok </w:t>
      </w:r>
      <w:r w:rsidR="00645A41">
        <w:t>v </w:t>
      </w:r>
      <w:r>
        <w:t>automatizaci a digitalizaci snížil poptávku po tradičních pracovních místech v průmyslu, což způsobilo nesoulad mezi dovednostmi pracovní síly a potřebami moderních průmyslových odvětví.</w:t>
      </w:r>
    </w:p>
    <w:p w:rsidR="00C610FB" w:rsidP="00FE40FE" w:rsidRDefault="00C610FB" w14:paraId="41355AA3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36E2E5E0" w14:textId="77777777">
      <w:pPr>
        <w:pStyle w:val="Heading3"/>
      </w:pPr>
      <w:r>
        <w:t xml:space="preserve">Zaměřením politiky na služby: mnohá evropská hospodářství čím dál více upřednostňují odvětví zaměřená na služby, což v některých případech vedlo k menšímu zaměření na tradiční výrobu. Tento posun přispěl k poklesu průmyslové činnosti a dokládá potřebu vyváženějšího politického přístupu. </w:t>
      </w:r>
    </w:p>
    <w:p w:rsidR="00C610FB" w:rsidP="00FE40FE" w:rsidRDefault="00C610FB" w14:paraId="399980DE" w14:textId="77777777">
      <w:pPr>
        <w:rPr>
          <w:lang w:val="en-GB"/>
        </w:rPr>
      </w:pPr>
    </w:p>
    <w:p w:rsidR="00C610FB" w:rsidP="00FE40FE" w:rsidRDefault="00EB611A" w14:paraId="50F18ADB" w14:textId="77777777">
      <w:pPr>
        <w:pStyle w:val="Heading3"/>
        <w:jc w:val="left"/>
      </w:pPr>
      <w:r>
        <w:t>Na deindustrializačních procesech se výrazně podílela také obchodní a průmyslová politika EU, její politika environmentální a regulační, demografické změny či nedostatek pracovních sil, nedostatek odpovídajících investic a klesající konkurenceschopnost.</w:t>
      </w:r>
    </w:p>
    <w:p w:rsidR="00C610FB" w:rsidP="00FE40FE" w:rsidRDefault="00C610FB" w14:paraId="5D68D4F7" w14:textId="77777777">
      <w:pPr>
        <w:rPr>
          <w:lang w:val="en-GB"/>
        </w:rPr>
      </w:pPr>
    </w:p>
    <w:p w:rsidR="00C610FB" w:rsidP="00FE40FE" w:rsidRDefault="00EB611A" w14:paraId="19BEE6AB" w14:textId="77777777">
      <w:pPr>
        <w:pStyle w:val="Heading3"/>
      </w:pPr>
      <w:r>
        <w:t>Důsledky deindustrializace jsou dalekosáhlé. Regiony, které kdysi prosperovaly díky výrobě, zažívají hospodářskou stagnaci, vyšší míru nezaměstnanosti a prohlubující se regionální rozdíly. Ztráta průmyslových kapacit rovněž zvýšila závislost Evropy na dovozu, což tento kontinent vystavuje zranitelnosti globálních dodavatelských řetězců a energetických trhů, jak ukázaly zkušenosti z pandemie COVID-19.</w:t>
      </w:r>
    </w:p>
    <w:p w:rsidR="00C610FB" w:rsidP="00FE40FE" w:rsidRDefault="00C610FB" w14:paraId="4BA3E6EB" w14:textId="77777777">
      <w:pPr>
        <w:rPr>
          <w:lang w:val="en-GB"/>
        </w:rPr>
      </w:pPr>
    </w:p>
    <w:p w:rsidR="00C610FB" w:rsidP="00FE40FE" w:rsidRDefault="00EB611A" w14:paraId="69DE9312" w14:textId="77777777">
      <w:pPr>
        <w:pStyle w:val="Heading2"/>
        <w:keepNext/>
        <w:keepLines/>
      </w:pPr>
      <w:r>
        <w:rPr>
          <w:b/>
        </w:rPr>
        <w:t>Průmysl se vrací na politický program</w:t>
      </w:r>
    </w:p>
    <w:p w:rsidR="00C610FB" w:rsidP="00FE40FE" w:rsidRDefault="00C610FB" w14:paraId="1ABD013E" w14:textId="77777777">
      <w:pPr>
        <w:keepNext/>
        <w:keepLines/>
        <w:rPr>
          <w:lang w:val="en-GB"/>
        </w:rPr>
      </w:pPr>
    </w:p>
    <w:p w:rsidR="00C610FB" w:rsidP="00FE40FE" w:rsidRDefault="00EB611A" w14:paraId="5FE569FC" w14:textId="77777777">
      <w:pPr>
        <w:keepNext/>
        <w:keepLines/>
      </w:pPr>
      <w:r>
        <w:t>Nejlepší volbou by byla reindustrializace, která nabízí strategickou cestu k:</w:t>
      </w:r>
    </w:p>
    <w:p w:rsidR="00C610FB" w:rsidP="00FE40FE" w:rsidRDefault="00C610FB" w14:paraId="7F1FC6CE" w14:textId="77777777">
      <w:pPr>
        <w:keepNext/>
        <w:keepLines/>
        <w:rPr>
          <w:lang w:val="en-GB"/>
        </w:rPr>
      </w:pPr>
    </w:p>
    <w:p w:rsidR="00C610FB" w:rsidP="00FE40FE" w:rsidRDefault="00EB611A" w14:paraId="011ABA03" w14:textId="43E4B6B4">
      <w:pPr>
        <w:pStyle w:val="Heading3"/>
      </w:pPr>
      <w:r>
        <w:t>posílení hospodářské odolnosti: zvyšování celkových nákladů na vlastnictví, rostoucí mzdy, a</w:t>
      </w:r>
      <w:r w:rsidR="00940CCA">
        <w:t> </w:t>
      </w:r>
      <w:r>
        <w:t>to</w:t>
      </w:r>
      <w:r w:rsidR="00940CCA">
        <w:t> </w:t>
      </w:r>
      <w:r>
        <w:t xml:space="preserve">i v zemích mimo EU, zvyšující se náklady na dopravu, vyšší dovozní cla a náklady, jakož </w:t>
      </w:r>
      <w:r w:rsidR="00645A41">
        <w:t>i </w:t>
      </w:r>
      <w:r>
        <w:t xml:space="preserve">možné narušení dodávek, to vše snižuje obvyklé nákladové zvýhodnění externě zajišťovaných dodavatelských řetězců. Zvýšením místní výroby a snížením závislosti na nestabilních globálních dodavatelských řetězcích může Evropa posílit svou hospodářskou stabilitu </w:t>
      </w:r>
      <w:r w:rsidR="00645A41">
        <w:t>a </w:t>
      </w:r>
      <w:r>
        <w:t xml:space="preserve">strategickou autonomii. </w:t>
      </w:r>
    </w:p>
    <w:p w:rsidR="00C610FB" w:rsidP="00FE40FE" w:rsidRDefault="00C610FB" w14:paraId="795EAB3A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3FDBBB5E" w14:textId="40ACB148">
      <w:pPr>
        <w:pStyle w:val="Heading3"/>
      </w:pPr>
      <w:r>
        <w:t>Podpoře inovací: průmysl je hlavní hnací silou inovací výrobků, procesů a služeb. Nové výzvy v souvislosti s digitalizací a umělou inteligencí, robotikou a oběhovým hospodářstvím představují pro EU zásadní příležitost. Nastupující reindustrializaci nyní formuje průmysl</w:t>
      </w:r>
      <w:r w:rsidR="00BE2FB1">
        <w:t> </w:t>
      </w:r>
      <w:r>
        <w:t>5.0. Cílem je vytvoření moderní, konkurenceschopné a udržitelné průmyslové základny.</w:t>
      </w:r>
    </w:p>
    <w:p w:rsidR="00C610FB" w:rsidP="00FE40FE" w:rsidRDefault="00C610FB" w14:paraId="6BAFEEB8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5766066C" w14:textId="68AAC852">
      <w:pPr>
        <w:pStyle w:val="Heading3"/>
      </w:pPr>
      <w:r>
        <w:t xml:space="preserve">Prosazování udržitelnosti: Integrace udržitelných postupů a oběhového hospodářství do průmyslových činností může EU pomoci dosáhnout ambiciózních cílů v oblasti klimatu </w:t>
      </w:r>
      <w:r w:rsidR="00645A41">
        <w:t>a </w:t>
      </w:r>
      <w:r>
        <w:t xml:space="preserve">zároveň snížit závislost na surovinách a vytvořit nové tržní příležitosti. </w:t>
      </w:r>
    </w:p>
    <w:p w:rsidR="00C610FB" w:rsidP="00FE40FE" w:rsidRDefault="00C610FB" w14:paraId="00114790" w14:textId="77777777">
      <w:pPr>
        <w:rPr>
          <w:lang w:val="en-GB"/>
        </w:rPr>
      </w:pPr>
    </w:p>
    <w:p w:rsidR="00C610FB" w:rsidP="00FE40FE" w:rsidRDefault="00EB611A" w14:paraId="31F30920" w14:textId="77777777">
      <w:pPr>
        <w:pStyle w:val="Heading3"/>
      </w:pPr>
      <w:r>
        <w:t xml:space="preserve">Poskytování kvalitních a jistých pracovních míst spolu s trvalým sociálním dialogem: průmysl je hnací silou zaměstnanosti a zajišťuje sociální integraci a stabilitu. </w:t>
      </w:r>
    </w:p>
    <w:p w:rsidR="00C610FB" w:rsidP="00FE40FE" w:rsidRDefault="00C610FB" w14:paraId="53B1D1BD" w14:textId="77777777">
      <w:pPr>
        <w:rPr>
          <w:lang w:val="en-GB"/>
        </w:rPr>
      </w:pPr>
    </w:p>
    <w:p w:rsidR="00C610FB" w:rsidP="00FE40FE" w:rsidRDefault="00EB611A" w14:paraId="67C82137" w14:textId="77777777">
      <w:pPr>
        <w:pStyle w:val="Heading3"/>
      </w:pPr>
      <w:r>
        <w:t>V některých zemích se osvědčilo využití metody odkupu podniku zaměstnaneckým družstvem (cooperative workers’ buyout, WBO), která by se mohla ujmout i v dalších členských státech EU. Při správném nastavení může tento postup ochránit pracovní místa a výrobní závody.</w:t>
      </w:r>
    </w:p>
    <w:p w:rsidR="00C610FB" w:rsidP="00FE40FE" w:rsidRDefault="00C610FB" w14:paraId="03AF27DB" w14:textId="77777777">
      <w:pPr>
        <w:rPr>
          <w:lang w:val="en-GB"/>
        </w:rPr>
      </w:pPr>
    </w:p>
    <w:p w:rsidR="00C610FB" w:rsidP="00FE40FE" w:rsidRDefault="00EB611A" w14:paraId="7198AD1C" w14:textId="77777777">
      <w:pPr>
        <w:pStyle w:val="Heading2"/>
        <w:keepNext/>
        <w:keepLines/>
      </w:pPr>
      <w:r>
        <w:rPr>
          <w:b/>
        </w:rPr>
        <w:t>Strategické politické souvislosti</w:t>
      </w:r>
      <w:r>
        <w:t>:</w:t>
      </w:r>
    </w:p>
    <w:p w:rsidR="00C610FB" w:rsidP="00FE40FE" w:rsidRDefault="00C610FB" w14:paraId="0935FFFD" w14:textId="77777777">
      <w:pPr>
        <w:keepNext/>
        <w:keepLines/>
        <w:rPr>
          <w:lang w:val="en-GB"/>
        </w:rPr>
      </w:pPr>
    </w:p>
    <w:p w:rsidR="00C610FB" w:rsidP="00FE40FE" w:rsidRDefault="00EB611A" w14:paraId="77AA4747" w14:textId="52A535E2">
      <w:r>
        <w:t xml:space="preserve">Prostřednictvím politických iniciativ v souladu s Draghiho zprávou o konkurenceschopnosti EU </w:t>
      </w:r>
      <w:r w:rsidR="00645A41">
        <w:t>a </w:t>
      </w:r>
      <w:r>
        <w:t>iniciativami Evropské komise musí průmysl EU překonat rozdíl oproti svým hlavním obchodním partnerům, jako jsou USA a Čína.</w:t>
      </w:r>
    </w:p>
    <w:p w:rsidR="00C610FB" w:rsidP="00FE40FE" w:rsidRDefault="00C610FB" w14:paraId="5A7D5BBD" w14:textId="77777777">
      <w:pPr>
        <w:rPr>
          <w:lang w:val="en-GB"/>
        </w:rPr>
      </w:pPr>
    </w:p>
    <w:p w:rsidR="00C610FB" w:rsidP="00FE40FE" w:rsidRDefault="00EB611A" w14:paraId="16353FB3" w14:textId="1D9A6167">
      <w:pPr>
        <w:pStyle w:val="Heading3"/>
      </w:pPr>
      <w:r>
        <w:t xml:space="preserve">Dohoda o čistém průmyslu navrhuje jasnou cestu, jak se zaměřit na dekarbonizaci, čisté technologie a stimulaci investic. Komise pomůže vytvořit regulační rámec přispívající k růstu </w:t>
      </w:r>
      <w:r w:rsidR="00645A41">
        <w:t>a </w:t>
      </w:r>
      <w:r>
        <w:t xml:space="preserve">podpoří průmysl v jeho úsilí o inovace, rozšiřování, výrobu produktů a poskytování služeb, přičemž bude spolupracovat se všemi zúčastněnými stranami, aby zajistila cílená řešení pro každý hodnotový řetězec. </w:t>
      </w:r>
    </w:p>
    <w:p w:rsidR="00C610FB" w:rsidP="00FE40FE" w:rsidRDefault="00C610FB" w14:paraId="13D967EF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1674EE41" w14:textId="2A2A906D">
      <w:pPr>
        <w:pStyle w:val="Heading3"/>
      </w:pPr>
      <w:r>
        <w:t xml:space="preserve">„Kompas konkurenceschopnosti“ vychází z doporučení uvedených ve zprávě Maria Draghiho </w:t>
      </w:r>
      <w:r w:rsidR="00645A41">
        <w:t>o </w:t>
      </w:r>
      <w:r>
        <w:t xml:space="preserve">budoucnosti evropské konkurenceschopnosti a vymezuje tři hlavní oblasti činnosti: inovace, dekarbonizaci a konkurenceschopnost, bezpečnost a odolnost, a pět průřezových činností: zjednodušení, snížení překážek jednotného trhu, financování konkurenceschopnosti, podporu dovedností a kvalitních pracovních míst a harmonizaci a koordinaci politik na úrovni EU a na vnitrostátní úrovni. Přinese „nebývalé“ snížení byrokracie se zvláštním zaměřením na evropské malé a střední podniky a bude zahrnovat nástroj pro koordinaci konkurenceschopnosti, který pomůže členským státům spolupracovat na projektech společného strategického zájmu. </w:t>
      </w:r>
    </w:p>
    <w:p w:rsidR="00C610FB" w:rsidP="00FE40FE" w:rsidRDefault="00C610FB" w14:paraId="1EE4F075" w14:textId="77777777">
      <w:pPr>
        <w:rPr>
          <w:lang w:val="en-GB"/>
        </w:rPr>
      </w:pPr>
    </w:p>
    <w:p w:rsidR="00C610FB" w:rsidP="00FE40FE" w:rsidRDefault="00EB611A" w14:paraId="4FE97EDC" w14:textId="77777777">
      <w:pPr>
        <w:pStyle w:val="Heading1"/>
        <w:keepNext/>
      </w:pPr>
      <w:r>
        <w:rPr>
          <w:b/>
        </w:rPr>
        <w:t>Konkrétní připomínky</w:t>
      </w:r>
    </w:p>
    <w:p w:rsidR="00C610FB" w:rsidP="00FE40FE" w:rsidRDefault="00C610FB" w14:paraId="4BB4AD44" w14:textId="77777777">
      <w:pPr>
        <w:keepNext/>
        <w:rPr>
          <w:lang w:val="en-GB"/>
        </w:rPr>
      </w:pPr>
    </w:p>
    <w:p w:rsidR="00C610FB" w:rsidP="00FE40FE" w:rsidRDefault="00EB611A" w14:paraId="6D67E065" w14:textId="77777777">
      <w:pPr>
        <w:pStyle w:val="Heading2"/>
      </w:pPr>
      <w:r>
        <w:t>Tím, že bude Evropa řešit hlavní příčiny deindustrializace a krize životních nákladů, může využít tento okamžik k oživení svého hospodářství, posílení své pracovní síly a zlepšení kvality života svých občanů. Zde je několik klíčových aspektů a příležitostí:</w:t>
      </w:r>
    </w:p>
    <w:p w:rsidR="00C610FB" w:rsidP="00FE40FE" w:rsidRDefault="00C610FB" w14:paraId="4518629A" w14:textId="77777777">
      <w:pPr>
        <w:rPr>
          <w:lang w:val="en-GB"/>
        </w:rPr>
      </w:pPr>
    </w:p>
    <w:p w:rsidR="00C610FB" w:rsidP="00FE40FE" w:rsidRDefault="005E27AD" w14:paraId="538B749A" w14:textId="1AE565AC">
      <w:pPr>
        <w:pStyle w:val="Heading3"/>
        <w:keepNext/>
        <w:keepLines/>
        <w:numPr>
          <w:ilvl w:val="0"/>
          <w:numId w:val="0"/>
        </w:numPr>
      </w:pPr>
      <w:r>
        <w:t>p</w:t>
      </w:r>
      <w:r w:rsidR="00EB611A">
        <w:t>ro podniky:</w:t>
      </w:r>
    </w:p>
    <w:p w:rsidR="00C610FB" w:rsidP="00FE40FE" w:rsidRDefault="00C610FB" w14:paraId="28051CCD" w14:textId="77777777">
      <w:pPr>
        <w:keepNext/>
        <w:keepLines/>
        <w:rPr>
          <w:lang w:val="en-GB"/>
        </w:rPr>
      </w:pPr>
    </w:p>
    <w:p w:rsidR="00C610FB" w:rsidP="00FE40FE" w:rsidRDefault="00EB611A" w14:paraId="672EAAAE" w14:textId="77777777">
      <w:pPr>
        <w:pStyle w:val="Heading3"/>
      </w:pPr>
      <w:r>
        <w:t xml:space="preserve">Reindustrializace nabízí příležitost využít vyspělé technologie, podpořit </w:t>
      </w:r>
      <w:r>
        <w:rPr>
          <w:b/>
        </w:rPr>
        <w:t>inovace</w:t>
      </w:r>
      <w:r>
        <w:t xml:space="preserve"> a zvýšit globální </w:t>
      </w:r>
      <w:r>
        <w:rPr>
          <w:b/>
        </w:rPr>
        <w:t>konkurenceschopnost</w:t>
      </w:r>
      <w:r>
        <w:t>. Evropský průmysl se může stát lídrem v zelené a digitální transformaci.</w:t>
      </w:r>
    </w:p>
    <w:p w:rsidR="00C610FB" w:rsidP="00FE40FE" w:rsidRDefault="00C610FB" w14:paraId="0456B69F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0DA8AA56" w14:textId="77777777">
      <w:pPr>
        <w:pStyle w:val="Heading3"/>
      </w:pPr>
      <w:r>
        <w:t xml:space="preserve">Díky obnově a relokalizaci výroby mohou podniky zmírnit rizika narušení </w:t>
      </w:r>
      <w:r>
        <w:rPr>
          <w:b/>
        </w:rPr>
        <w:t>globálních dodavatelských řetězců</w:t>
      </w:r>
      <w:r>
        <w:t xml:space="preserve"> a stabilizovat náklady.</w:t>
      </w:r>
    </w:p>
    <w:p w:rsidR="00C610FB" w:rsidP="00FE40FE" w:rsidRDefault="00C610FB" w14:paraId="1A9B5E0A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55737355" w14:textId="77777777">
      <w:pPr>
        <w:pStyle w:val="Heading3"/>
      </w:pPr>
      <w:r>
        <w:t xml:space="preserve">Přijetí </w:t>
      </w:r>
      <w:r>
        <w:rPr>
          <w:b/>
        </w:rPr>
        <w:t>udržitelných postupů</w:t>
      </w:r>
      <w:r>
        <w:t xml:space="preserve"> v souladu s cíli EU v oblasti klimatu může uvolnit nové trhy pro výrobky a služby šetrné k životnímu prostředí.</w:t>
      </w:r>
    </w:p>
    <w:p w:rsidR="00C610FB" w:rsidP="00FE40FE" w:rsidRDefault="00C610FB" w14:paraId="491C6B94" w14:textId="77777777">
      <w:pPr>
        <w:rPr>
          <w:lang w:val="en-GB"/>
        </w:rPr>
      </w:pPr>
    </w:p>
    <w:p w:rsidR="00C610FB" w:rsidP="00BE2FB1" w:rsidRDefault="00EB611A" w14:paraId="6257F597" w14:textId="77777777">
      <w:pPr>
        <w:pStyle w:val="Heading3"/>
        <w:keepNext/>
        <w:keepLines/>
        <w:numPr>
          <w:ilvl w:val="0"/>
          <w:numId w:val="0"/>
        </w:numPr>
      </w:pPr>
      <w:r>
        <w:t>Pro pracovníky:</w:t>
      </w:r>
    </w:p>
    <w:p w:rsidR="00C610FB" w:rsidP="00BE2FB1" w:rsidRDefault="00C610FB" w14:paraId="6375801D" w14:textId="77777777">
      <w:pPr>
        <w:keepNext/>
        <w:keepLines/>
        <w:rPr>
          <w:lang w:val="en-GB"/>
        </w:rPr>
      </w:pPr>
    </w:p>
    <w:p w:rsidR="00C610FB" w:rsidP="00BE2FB1" w:rsidRDefault="00EB611A" w14:paraId="2DC0C5B5" w14:textId="38938792">
      <w:pPr>
        <w:pStyle w:val="Heading3"/>
        <w:keepNext/>
        <w:keepLines/>
      </w:pPr>
      <w:r>
        <w:t xml:space="preserve">Opětovné zaměření na průmysl může zajistit </w:t>
      </w:r>
      <w:r>
        <w:rPr>
          <w:b/>
        </w:rPr>
        <w:t>dobře placená a stabilní pracovní místa</w:t>
      </w:r>
      <w:r>
        <w:t xml:space="preserve"> </w:t>
      </w:r>
      <w:r w:rsidR="00645A41">
        <w:t>v </w:t>
      </w:r>
      <w:r>
        <w:t>různých odvětvích a vyřešit problémy s nezaměstnaností, které se zhoršily v důsledku deindustrializace.</w:t>
      </w:r>
    </w:p>
    <w:p w:rsidR="00C610FB" w:rsidP="00BE2FB1" w:rsidRDefault="00C610FB" w14:paraId="576D7D2E" w14:textId="77777777">
      <w:pPr>
        <w:pStyle w:val="Heading3"/>
        <w:keepNext/>
        <w:keepLines/>
        <w:numPr>
          <w:ilvl w:val="0"/>
          <w:numId w:val="0"/>
        </w:numPr>
        <w:rPr>
          <w:lang w:val="en-GB"/>
        </w:rPr>
      </w:pPr>
    </w:p>
    <w:p w:rsidR="00C610FB" w:rsidP="00BE2FB1" w:rsidRDefault="00EB611A" w14:paraId="1E68320B" w14:textId="77777777">
      <w:pPr>
        <w:pStyle w:val="Heading3"/>
        <w:keepNext/>
        <w:keepLines/>
      </w:pPr>
      <w:r>
        <w:t xml:space="preserve">Investice do </w:t>
      </w:r>
      <w:r>
        <w:rPr>
          <w:b/>
        </w:rPr>
        <w:t>vzdělávání a odborné přípravy</w:t>
      </w:r>
      <w:r>
        <w:t xml:space="preserve"> zajišťují pracovní sílu schopnou plnit požadavky moderních průmyslových odvětví. </w:t>
      </w:r>
    </w:p>
    <w:p w:rsidR="00C610FB" w:rsidP="00FE40FE" w:rsidRDefault="00C610FB" w14:paraId="1E548BCB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2C839C46" w14:textId="77777777">
      <w:pPr>
        <w:pStyle w:val="Heading3"/>
      </w:pPr>
      <w:r>
        <w:t xml:space="preserve">Místní a odolná průmyslová odvětví poskytují </w:t>
      </w:r>
      <w:r>
        <w:rPr>
          <w:b/>
        </w:rPr>
        <w:t>stabilnější pracovní příležitosti</w:t>
      </w:r>
      <w:r>
        <w:t xml:space="preserve"> a snižují závislost na nestabilních globálních trzích.</w:t>
      </w:r>
    </w:p>
    <w:p w:rsidR="00C610FB" w:rsidP="00FE40FE" w:rsidRDefault="00C610FB" w14:paraId="500F05BE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6B5C1B78" w14:textId="0DE669D8">
      <w:pPr>
        <w:pStyle w:val="Heading3"/>
      </w:pPr>
      <w:r>
        <w:t xml:space="preserve">Zaměření na udržitelné a etické postupy může pracovníkům přinést </w:t>
      </w:r>
      <w:r>
        <w:rPr>
          <w:b/>
        </w:rPr>
        <w:t>lepší pracovní podmínky</w:t>
      </w:r>
      <w:r>
        <w:t xml:space="preserve"> </w:t>
      </w:r>
      <w:r w:rsidR="00645A41">
        <w:t>a </w:t>
      </w:r>
      <w:r>
        <w:t>jistotu zaměstnání.</w:t>
      </w:r>
    </w:p>
    <w:p w:rsidR="00C610FB" w:rsidP="00FE40FE" w:rsidRDefault="00C610FB" w14:paraId="4796B571" w14:textId="77777777">
      <w:pPr>
        <w:rPr>
          <w:lang w:val="en-GB"/>
        </w:rPr>
      </w:pPr>
    </w:p>
    <w:p w:rsidR="00C610FB" w:rsidP="00FE40FE" w:rsidRDefault="00EB611A" w14:paraId="7BBB8AC9" w14:textId="77777777">
      <w:pPr>
        <w:pStyle w:val="Heading3"/>
        <w:keepNext/>
        <w:numPr>
          <w:ilvl w:val="0"/>
          <w:numId w:val="0"/>
        </w:numPr>
      </w:pPr>
      <w:r>
        <w:t>Pro občany:</w:t>
      </w:r>
    </w:p>
    <w:p w:rsidR="00C610FB" w:rsidP="00FE40FE" w:rsidRDefault="00C610FB" w14:paraId="64C83FF2" w14:textId="77777777">
      <w:pPr>
        <w:keepNext/>
        <w:rPr>
          <w:lang w:val="en-GB"/>
        </w:rPr>
      </w:pPr>
    </w:p>
    <w:p w:rsidR="00C610FB" w:rsidP="00FE40FE" w:rsidRDefault="00EB611A" w14:paraId="714A1BB9" w14:textId="77777777">
      <w:pPr>
        <w:pStyle w:val="Heading3"/>
      </w:pPr>
      <w:r>
        <w:t xml:space="preserve">Prosperující průmyslový sektor podporuje celkovou </w:t>
      </w:r>
      <w:r>
        <w:rPr>
          <w:b/>
        </w:rPr>
        <w:t>hospodářskou stabilitu</w:t>
      </w:r>
      <w:r>
        <w:t>, zlepšuje životní úroveň a snižuje chudobu.</w:t>
      </w:r>
    </w:p>
    <w:p w:rsidR="00C610FB" w:rsidP="00FE40FE" w:rsidRDefault="00C610FB" w14:paraId="43168F3A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53818A32" w14:textId="77777777">
      <w:pPr>
        <w:pStyle w:val="Heading3"/>
      </w:pPr>
      <w:r>
        <w:t xml:space="preserve">Průmysl poskytuje kvalitní pracovní místa, která spolu s daněmi odváděnými průmyslovými odvětvími zajistí </w:t>
      </w:r>
      <w:r>
        <w:rPr>
          <w:b/>
        </w:rPr>
        <w:t>veřejné investice</w:t>
      </w:r>
      <w:r>
        <w:t xml:space="preserve"> do infrastruktury a služeb.</w:t>
      </w:r>
    </w:p>
    <w:p w:rsidR="00C610FB" w:rsidP="00FE40FE" w:rsidRDefault="00C610FB" w14:paraId="2B9F901C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236843E3" w14:textId="77777777">
      <w:pPr>
        <w:pStyle w:val="Heading3"/>
      </w:pPr>
      <w:r>
        <w:t xml:space="preserve">Revitalizované průmyslové zóny mohou vést k lepší infrastruktuře, posíleným veřejným službám a </w:t>
      </w:r>
      <w:r>
        <w:rPr>
          <w:b/>
        </w:rPr>
        <w:t>dynamickému místnímu hospodářství</w:t>
      </w:r>
      <w:r>
        <w:t>.</w:t>
      </w:r>
    </w:p>
    <w:p w:rsidR="00C610FB" w:rsidP="00FE40FE" w:rsidRDefault="00C610FB" w14:paraId="72011A67" w14:textId="77777777">
      <w:pPr>
        <w:rPr>
          <w:lang w:val="en-GB"/>
        </w:rPr>
      </w:pPr>
    </w:p>
    <w:p w:rsidR="00C610FB" w:rsidP="00FE40FE" w:rsidRDefault="00EB611A" w14:paraId="2F5ED170" w14:textId="77777777">
      <w:pPr>
        <w:pStyle w:val="Heading2"/>
      </w:pPr>
      <w:r>
        <w:t>Celkově může reindustrializace přinést významné dlouhodobé výhody. Zároveň však také představuje výzvy, které vyžadují koordinované úsilí na úrovni EU i členských států a které je třeba zvládnout prostřednictvím promyšleného politického a strategického plánování:</w:t>
      </w:r>
    </w:p>
    <w:p w:rsidR="00C610FB" w:rsidP="00FE40FE" w:rsidRDefault="00C610FB" w14:paraId="63957E71" w14:textId="77777777">
      <w:pPr>
        <w:rPr>
          <w:lang w:val="en-GB"/>
        </w:rPr>
      </w:pPr>
    </w:p>
    <w:p w:rsidR="00C610FB" w:rsidP="00FE40FE" w:rsidRDefault="00EB611A" w14:paraId="79209D33" w14:textId="3E543073">
      <w:pPr>
        <w:pStyle w:val="Heading3"/>
      </w:pPr>
      <w:r>
        <w:t xml:space="preserve">Jedním z největších problémů je přilákat a udržet si kvalifikované pracovníky. Průmysl soutěží s ostatními hospodářskými činnostmi o přilákání a udržení nejlepších talentů, což vyžaduje nabídku stabilních pracovních míst, konkurenceschopných platů a kariérního rozvoje. Plán pro kvalitní pracovní místa je pozitivní iniciativou Evropské komise, neboť kvalitní pracovní místa a důstojné pracovní podmínky jsou nutným předpokladem přilákání pracovníků. Dále je třeba realizovat politiky k aktivaci specifických segmentů populace, jež se nacházejí mimo trh práce, a poskytnout jim potřebné dovednosti, se zvláštním zaměřením na ženy, mladé lidi a migranty </w:t>
      </w:r>
      <w:r w:rsidR="00645A41">
        <w:t>a </w:t>
      </w:r>
      <w:r>
        <w:t>další zranitelné skupiny. Kromě toho musí být členské státy otevřené přijímání kvalifikovaných pracovníků ze zemí mimo EU, a to hladce a bez byrokratických překážek. Znamená to urychlit udělování pracovních povolení, uznávat zahraniční kvalifikace a zajistit rovné zacházení. EU by se měla snažit být preferovanou destinací pro kvalifikované pracovníky z celého světa.</w:t>
      </w:r>
    </w:p>
    <w:p w:rsidR="00C610FB" w:rsidP="00FE40FE" w:rsidRDefault="00C610FB" w14:paraId="733B99CC" w14:textId="77777777">
      <w:pPr>
        <w:rPr>
          <w:lang w:val="en-GB"/>
        </w:rPr>
      </w:pPr>
    </w:p>
    <w:p w:rsidR="00C610FB" w:rsidP="00BE2FB1" w:rsidRDefault="00EB611A" w14:paraId="50881315" w14:textId="780E0A95">
      <w:pPr>
        <w:pStyle w:val="Heading3"/>
        <w:keepNext/>
        <w:keepLines/>
      </w:pPr>
      <w:r>
        <w:t xml:space="preserve">Nabídka školení a rozvoje technických i interpersonálních dovedností, jakož i jasné kariérní dráhy a profesních vyhlídek pro pracovníky: s rozvojem průmyslových odvětví je třeba neustále školit a rekvalifikovat pracovní sílu, aby se zajistil náležitý soulad mezi dovednostmi </w:t>
      </w:r>
      <w:r w:rsidR="00645A41">
        <w:t>a </w:t>
      </w:r>
      <w:r>
        <w:t xml:space="preserve">požadavky trhu práce. Kvalifikovaná a odolná pracovní síla je obzvláště důležitá v odvětvích, která čelí souběžné transformaci. Vítáme též výzvu Komise k úpravě pravidel státní podpory </w:t>
      </w:r>
      <w:r w:rsidR="00645A41">
        <w:t>a </w:t>
      </w:r>
      <w:r>
        <w:t xml:space="preserve">zavedení sociální podmíněnosti veřejných investic tak, aby bylo možno pro průmysl připravit lepší pobídky k investicím do prohlubování a změn kvalifikace, kvalitních pracovních míst </w:t>
      </w:r>
      <w:r w:rsidR="00645A41">
        <w:t>a </w:t>
      </w:r>
      <w:r>
        <w:t xml:space="preserve">náboru pracovníků v zájmu spravedlivé transformace. Unie dovedností a Strategický plán vzdělávání v oborech STEM by měly pomoci s realizací tohoto cíle. Tato odborná příprava by měla umožnit přímé uznávání a potvrzování dovedností pracovníků v celé EU poté, co byly uznány veřejnými orgány jednoho členského státu, což by snížilo byrokratickou zátěž. </w:t>
      </w:r>
    </w:p>
    <w:p w:rsidR="00C610FB" w:rsidP="00FE40FE" w:rsidRDefault="00C610FB" w14:paraId="0F50DCBB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2C30AC14" w14:textId="77777777">
      <w:pPr>
        <w:pStyle w:val="Heading3"/>
      </w:pPr>
      <w:r>
        <w:t>Rychlé tempo technologického pokroku vyžaduje, aby se průmyslová odvětví neustále přizpůsobovala a inovovala. Průmysl musí přijmout digitální transformaci, která zahrnuje zavádění nových technologií, se zvláštním důrazem na důkladný přístup ke kybernetické bezpečnosti, aby byla zaručena integrita údajů a plné dodržování osobních práv.</w:t>
      </w:r>
    </w:p>
    <w:p w:rsidR="00C610FB" w:rsidP="00FE40FE" w:rsidRDefault="00C610FB" w14:paraId="6246534E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3EF6C196" w14:textId="585DAB44">
      <w:pPr>
        <w:pStyle w:val="Heading3"/>
      </w:pPr>
      <w:r>
        <w:t xml:space="preserve">Reindustrializace a současná dekarbonizace jsou výzvou. Průmyslová odvětví musí vyvažovat růst s environmentální a sociální udržitelností. Začlenění udržitelných postupů do průmyslových procesů je nezbytné k dodržení předpisů v oblasti životního prostředí a splnění očekávání spotřebitelů. To zahrnuje zavádění ekologických technologií, snižování uhlíkové stopy </w:t>
      </w:r>
      <w:r w:rsidR="00645A41">
        <w:t>a </w:t>
      </w:r>
      <w:r>
        <w:t xml:space="preserve">prosazování zásad oběhového hospodářství. Je nutné podporovat oběhové výrobky </w:t>
      </w:r>
      <w:r w:rsidR="00645A41">
        <w:t>a </w:t>
      </w:r>
      <w:r>
        <w:t xml:space="preserve">inovativní obchodní modely založené na oběhovosti pomocí pobídek, které jim umožní nadále konkurovat tradičním a ziskovým obchodním modelům a učiní „zelené“ a „čisté“ výrobky </w:t>
      </w:r>
      <w:r w:rsidR="00645A41">
        <w:t>a </w:t>
      </w:r>
      <w:r>
        <w:t>služby cenově dostupnými.</w:t>
      </w:r>
    </w:p>
    <w:p w:rsidR="00C610FB" w:rsidP="00FE40FE" w:rsidRDefault="00C610FB" w14:paraId="1B6D60B3" w14:textId="77777777">
      <w:pPr>
        <w:rPr>
          <w:lang w:val="en-GB"/>
        </w:rPr>
      </w:pPr>
    </w:p>
    <w:p w:rsidR="00C610FB" w:rsidP="00FE40FE" w:rsidRDefault="00EB611A" w14:paraId="4E237843" w14:textId="350C5EB6">
      <w:pPr>
        <w:pStyle w:val="Heading3"/>
      </w:pPr>
      <w:r>
        <w:t xml:space="preserve">Regulační a administrativní zátěž a přeshraniční problémy: regulační prostředí a administrativní schvalovací postupy v EU jsou často považovány za složité a zatěžující, přičemž 32 % firem </w:t>
      </w:r>
      <w:r w:rsidR="00645A41">
        <w:t>z </w:t>
      </w:r>
      <w:r>
        <w:t>EU označilo předpisy za „hlavní překážku“ svých investičních aktivit</w:t>
      </w:r>
      <w:r>
        <w:rPr>
          <w:sz w:val="24"/>
          <w:szCs w:val="24"/>
          <w:vertAlign w:val="superscript"/>
          <w:lang w:val="en-GB"/>
        </w:rPr>
        <w:footnoteReference w:id="15"/>
      </w:r>
      <w:r>
        <w:t xml:space="preserve">. Podniky čelí značným nákladům na dodržování předpisů a administrativním průtahům při získávání povolení </w:t>
      </w:r>
      <w:r w:rsidR="00645A41">
        <w:t>a </w:t>
      </w:r>
      <w:r>
        <w:t xml:space="preserve">schválení, což může odrazovat od investic a inovací. Navzdory jednotnému trhu vytvářejí rozdíly ve vnitrostátních předpisech, normách a postupech překážky vstupu na trh a zvyšují náklady podniků působících ve více zemích EU. Zjednodušení neznamená deregulaci. Nejde </w:t>
      </w:r>
      <w:r w:rsidR="00645A41">
        <w:t>o </w:t>
      </w:r>
      <w:r>
        <w:t>to demontovat Zelenou dohodu nebo základní sociální ochranu ani měnit Evropu do podoby USA. Cílem je proškrtat byrokracii, která není nikomu ku prospěchu.</w:t>
      </w:r>
    </w:p>
    <w:p w:rsidR="00C610FB" w:rsidP="00FE40FE" w:rsidRDefault="00C610FB" w14:paraId="41C975E3" w14:textId="77777777">
      <w:pPr>
        <w:pStyle w:val="Heading3"/>
        <w:numPr>
          <w:ilvl w:val="0"/>
          <w:numId w:val="0"/>
        </w:numPr>
        <w:ind w:left="567" w:hanging="567"/>
        <w:rPr>
          <w:lang w:val="en-GB"/>
        </w:rPr>
      </w:pPr>
    </w:p>
    <w:p w:rsidR="00C610FB" w:rsidP="00FE40FE" w:rsidRDefault="00AF6DE8" w14:paraId="68BC4D3E" w14:textId="14AC5604">
      <w:pPr>
        <w:pStyle w:val="Heading3"/>
      </w:pPr>
      <w:hyperlink w:tgtFrame="_blank" w:history="1" r:id="rId18">
        <w:r w:rsidR="008125AC">
          <w:t xml:space="preserve">Reindustrializace by sice mohla vytvořit nová pracovní místa, ale mohla by také vést </w:t>
        </w:r>
        <w:r w:rsidR="00645A41">
          <w:t>k </w:t>
        </w:r>
        <w:r w:rsidR="008125AC">
          <w:t>nahrazení technologiemi, kdy automatizace a pokročilé technologie nahradí některé druhy práce</w:t>
        </w:r>
      </w:hyperlink>
      <w:r w:rsidR="008125AC">
        <w:t xml:space="preserve">. Řešení tohoto problému bude vyžadovat specifické programy pro změnu kvalifikace </w:t>
      </w:r>
      <w:r w:rsidR="00645A41">
        <w:t>a </w:t>
      </w:r>
      <w:r w:rsidR="008125AC">
        <w:t>sociální politiky.</w:t>
      </w:r>
    </w:p>
    <w:p w:rsidR="00C610FB" w:rsidP="00FE40FE" w:rsidRDefault="00C610FB" w14:paraId="1AEC442E" w14:textId="77777777">
      <w:pPr>
        <w:rPr>
          <w:lang w:val="en-GB"/>
        </w:rPr>
      </w:pPr>
    </w:p>
    <w:p w:rsidR="00C610FB" w:rsidP="00BE2FB1" w:rsidRDefault="00EB611A" w14:paraId="75004777" w14:textId="1154FA59">
      <w:pPr>
        <w:pStyle w:val="Heading3"/>
        <w:keepNext/>
        <w:keepLines/>
      </w:pPr>
      <w:r>
        <w:t xml:space="preserve">S rostoucí konkurenceschopností průmyslových odvětví se může zvyšovat tlak ze strany globálních konkurentů. </w:t>
      </w:r>
      <w:hyperlink w:tgtFrame="_blank" w:history="1" r:id="rId19">
        <w:r>
          <w:t xml:space="preserve">Udržení konkurenční výhody bude vyžadovat neustálé inovace </w:t>
        </w:r>
        <w:r w:rsidR="00645A41">
          <w:t>a </w:t>
        </w:r>
        <w:r>
          <w:t>investice</w:t>
        </w:r>
      </w:hyperlink>
      <w:r>
        <w:t>.</w:t>
      </w:r>
    </w:p>
    <w:p w:rsidR="00C610FB" w:rsidP="00BE2FB1" w:rsidRDefault="00C610FB" w14:paraId="26C28742" w14:textId="77777777">
      <w:pPr>
        <w:keepNext/>
        <w:keepLines/>
        <w:rPr>
          <w:lang w:val="en-GB"/>
        </w:rPr>
      </w:pPr>
    </w:p>
    <w:p w:rsidR="00C610FB" w:rsidP="00FE40FE" w:rsidRDefault="00EB611A" w14:paraId="0FCBBF87" w14:textId="2F6DE376">
      <w:pPr>
        <w:pStyle w:val="Heading3"/>
      </w:pPr>
      <w:r>
        <w:t xml:space="preserve">Součástí procesu reindustrializace musí být sociální dialog včetně kolektivního vyjednávání, aby byl zajištěn participativní přístup. Zaměstnavatelé i pracovníci by se měli zavázat </w:t>
      </w:r>
      <w:r w:rsidR="00645A41">
        <w:t>k </w:t>
      </w:r>
      <w:r>
        <w:t>vytvoření a realizaci konkurenceschopných vzdělávacích programů, jež budou zvyšovat průmyslovou, sociální a územní soudržnost prostřednictvím kolektivního vyjednávání a účasti pracovníků na úrovni podniků. Nová společenská smlouva by měla počítat též s organizovanou občanskou společností, hlasem mladých lidí a zejména těch regionů, na něž mají transformace největší dopad.</w:t>
      </w:r>
    </w:p>
    <w:p w:rsidR="00C610FB" w:rsidP="00FE40FE" w:rsidRDefault="00C610FB" w14:paraId="167F5BA3" w14:textId="77777777">
      <w:pPr>
        <w:rPr>
          <w:lang w:val="en-GB"/>
        </w:rPr>
      </w:pPr>
    </w:p>
    <w:p w:rsidR="00C610FB" w:rsidP="00FE40FE" w:rsidRDefault="00EB611A" w14:paraId="2EEB3B88" w14:textId="77777777">
      <w:pPr>
        <w:pStyle w:val="Heading2"/>
        <w:keepNext/>
        <w:keepLines/>
      </w:pPr>
      <w:r>
        <w:t>Úloha průmyslu jako hnací síly inovací a služeb s přidanou hodnotou:</w:t>
      </w:r>
    </w:p>
    <w:p w:rsidR="00C610FB" w:rsidP="00FE40FE" w:rsidRDefault="00C610FB" w14:paraId="1157968B" w14:textId="77777777">
      <w:pPr>
        <w:keepNext/>
        <w:keepLines/>
        <w:rPr>
          <w:lang w:val="en-GB"/>
        </w:rPr>
      </w:pPr>
    </w:p>
    <w:p w:rsidR="00C610FB" w:rsidP="00FE40FE" w:rsidRDefault="00EB611A" w14:paraId="68370692" w14:textId="0EDBBCA6">
      <w:pPr>
        <w:pStyle w:val="Heading3"/>
      </w:pPr>
      <w:r>
        <w:t xml:space="preserve">Průmysl je tím, kdo může zařídit reindustrializaci Evropy a posílit hospodářský růst, inovace </w:t>
      </w:r>
      <w:r w:rsidR="00645A41">
        <w:t>a </w:t>
      </w:r>
      <w:r>
        <w:t xml:space="preserve">udržitelnost. Podporuje rozvoj služeb s vysokou hodnotou, zmírňuje krizi životních nákladů </w:t>
      </w:r>
      <w:r w:rsidR="00645A41">
        <w:t>a </w:t>
      </w:r>
      <w:r>
        <w:t>brání deindustrializaci rozvíjením inovací, revitalizací místních ekonomik, tvorbou pracovních míst a motivováním místních obyvatel, aby zůstali v průmyslových oblastech:</w:t>
      </w:r>
    </w:p>
    <w:p w:rsidR="00C610FB" w:rsidP="00FE40FE" w:rsidRDefault="00C610FB" w14:paraId="2203F219" w14:textId="77777777">
      <w:pPr>
        <w:ind w:left="720" w:hanging="720"/>
        <w:rPr>
          <w:lang w:val="en-GB"/>
        </w:rPr>
      </w:pPr>
    </w:p>
    <w:p w:rsidR="00C610FB" w:rsidP="00FE40FE" w:rsidRDefault="00EB611A" w14:paraId="0C6B6182" w14:textId="77777777">
      <w:pPr>
        <w:pStyle w:val="Heading3"/>
      </w:pPr>
      <w:r>
        <w:t xml:space="preserve">Průmysl je klíčovou hnací silou </w:t>
      </w:r>
      <w:r>
        <w:rPr>
          <w:b/>
        </w:rPr>
        <w:t>inovací</w:t>
      </w:r>
      <w:r>
        <w:t xml:space="preserve"> a často udává směr ve výzkumu a vývoji nových technologií a postupů. Tyto inovace se mohou přenést i do dalších odvětví a podpořit kulturu neustálého zlepšování a technologického pokroku.</w:t>
      </w:r>
    </w:p>
    <w:p w:rsidR="00C610FB" w:rsidP="00FE40FE" w:rsidRDefault="00C610FB" w14:paraId="0E886317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214E18F0" w14:textId="77777777">
      <w:pPr>
        <w:pStyle w:val="Heading3"/>
      </w:pPr>
      <w:r>
        <w:t xml:space="preserve">Průmysl často podporuje </w:t>
      </w:r>
      <w:r>
        <w:rPr>
          <w:b/>
        </w:rPr>
        <w:t>služby s přidanou hodnotou</w:t>
      </w:r>
      <w:r>
        <w:t>, které zlepšují celkový hodnotový řetězec. Patří sem vše od pokročilých výrobních postupů po poprodejní služby, snižují se výrobní náklady a zvyšuje se kvalita výrobků a spokojenost zákazníků.</w:t>
      </w:r>
    </w:p>
    <w:p w:rsidR="00C610FB" w:rsidP="00FE40FE" w:rsidRDefault="00C610FB" w14:paraId="4C1F6FC6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6D0FEECC" w14:textId="77777777">
      <w:pPr>
        <w:pStyle w:val="Heading3"/>
      </w:pPr>
      <w:r>
        <w:t xml:space="preserve">Pracovní místa v průmyslu, zejména v odvětvích se špičkovými technologiemi a pokročilými výrobními postupy, </w:t>
      </w:r>
      <w:r>
        <w:rPr>
          <w:b/>
        </w:rPr>
        <w:t>nabízí</w:t>
      </w:r>
      <w:r>
        <w:t xml:space="preserve"> zpravidla </w:t>
      </w:r>
      <w:r>
        <w:rPr>
          <w:b/>
        </w:rPr>
        <w:t>vyšší mzdy</w:t>
      </w:r>
      <w:r>
        <w:t xml:space="preserve"> než řada jiných pracovních míst v odvětví služeb. To může pomoci zlepšit životní úroveň a snížit nerovnost příjmů.</w:t>
      </w:r>
    </w:p>
    <w:p w:rsidR="00C610FB" w:rsidP="00FE40FE" w:rsidRDefault="00C610FB" w14:paraId="1748E938" w14:textId="77777777">
      <w:pPr>
        <w:pStyle w:val="Heading3"/>
        <w:numPr>
          <w:ilvl w:val="0"/>
          <w:numId w:val="0"/>
        </w:numPr>
        <w:rPr>
          <w:lang w:val="en-GB"/>
        </w:rPr>
      </w:pPr>
    </w:p>
    <w:p w:rsidR="00C610FB" w:rsidP="00FE40FE" w:rsidRDefault="00EB611A" w14:paraId="6327CC67" w14:textId="77777777">
      <w:pPr>
        <w:pStyle w:val="Heading3"/>
      </w:pPr>
      <w:r>
        <w:t xml:space="preserve">Průmysl nabízí významné možnosti </w:t>
      </w:r>
      <w:r>
        <w:rPr>
          <w:b/>
        </w:rPr>
        <w:t>profesního růstu</w:t>
      </w:r>
      <w:r>
        <w:t xml:space="preserve"> a kariérního postupu. Pracovníci mohou využít přínosy průběžného vzdělávání a rozvoje dovedností a možnosti postupu na vyšší pozice.</w:t>
      </w:r>
    </w:p>
    <w:p w:rsidR="00C610FB" w:rsidP="00FE40FE" w:rsidRDefault="00C610FB" w14:paraId="08D97B11" w14:textId="77777777">
      <w:pPr>
        <w:rPr>
          <w:lang w:val="en-GB"/>
        </w:rPr>
      </w:pPr>
    </w:p>
    <w:p w:rsidR="00C610FB" w:rsidP="00FE40FE" w:rsidRDefault="00EB611A" w14:paraId="1A52E104" w14:textId="386D28D9">
      <w:r>
        <w:t>V Bruselu dne 18. června 2025.</w:t>
      </w:r>
    </w:p>
    <w:p w:rsidR="00C610FB" w:rsidP="00FE40FE" w:rsidRDefault="00C610FB" w14:paraId="788F25E0" w14:textId="77777777">
      <w:pPr>
        <w:rPr>
          <w:lang w:val="en-GB"/>
        </w:rPr>
      </w:pPr>
    </w:p>
    <w:p w:rsidR="00C610FB" w:rsidP="00FE40FE" w:rsidRDefault="00C610FB" w14:paraId="161818C1" w14:textId="0EE2CEDC">
      <w:pPr>
        <w:rPr>
          <w:lang w:val="en-GB"/>
        </w:rPr>
      </w:pPr>
    </w:p>
    <w:p w:rsidR="00C610FB" w:rsidP="00FE40FE" w:rsidRDefault="00EB611A" w14:paraId="67FCE31B" w14:textId="77777777">
      <w:pPr>
        <w:rPr>
          <w:i/>
          <w:iCs/>
        </w:rPr>
      </w:pPr>
      <w:r>
        <w:rPr>
          <w:i/>
        </w:rPr>
        <w:t>předseda Evropského hospodářského a sociálního výboru</w:t>
      </w:r>
    </w:p>
    <w:p w:rsidR="00C610FB" w:rsidP="00FE40FE" w:rsidRDefault="00EB611A" w14:paraId="2730EBE2" w14:textId="42A23CD0">
      <w:pPr>
        <w:jc w:val="left"/>
      </w:pPr>
      <w:r>
        <w:t xml:space="preserve">Oliver RÖPKE </w:t>
      </w:r>
    </w:p>
    <w:p w:rsidR="00645A41" w:rsidP="00FE40FE" w:rsidRDefault="00645A41" w14:paraId="6503E2A2" w14:textId="77777777">
      <w:pPr>
        <w:jc w:val="left"/>
      </w:pPr>
    </w:p>
    <w:p w:rsidR="00C610FB" w:rsidP="00FE40FE" w:rsidRDefault="00EB611A" w14:paraId="6BABC1C7" w14:textId="6C4C3548">
      <w:pPr>
        <w:jc w:val="center"/>
      </w:pPr>
      <w:r>
        <w:t>_____________</w:t>
      </w:r>
    </w:p>
    <w:sectPr w:rsidR="00C610FB">
      <w:headerReference w:type="even" r:id="rId20"/>
      <w:headerReference w:type="default" r:id="rId21"/>
      <w:footerReference w:type="default" r:id="rId22"/>
      <w:headerReference w:type="first" r:id="rId23"/>
      <w:pgSz w:w="11907" w:h="16839" w:code="9"/>
      <w:pgMar w:top="1361" w:right="1418" w:bottom="1361" w:left="1418" w:header="709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73A0" w14:textId="77777777" w:rsidR="00C610FB" w:rsidRDefault="00EB611A">
      <w:pPr>
        <w:spacing w:line="240" w:lineRule="auto"/>
      </w:pPr>
      <w:r>
        <w:separator/>
      </w:r>
    </w:p>
  </w:endnote>
  <w:endnote w:type="continuationSeparator" w:id="0">
    <w:p w14:paraId="096881F9" w14:textId="77777777" w:rsidR="00C610FB" w:rsidRDefault="00EB6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D4BD" w14:textId="77777777" w:rsidR="00C610FB" w:rsidRDefault="00C61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217E" w14:textId="4193DD89" w:rsidR="00C610FB" w:rsidRDefault="00A25C6D" w:rsidP="00A25C6D">
    <w:pPr>
      <w:pStyle w:val="Footer"/>
      <w:jc w:val="left"/>
    </w:pPr>
    <w:r>
      <w:t xml:space="preserve">CCMI/239 – EESC-2025-00169-00-01-AC-TRA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8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5D2E60">
        <w:rPr>
          <w:noProof/>
        </w:rPr>
        <w:instrText>11</w:instrText>
      </w:r>
    </w:fldSimple>
    <w:r>
      <w:instrText xml:space="preserve"> - 2 </w:instrText>
    </w:r>
    <w:r>
      <w:fldChar w:fldCharType="separate"/>
    </w:r>
    <w:r w:rsidR="005D2E60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6452" w14:textId="77777777" w:rsidR="00C610FB" w:rsidRDefault="00EB611A">
      <w:pPr>
        <w:spacing w:line="240" w:lineRule="auto"/>
      </w:pPr>
      <w:r>
        <w:separator/>
      </w:r>
    </w:p>
  </w:footnote>
  <w:footnote w:type="continuationSeparator" w:id="0">
    <w:p w14:paraId="77B16E56" w14:textId="77777777" w:rsidR="00C610FB" w:rsidRDefault="00EB611A">
      <w:pPr>
        <w:spacing w:line="240" w:lineRule="auto"/>
      </w:pPr>
      <w:r>
        <w:continuationSeparator/>
      </w:r>
    </w:p>
  </w:footnote>
  <w:footnote w:id="1">
    <w:p w14:paraId="3322BAA6" w14:textId="4EC4E52C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  <w:t xml:space="preserve">Stanoviska EHSV </w:t>
      </w:r>
      <w:hyperlink r:id="rId1" w:history="1">
        <w:r>
          <w:rPr>
            <w:rStyle w:val="Hyperlink"/>
            <w:i/>
          </w:rPr>
          <w:t>Reindustrializace Evropy – příležitost pro podniky, zaměstnance a občany v kontextu krize životních nákladů</w:t>
        </w:r>
      </w:hyperlink>
      <w:r>
        <w:rPr>
          <w:i/>
        </w:rPr>
        <w:t xml:space="preserve">, </w:t>
      </w:r>
      <w:hyperlink r:id="rId2" w:history="1">
        <w:r>
          <w:rPr>
            <w:rStyle w:val="Hyperlink"/>
            <w:i/>
          </w:rPr>
          <w:t>Nechat krize za sebou – Opatření pro odolné, soudržné a inkluzivní evropské hospodářství</w:t>
        </w:r>
      </w:hyperlink>
      <w:r>
        <w:rPr>
          <w:i/>
        </w:rPr>
        <w:t xml:space="preserve">, </w:t>
      </w:r>
      <w:hyperlink r:id="rId3" w:history="1">
        <w:r>
          <w:rPr>
            <w:rStyle w:val="Hyperlink"/>
            <w:i/>
          </w:rPr>
          <w:t>Jak nefunkčnost jednotného trhu umocňuje zvyšování životních nákladů</w:t>
        </w:r>
      </w:hyperlink>
      <w:r>
        <w:rPr>
          <w:i/>
        </w:rPr>
        <w:t xml:space="preserve">, </w:t>
      </w:r>
      <w:hyperlink r:id="rId4" w:history="1">
        <w:r>
          <w:rPr>
            <w:rStyle w:val="Hyperlink"/>
            <w:i/>
          </w:rPr>
          <w:t>Postupné ukončování dotací na fosilní paliva při současném zajištění konkurenceschopnosti Evropy, zmírnění krize spojené s nárůstem životních nákladů a prosazování spravedlivé transformace</w:t>
        </w:r>
      </w:hyperlink>
      <w:r>
        <w:rPr>
          <w:i/>
        </w:rPr>
        <w:t xml:space="preserve">, </w:t>
      </w:r>
      <w:hyperlink r:id="rId5" w:history="1">
        <w:r>
          <w:rPr>
            <w:rStyle w:val="Hyperlink"/>
            <w:i/>
          </w:rPr>
          <w:t>Roztříštěnost dodavatelských řetězců a dopad na životní náklady</w:t>
        </w:r>
      </w:hyperlink>
      <w:r>
        <w:t xml:space="preserve">, </w:t>
      </w:r>
      <w:hyperlink r:id="rId6" w:history="1">
        <w:r>
          <w:rPr>
            <w:rStyle w:val="Hyperlink"/>
            <w:i/>
          </w:rPr>
          <w:t>Jak řešit pokles kupní síly a riziko rostoucích nerovností, vyloučení a marginalizace</w:t>
        </w:r>
      </w:hyperlink>
      <w:r>
        <w:t xml:space="preserve">, </w:t>
      </w:r>
      <w:hyperlink r:id="rId7" w:history="1">
        <w:r>
          <w:rPr>
            <w:rStyle w:val="Hyperlink"/>
            <w:i/>
          </w:rPr>
          <w:t>Prudký nárůst cen v oblastech dopravy, energetiky a bydlení: úloha kvalitních veřejných služeb při řešení problému vysokých životních nákladů</w:t>
        </w:r>
      </w:hyperlink>
      <w:r>
        <w:t xml:space="preserve"> (dosud nezveřejněno v Úř. věst.)</w:t>
      </w:r>
      <w:r>
        <w:rPr>
          <w:i/>
        </w:rPr>
        <w:t>.</w:t>
      </w:r>
    </w:p>
  </w:footnote>
  <w:footnote w:id="2">
    <w:p w14:paraId="565F3178" w14:textId="7298A8BD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  <w:t xml:space="preserve">Stanovisko ECO/660 </w:t>
      </w:r>
      <w:hyperlink r:id="rId8" w:history="1">
        <w:r>
          <w:rPr>
            <w:rStyle w:val="Hyperlink"/>
            <w:i/>
          </w:rPr>
          <w:t>Doporučení organizované občanské společnosti ohledně řešení krize životních nákladů</w:t>
        </w:r>
      </w:hyperlink>
      <w:r>
        <w:t xml:space="preserve"> (připravuje se).</w:t>
      </w:r>
    </w:p>
  </w:footnote>
  <w:footnote w:id="3">
    <w:p w14:paraId="1CF9A728" w14:textId="658E601B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9" w:history="1">
        <w:r>
          <w:rPr>
            <w:rStyle w:val="Hyperlink"/>
          </w:rPr>
          <w:t>Eurobarometr 2022</w:t>
        </w:r>
      </w:hyperlink>
      <w:r>
        <w:t>.</w:t>
      </w:r>
    </w:p>
  </w:footnote>
  <w:footnote w:id="4">
    <w:p w14:paraId="308E65DA" w14:textId="2209D8FB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10" w:history="1">
        <w:r>
          <w:rPr>
            <w:rStyle w:val="Hyperlink"/>
          </w:rPr>
          <w:t>Eurobarometr 2024</w:t>
        </w:r>
      </w:hyperlink>
      <w:r>
        <w:t>.</w:t>
      </w:r>
    </w:p>
  </w:footnote>
  <w:footnote w:id="5">
    <w:p w14:paraId="61E61823" w14:textId="6ED5E19C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11" w:history="1">
        <w:r>
          <w:rPr>
            <w:rStyle w:val="Hyperlink"/>
          </w:rPr>
          <w:t>Kvalita života v EU v roce 2024 – výsledky elektronického průzkumu Život a práce v EU, 2025, Eurofound</w:t>
        </w:r>
      </w:hyperlink>
      <w:r>
        <w:t>.</w:t>
      </w:r>
    </w:p>
  </w:footnote>
  <w:footnote w:id="6">
    <w:p w14:paraId="5338DC8B" w14:textId="77777777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12" w:history="1">
        <w:r>
          <w:rPr>
            <w:rStyle w:val="Hyperlink"/>
          </w:rPr>
          <w:t>Eurostat</w:t>
        </w:r>
      </w:hyperlink>
      <w:r>
        <w:t>.</w:t>
      </w:r>
    </w:p>
  </w:footnote>
  <w:footnote w:id="7">
    <w:p w14:paraId="47719491" w14:textId="77777777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13" w:history="1">
        <w:r>
          <w:rPr>
            <w:rStyle w:val="Hyperlink"/>
          </w:rPr>
          <w:t>Ceny energií a náklady na energie v Evropě, 2024, Evropská komise</w:t>
        </w:r>
      </w:hyperlink>
      <w:r>
        <w:t>.</w:t>
      </w:r>
    </w:p>
  </w:footnote>
  <w:footnote w:id="8">
    <w:p w14:paraId="6B5D50DF" w14:textId="77777777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14" w:history="1">
        <w:r>
          <w:rPr>
            <w:rStyle w:val="Hyperlink"/>
          </w:rPr>
          <w:t>Draghiho zpráva o budoucnosti evropské konkurenceschopnosti</w:t>
        </w:r>
      </w:hyperlink>
      <w:r>
        <w:t>.</w:t>
      </w:r>
    </w:p>
  </w:footnote>
  <w:footnote w:id="9">
    <w:p w14:paraId="75F45ED0" w14:textId="1F3CD06C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  <w:t>Labour market and wage developments in Europe - Annual report 2024 (Trh práce a vývoj mezd v Evropě - Výroční zpráva za</w:t>
      </w:r>
      <w:r w:rsidR="00344D30">
        <w:t> </w:t>
      </w:r>
      <w:r>
        <w:t>rok</w:t>
      </w:r>
      <w:r w:rsidR="00344D30">
        <w:t> </w:t>
      </w:r>
      <w:r>
        <w:t>2024). GŘ pro zaměstnanost, Evropská komise.</w:t>
      </w:r>
    </w:p>
  </w:footnote>
  <w:footnote w:id="10">
    <w:p w14:paraId="3AE64FAB" w14:textId="77777777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  <w:t>Evropský institut pro rovnost žen a mužů, 2021.</w:t>
      </w:r>
    </w:p>
  </w:footnote>
  <w:footnote w:id="11">
    <w:p w14:paraId="308B2193" w14:textId="77777777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  <w:t>EPRS, Výzkumná služba Evropského parlamentu, 2024.</w:t>
      </w:r>
    </w:p>
  </w:footnote>
  <w:footnote w:id="12">
    <w:p w14:paraId="6493BEB2" w14:textId="77777777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  <w:t>Eurofound 2023.</w:t>
      </w:r>
    </w:p>
  </w:footnote>
  <w:footnote w:id="13">
    <w:p w14:paraId="130798A5" w14:textId="77777777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</w:r>
      <w:hyperlink r:id="rId15" w:history="1">
        <w:r>
          <w:rPr>
            <w:rStyle w:val="Hyperlink"/>
          </w:rPr>
          <w:t>Národní účty a HDP, Eurostat, 2024</w:t>
        </w:r>
      </w:hyperlink>
      <w:r>
        <w:t>.</w:t>
      </w:r>
    </w:p>
  </w:footnote>
  <w:footnote w:id="14">
    <w:p w14:paraId="2577AD96" w14:textId="48256B50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  <w:t xml:space="preserve">The changing structure of employment in the EU: Annual Review 2023 </w:t>
      </w:r>
      <w:hyperlink r:id="rId16" w:anchor=":~:text=This%2520Eurofound%2520research%2520paper%2520asks%2520how%2520the%2520EU,effects%2520on%2520existing%2520secular%2520trends%2520in%2520employment%2520composition." w:history="1">
        <w:r>
          <w:t>(Měnící se struktura zaměstnanosti v EU: Roční přehled</w:t>
        </w:r>
        <w:r w:rsidR="00344D30">
          <w:t> </w:t>
        </w:r>
        <w:r>
          <w:t>2023), s. 5, Eurofound, 2023</w:t>
        </w:r>
      </w:hyperlink>
      <w:r>
        <w:t>.</w:t>
      </w:r>
    </w:p>
  </w:footnote>
  <w:footnote w:id="15">
    <w:p w14:paraId="7B4B1D71" w14:textId="77777777" w:rsidR="00C610FB" w:rsidRDefault="00EB611A">
      <w:pPr>
        <w:pStyle w:val="FootnoteText"/>
      </w:pPr>
      <w:r>
        <w:rPr>
          <w:rStyle w:val="FootnoteReference"/>
          <w:lang w:val="en-GB"/>
        </w:rPr>
        <w:footnoteRef/>
      </w:r>
      <w:r>
        <w:tab/>
        <w:t>Výroční zpráva o jednotném trhu a konkurenceschopnosti pro rok 2025, 2025, Evropská komise.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A669" w14:textId="252CAFAF" w:rsidR="00C610FB" w:rsidRDefault="00AF6DE8">
    <w:pPr>
      <w:pStyle w:val="Header"/>
    </w:pPr>
    <w:r>
      <w:pict w14:anchorId="3E5C9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6" o:spid="_x0000_s2060" type="#_x0000_t75" style="position:absolute;left:0;text-align:left;margin-left:0;margin-top:0;width:595.2pt;height:841.9pt;z-index:-251649024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5081" w14:textId="1FCD7F46" w:rsidR="00C610FB" w:rsidRDefault="008125AC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DD29CB3" wp14:editId="1047712D">
          <wp:simplePos x="0" y="0"/>
          <wp:positionH relativeFrom="page">
            <wp:align>center</wp:align>
          </wp:positionH>
          <wp:positionV relativeFrom="page">
            <wp:posOffset>288290</wp:posOffset>
          </wp:positionV>
          <wp:extent cx="6944360" cy="3343275"/>
          <wp:effectExtent l="0" t="0" r="8890" b="9525"/>
          <wp:wrapNone/>
          <wp:docPr id="1" name="Picture 1" title="EESCLogo2021_C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title="EESCLogo2021_C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360" cy="334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DE8">
      <w:pict w14:anchorId="0292D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7" o:spid="_x0000_s2061" type="#_x0000_t75" style="position:absolute;left:0;text-align:left;margin-left:0;margin-top:0;width:595.2pt;height:841.9pt;z-index:-251648000;mso-position-horizontal:center;mso-position-horizontal-relative:page;mso-position-vertical:top;mso-position-vertical-relative:page" o:allowincell="f">
          <v:imagedata r:id="rId2" o:title="footer only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837F" w14:textId="007EBCA1" w:rsidR="00C610FB" w:rsidRDefault="00AF6DE8">
    <w:pPr>
      <w:pStyle w:val="Header"/>
    </w:pPr>
    <w:r>
      <w:pict w14:anchorId="19171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5" o:spid="_x0000_s2059" type="#_x0000_t75" style="position:absolute;left:0;text-align:left;margin-left:0;margin-top:0;width:595.2pt;height:841.9pt;z-index:-251650048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9C34" w14:textId="7FEF32E3" w:rsidR="00C610FB" w:rsidRDefault="00AF6DE8">
    <w:pPr>
      <w:pStyle w:val="Header"/>
    </w:pPr>
    <w:r>
      <w:pict w14:anchorId="16802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9" o:spid="_x0000_s2063" type="#_x0000_t75" style="position:absolute;left:0;text-align:left;margin-left:0;margin-top:0;width:595.2pt;height:841.9pt;z-index:-251645952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FC7C" w14:textId="308D261F" w:rsidR="00C610FB" w:rsidRDefault="00AF6DE8">
    <w:pPr>
      <w:pStyle w:val="Header"/>
    </w:pPr>
    <w:r>
      <w:pict w14:anchorId="31FC4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0" o:spid="_x0000_s2064" type="#_x0000_t75" style="position:absolute;left:0;text-align:left;margin-left:0;margin-top:0;width:595.2pt;height:841.9pt;z-index:-251644928;visibility:hidden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  <w:r w:rsidR="008125AC">
      <w:rPr>
        <w:noProof/>
      </w:rPr>
      <w:drawing>
        <wp:anchor distT="0" distB="0" distL="114300" distR="114300" simplePos="0" relativeHeight="251661824" behindDoc="1" locked="0" layoutInCell="1" allowOverlap="1" wp14:anchorId="5FA9E479" wp14:editId="13AEE0F5">
          <wp:simplePos x="0" y="0"/>
          <wp:positionH relativeFrom="page">
            <wp:posOffset>-10571</wp:posOffset>
          </wp:positionH>
          <wp:positionV relativeFrom="page">
            <wp:posOffset>-221993</wp:posOffset>
          </wp:positionV>
          <wp:extent cx="7581265" cy="10898802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 (footer) rec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07" cy="1090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873" w14:textId="56798CB4" w:rsidR="00C610FB" w:rsidRDefault="00AF6DE8">
    <w:pPr>
      <w:pStyle w:val="Header"/>
    </w:pPr>
    <w:r>
      <w:pict w14:anchorId="1017B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8" o:spid="_x0000_s2062" type="#_x0000_t75" style="position:absolute;left:0;text-align:left;margin-left:0;margin-top:0;width:595.2pt;height:841.9pt;z-index:-251646976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FAD5" w14:textId="60B66FCE" w:rsidR="00C610FB" w:rsidRDefault="00AF6DE8">
    <w:pPr>
      <w:pStyle w:val="Header"/>
    </w:pPr>
    <w:r>
      <w:pict w14:anchorId="51EC1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2" o:spid="_x0000_s2066" type="#_x0000_t75" style="position:absolute;left:0;text-align:left;margin-left:0;margin-top:0;width:595.2pt;height:841.9pt;z-index:-251642880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2120" w14:textId="43FA7B78" w:rsidR="00C610FB" w:rsidRDefault="00AF6DE8">
    <w:pPr>
      <w:pStyle w:val="Header"/>
    </w:pPr>
    <w:r>
      <w:pict w14:anchorId="7B5F8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3" o:spid="_x0000_s2067" type="#_x0000_t75" style="position:absolute;left:0;text-align:left;margin-left:0;margin-top:0;width:595.2pt;height:841.9pt;z-index:-251641856;visibility:hidden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DF91" w14:textId="4DD3A706" w:rsidR="00C610FB" w:rsidRDefault="00AF6DE8">
    <w:pPr>
      <w:pStyle w:val="Header"/>
    </w:pPr>
    <w:r>
      <w:pict w14:anchorId="4BBB7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1" o:spid="_x0000_s2065" type="#_x0000_t75" style="position:absolute;left:0;text-align:left;margin-left:0;margin-top:0;width:595.2pt;height:841.9pt;z-index:-251643904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DDCE01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70"/>
    <w:rsid w:val="000045CF"/>
    <w:rsid w:val="00020389"/>
    <w:rsid w:val="00053D00"/>
    <w:rsid w:val="000A0F3B"/>
    <w:rsid w:val="000B4429"/>
    <w:rsid w:val="000E5E03"/>
    <w:rsid w:val="001119FD"/>
    <w:rsid w:val="00115651"/>
    <w:rsid w:val="00121D6B"/>
    <w:rsid w:val="00153981"/>
    <w:rsid w:val="00185E99"/>
    <w:rsid w:val="0019231D"/>
    <w:rsid w:val="001955B6"/>
    <w:rsid w:val="001964E6"/>
    <w:rsid w:val="001A6116"/>
    <w:rsid w:val="001D61AC"/>
    <w:rsid w:val="001E15AA"/>
    <w:rsid w:val="001E3FA1"/>
    <w:rsid w:val="00200E87"/>
    <w:rsid w:val="00206D14"/>
    <w:rsid w:val="00214BDC"/>
    <w:rsid w:val="00215E81"/>
    <w:rsid w:val="0024727F"/>
    <w:rsid w:val="00256E61"/>
    <w:rsid w:val="00282E54"/>
    <w:rsid w:val="002B6A7B"/>
    <w:rsid w:val="003353D7"/>
    <w:rsid w:val="00344D30"/>
    <w:rsid w:val="003659F9"/>
    <w:rsid w:val="003747E0"/>
    <w:rsid w:val="0038387F"/>
    <w:rsid w:val="003A201E"/>
    <w:rsid w:val="00401DE5"/>
    <w:rsid w:val="004051F7"/>
    <w:rsid w:val="004149E5"/>
    <w:rsid w:val="0045106C"/>
    <w:rsid w:val="00461CAF"/>
    <w:rsid w:val="0048514B"/>
    <w:rsid w:val="004871B8"/>
    <w:rsid w:val="00487C77"/>
    <w:rsid w:val="00492082"/>
    <w:rsid w:val="004F3B80"/>
    <w:rsid w:val="00574C9B"/>
    <w:rsid w:val="0058411F"/>
    <w:rsid w:val="005961A4"/>
    <w:rsid w:val="005C530F"/>
    <w:rsid w:val="005D2E60"/>
    <w:rsid w:val="005E27AD"/>
    <w:rsid w:val="006125A1"/>
    <w:rsid w:val="00633175"/>
    <w:rsid w:val="006444C4"/>
    <w:rsid w:val="00645A41"/>
    <w:rsid w:val="00653E7D"/>
    <w:rsid w:val="00662207"/>
    <w:rsid w:val="00667F09"/>
    <w:rsid w:val="00680EEC"/>
    <w:rsid w:val="00686424"/>
    <w:rsid w:val="00696A9B"/>
    <w:rsid w:val="006A7E3B"/>
    <w:rsid w:val="006B57A6"/>
    <w:rsid w:val="006C0EAF"/>
    <w:rsid w:val="006D53A6"/>
    <w:rsid w:val="00731362"/>
    <w:rsid w:val="00734CCF"/>
    <w:rsid w:val="00787837"/>
    <w:rsid w:val="00787ABB"/>
    <w:rsid w:val="007B1355"/>
    <w:rsid w:val="007B6C64"/>
    <w:rsid w:val="007C36C2"/>
    <w:rsid w:val="008125AC"/>
    <w:rsid w:val="00822952"/>
    <w:rsid w:val="00836505"/>
    <w:rsid w:val="00837061"/>
    <w:rsid w:val="00844B87"/>
    <w:rsid w:val="00867C81"/>
    <w:rsid w:val="0089251B"/>
    <w:rsid w:val="008A6DD4"/>
    <w:rsid w:val="008F74D7"/>
    <w:rsid w:val="00904C42"/>
    <w:rsid w:val="00914683"/>
    <w:rsid w:val="00924C05"/>
    <w:rsid w:val="00937CF2"/>
    <w:rsid w:val="00940CCA"/>
    <w:rsid w:val="00947C4D"/>
    <w:rsid w:val="00976645"/>
    <w:rsid w:val="00976F77"/>
    <w:rsid w:val="0098228C"/>
    <w:rsid w:val="009832C7"/>
    <w:rsid w:val="009D17E5"/>
    <w:rsid w:val="009E2100"/>
    <w:rsid w:val="009E2162"/>
    <w:rsid w:val="00A21F3B"/>
    <w:rsid w:val="00A25C6D"/>
    <w:rsid w:val="00A310E1"/>
    <w:rsid w:val="00A36AB0"/>
    <w:rsid w:val="00A6735C"/>
    <w:rsid w:val="00A87884"/>
    <w:rsid w:val="00AB37A3"/>
    <w:rsid w:val="00AB6D77"/>
    <w:rsid w:val="00AB6DD5"/>
    <w:rsid w:val="00AC5114"/>
    <w:rsid w:val="00AF6DE8"/>
    <w:rsid w:val="00B25683"/>
    <w:rsid w:val="00B35B72"/>
    <w:rsid w:val="00B51901"/>
    <w:rsid w:val="00BC4FD4"/>
    <w:rsid w:val="00BD50F6"/>
    <w:rsid w:val="00BE2FB1"/>
    <w:rsid w:val="00C073E1"/>
    <w:rsid w:val="00C25647"/>
    <w:rsid w:val="00C27A3D"/>
    <w:rsid w:val="00C610FB"/>
    <w:rsid w:val="00C66AEA"/>
    <w:rsid w:val="00C76BA9"/>
    <w:rsid w:val="00C9040A"/>
    <w:rsid w:val="00C91E4D"/>
    <w:rsid w:val="00C94040"/>
    <w:rsid w:val="00CB110A"/>
    <w:rsid w:val="00CB7CD0"/>
    <w:rsid w:val="00CE3867"/>
    <w:rsid w:val="00D039AF"/>
    <w:rsid w:val="00D13128"/>
    <w:rsid w:val="00D821E4"/>
    <w:rsid w:val="00D95232"/>
    <w:rsid w:val="00DA2D12"/>
    <w:rsid w:val="00DB7F50"/>
    <w:rsid w:val="00DC013B"/>
    <w:rsid w:val="00DE30C7"/>
    <w:rsid w:val="00DF400F"/>
    <w:rsid w:val="00DF48E2"/>
    <w:rsid w:val="00E15BF4"/>
    <w:rsid w:val="00E2376B"/>
    <w:rsid w:val="00E26935"/>
    <w:rsid w:val="00E27707"/>
    <w:rsid w:val="00E333C8"/>
    <w:rsid w:val="00E46FB3"/>
    <w:rsid w:val="00E52B04"/>
    <w:rsid w:val="00E661B7"/>
    <w:rsid w:val="00E90A9D"/>
    <w:rsid w:val="00EB076B"/>
    <w:rsid w:val="00EB611A"/>
    <w:rsid w:val="00F2069F"/>
    <w:rsid w:val="00F51EF6"/>
    <w:rsid w:val="00F53370"/>
    <w:rsid w:val="00F90BE2"/>
    <w:rsid w:val="00FB1D7A"/>
    <w:rsid w:val="00FC0CEA"/>
    <w:rsid w:val="00FD63AC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3F46F69D"/>
  <w15:chartTrackingRefBased/>
  <w15:docId w15:val="{D381F634-0C15-4454-8DBD-75C4E88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9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337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37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37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37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37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37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37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37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37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37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F5337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F5337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F5337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5337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F5337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F5337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F5337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F533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F53370"/>
  </w:style>
  <w:style w:type="character" w:customStyle="1" w:styleId="FooterChar">
    <w:name w:val="Footer Char"/>
    <w:basedOn w:val="DefaultParagraphFont"/>
    <w:link w:val="Footer"/>
    <w:rsid w:val="00F53370"/>
    <w:rPr>
      <w:rFonts w:ascii="Times New Roman" w:eastAsia="Times New Roman" w:hAnsi="Times New Roman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F5337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F5337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F53370"/>
  </w:style>
  <w:style w:type="character" w:customStyle="1" w:styleId="HeaderChar">
    <w:name w:val="Header Char"/>
    <w:basedOn w:val="DefaultParagraphFont"/>
    <w:link w:val="Header"/>
    <w:rsid w:val="00F5337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F5337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F53370"/>
    <w:rPr>
      <w:sz w:val="24"/>
      <w:vertAlign w:val="superscript"/>
    </w:rPr>
  </w:style>
  <w:style w:type="table" w:styleId="TableGrid">
    <w:name w:val="Table Grid"/>
    <w:basedOn w:val="TableNormal"/>
    <w:uiPriority w:val="39"/>
    <w:rsid w:val="00F5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6DD4"/>
    <w:rPr>
      <w:color w:val="0000FF"/>
      <w:u w:val="single"/>
    </w:rPr>
  </w:style>
  <w:style w:type="paragraph" w:styleId="Revision">
    <w:name w:val="Revision"/>
    <w:hidden/>
    <w:uiPriority w:val="99"/>
    <w:semiHidden/>
    <w:rsid w:val="00976F7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96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yperlink" Target="https://hiia.hu/en/reindustrialization-in-the-age-of-fragmentation/" TargetMode="External"/><Relationship Id="rId26" Type="http://schemas.openxmlformats.org/officeDocument/2006/relationships/customXml" Target="../customXml/item1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16" Type="http://schemas.openxmlformats.org/officeDocument/2006/relationships/footer" Target="footer1.xml"/><Relationship Id="rId20" Type="http://schemas.openxmlformats.org/officeDocument/2006/relationships/header" Target="header7.xml"/><Relationship Id="rId29" Type="http://schemas.openxmlformats.org/officeDocument/2006/relationships/customXml" Target="../customXml/item4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hyperlink" Target="https://link.springer.com/chapter/10.1007/978-981-19-5674-4_5" TargetMode="Externa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openxmlformats.org/officeDocument/2006/relationships/footer" Target="footer2.xml"/><Relationship Id="rId27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sc.europa.eu/cs/our-work/opinions-information-reports/opinions/recommendations-organised-civil-society-address-cost-living-crisis" TargetMode="External"/><Relationship Id="rId13" Type="http://schemas.openxmlformats.org/officeDocument/2006/relationships/hyperlink" Target="https://energy.ec.europa.eu/data-and-analysis/energy-prices-and-costs-europe_en" TargetMode="External"/><Relationship Id="rId3" Type="http://schemas.openxmlformats.org/officeDocument/2006/relationships/hyperlink" Target="https://www.eesc.europa.eu/cs/our-work/opinions-information-reports/opinions/how-single-market-dysfunctionalities-contribute-rising-cost-living" TargetMode="External"/><Relationship Id="rId7" Type="http://schemas.openxmlformats.org/officeDocument/2006/relationships/hyperlink" Target="https://www.eesc.europa.eu/cs/our-work/opinions-information-reports/opinions/price-hikes-transport-energy-and-housing-role-quality-public-services-tackling-high-cost-living" TargetMode="External"/><Relationship Id="rId12" Type="http://schemas.openxmlformats.org/officeDocument/2006/relationships/hyperlink" Target="https://ec.europa.eu/eurostat" TargetMode="External"/><Relationship Id="rId2" Type="http://schemas.openxmlformats.org/officeDocument/2006/relationships/hyperlink" Target="https://www.eesc.europa.eu/cs/our-work/opinions-information-reports/opinions/leaving-crises-behind-measures-resilient-cohesive-and-inclusive-european-economy" TargetMode="External"/><Relationship Id="rId16" Type="http://schemas.openxmlformats.org/officeDocument/2006/relationships/hyperlink" Target="https://www.eurofound.europa.eu/sites/default/files/2024-03/ef23029en.pdf" TargetMode="External"/><Relationship Id="rId1" Type="http://schemas.openxmlformats.org/officeDocument/2006/relationships/hyperlink" Target="https://www.eesc.europa.eu/cs/our-work/opinions-information-reports/opinions/reindustrialisation-europe-opportunity-businesses-employees-and-citizens-context-cost-living-crisis" TargetMode="External"/><Relationship Id="rId6" Type="http://schemas.openxmlformats.org/officeDocument/2006/relationships/hyperlink" Target="https://www.eesc.europa.eu/cs/our-work/opinions-information-reports/opinions/how-address-loss-purchasing-power-and-risk-rising-inequalities-exclusion-and-marginalization" TargetMode="External"/><Relationship Id="rId11" Type="http://schemas.openxmlformats.org/officeDocument/2006/relationships/hyperlink" Target="https://www.eurofound.europa.eu/en/publications/2025/quality-life-eu-2024-results-living-and-working-eu-e-survey" TargetMode="External"/><Relationship Id="rId5" Type="http://schemas.openxmlformats.org/officeDocument/2006/relationships/hyperlink" Target="https://www.eesc.europa.eu/cs/our-work/opinions-information-reports/opinions/fragmentation-supply-chains-and-impact-cost-living" TargetMode="External"/><Relationship Id="rId15" Type="http://schemas.openxmlformats.org/officeDocument/2006/relationships/hyperlink" Target="https://ec.europa.eu/eurostat/statistics-explained/index.php?title=National_accounts_and_GDP" TargetMode="External"/><Relationship Id="rId10" Type="http://schemas.openxmlformats.org/officeDocument/2006/relationships/hyperlink" Target="https://multimedia.europarl.europa.eu/cs/topic/eurobarometer_22003" TargetMode="External"/><Relationship Id="rId4" Type="http://schemas.openxmlformats.org/officeDocument/2006/relationships/hyperlink" Target="https://www.eesc.europa.eu/cs/our-work/opinions-information-reports/opinions/phasing-out-fossil-fuel-subsidies-while-ensuring-european-competitiveness-mitigating-cost-living-crisis-and-promoting" TargetMode="External"/><Relationship Id="rId9" Type="http://schemas.openxmlformats.org/officeDocument/2006/relationships/hyperlink" Target="https://europa.eu/eurobarometer/surveys/detail/2932" TargetMode="External"/><Relationship Id="rId14" Type="http://schemas.openxmlformats.org/officeDocument/2006/relationships/hyperlink" Target="https://commission.europa.eu/topics/strengthening-european-competitiveness/eu-competitiveness-looking-ahead_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BB3B767F3CF4149BF520211D4A86BC0" ma:contentTypeVersion="4" ma:contentTypeDescription="Defines the documents for Document Manager V2" ma:contentTypeScope="" ma:versionID="8f2b3a3e062f062a7ee8ba210ef02323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be3ca9a7-9286-4008-99ec-aebc20da9dc2" targetNamespace="http://schemas.microsoft.com/office/2006/metadata/properties" ma:root="true" ma:fieldsID="f021f5764e4548d9eb17bdf3b768072d" ns2:_="" ns3:_="" ns4:_="">
    <xsd:import namespace="1a33af13-4045-4f88-9d7b-618e30f79918"/>
    <xsd:import namespace="http://schemas.microsoft.com/sharepoint/v3/fields"/>
    <xsd:import namespace="be3ca9a7-9286-4008-99ec-aebc20da9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a9a7-9286-4008-99ec-aebc20da9dc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A6WAAD5KZT2Q-604569563-13002</_dlc_DocId>
    <_dlc_DocIdUrl xmlns="1a33af13-4045-4f88-9d7b-618e30f79918">
      <Url>http://dm/eesc/2025/_layouts/15/DocIdRedir.aspx?ID=A6WAAD5KZT2Q-604569563-13002</Url>
      <Description>A6WAAD5KZT2Q-604569563-13002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2025-06-30T12:00:00+00:00</ProductionDate>
    <DocumentNumber xmlns="be3ca9a7-9286-4008-99ec-aebc20da9dc2">169</DocumentNumber>
    <FicheYear xmlns="1a33af13-4045-4f88-9d7b-618e30f79918" xsi:nil="true"/>
    <DossierNumber xmlns="1a33af13-4045-4f88-9d7b-618e30f79918">239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79</Value>
      <Value>63</Value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16</Value>
      <Value>15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Rapporteur xmlns="1a33af13-4045-4f88-9d7b-618e30f79918">SITÁROVÁ &amp; BARCELÓ DELGADO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6850</FicheNumber>
    <OriginalSender xmlns="1a33af13-4045-4f88-9d7b-618e30f79918">
      <UserInfo>
        <DisplayName>Kupcakova Linda</DisplayName>
        <AccountId>1533</AccountId>
        <AccountType/>
      </UserInfo>
    </OriginalSender>
    <DocumentPart xmlns="1a33af13-4045-4f88-9d7b-618e30f79918">0</DocumentPart>
    <AdoptionDate xmlns="1a33af13-4045-4f88-9d7b-618e30f79918">2025-06-18T12:00:00+00:00</AdoptionDate>
    <RequestingService xmlns="1a33af13-4045-4f88-9d7b-618e30f79918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be3ca9a7-9286-4008-99ec-aebc20da9dc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1a33af13-4045-4f88-9d7b-618e30f79918">1</DocumentVersion>
  </documentManagement>
</p:properties>
</file>

<file path=customXml/itemProps1.xml><?xml version="1.0" encoding="utf-8"?>
<ds:datastoreItem xmlns:ds="http://schemas.openxmlformats.org/officeDocument/2006/customXml" ds:itemID="{BAF3AA0D-031B-48A7-9285-CB3A4A61F510}"/>
</file>

<file path=customXml/itemProps2.xml><?xml version="1.0" encoding="utf-8"?>
<ds:datastoreItem xmlns:ds="http://schemas.openxmlformats.org/officeDocument/2006/customXml" ds:itemID="{FB012066-0982-456B-9BE4-AD0606CBC3D1}"/>
</file>

<file path=customXml/itemProps3.xml><?xml version="1.0" encoding="utf-8"?>
<ds:datastoreItem xmlns:ds="http://schemas.openxmlformats.org/officeDocument/2006/customXml" ds:itemID="{4240CB21-6C9D-490D-BCED-2BDF290BBB15}"/>
</file>

<file path=customXml/itemProps4.xml><?xml version="1.0" encoding="utf-8"?>
<ds:datastoreItem xmlns:ds="http://schemas.openxmlformats.org/officeDocument/2006/customXml" ds:itemID="{2FD7855C-E6A6-4FAF-8F6C-8C6E88AE72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3242</Words>
  <Characters>19555</Characters>
  <Application>Microsoft Office Word</Application>
  <DocSecurity>0</DocSecurity>
  <Lines>1029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EESC AC - Model</vt:lpstr>
    </vt:vector>
  </TitlesOfParts>
  <Company>CESE-CdR</Company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Reindustrializace Evropy v kontextu krize životních nákladů</dc:title>
  <dc:subject>AC</dc:subject>
  <dc:creator>Francois Aude</dc:creator>
  <cp:keywords>EESC-2025-00169-00-01-AC-TRA-EN</cp:keywords>
  <dc:description>Rapporteur: SITÁROVÁ &amp; BARCELÓ DELGADO - Original language: EN - Date of document: 30.06.2025 - Date of meeting:  - External documents:  - Administrator:  DORYWALSKI ADAM</dc:description>
  <cp:lastModifiedBy>Kupcakova Linda</cp:lastModifiedBy>
  <cp:revision>21</cp:revision>
  <dcterms:created xsi:type="dcterms:W3CDTF">2025-06-30T10:01:00Z</dcterms:created>
  <dcterms:modified xsi:type="dcterms:W3CDTF">2025-06-30T11:21:00Z</dcterms:modified>
  <cp:category>CCMI/239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30/06/2025, 20/06/2025, 17/04/2024, 12/04/2024, 17/05/2022</vt:lpwstr>
  </property>
  <property fmtid="{D5CDD505-2E9C-101B-9397-08002B2CF9AE}" pid="4" name="Pref_Time">
    <vt:lpwstr>12:01:33, 12:15:47, 09:47:22, 11:43:34, 14:58:36</vt:lpwstr>
  </property>
  <property fmtid="{D5CDD505-2E9C-101B-9397-08002B2CF9AE}" pid="5" name="Pref_User">
    <vt:lpwstr>nnas, amett, enied, enied, enied</vt:lpwstr>
  </property>
  <property fmtid="{D5CDD505-2E9C-101B-9397-08002B2CF9AE}" pid="6" name="Pref_FileName">
    <vt:lpwstr>EESC-2025-00169-00-01-AC-ORI.docx, EESC-2025-00169-00-00-AC-TRA-EN-CRR.docx, COR-EESC-2024-01326-10-00-ADMIN-TRA-EN.docx, COR-EESC-2024-01326-10-00-ADMIN-ORI.docx, COR-EESC-2022-02592-00-00-ADMIN-ORI.docx</vt:lpwstr>
  </property>
  <property fmtid="{D5CDD505-2E9C-101B-9397-08002B2CF9AE}" pid="7" name="ContentTypeId">
    <vt:lpwstr>0x010100EA97B91038054C99906057A708A1480A006BB3B767F3CF4149BF520211D4A86BC0</vt:lpwstr>
  </property>
  <property fmtid="{D5CDD505-2E9C-101B-9397-08002B2CF9AE}" pid="8" name="_dlc_DocIdItemGuid">
    <vt:lpwstr>850e4db8-9f40-46e6-b01b-33c7699e41d7</vt:lpwstr>
  </property>
  <property fmtid="{D5CDD505-2E9C-101B-9397-08002B2CF9AE}" pid="9" name="AvailableTranslations">
    <vt:lpwstr>33;#PT|50ccc04a-eadd-42ae-a0cb-acaf45f812ba;#32;#MT|7df99101-6854-4a26-b53a-b88c0da02c26;#31;#SL|98a412ae-eb01-49e9-ae3d-585a81724cfc;#29;#CS|72f9705b-0217-4fd3-bea2-cbc7ed80e26e;#16;#ES|e7a6b05b-ae16-40c8-add9-68b64b03aeba;#43;#GA|762d2456-c427-4ecb-b312-af3dad8e258c;#39;#LV|46f7e311-5d9f-4663-b433-18aeccb7ace7;#12;#FR|d2afafd3-4c81-4f60-8f52-ee33f2f54ff3;#40;#DA|5d49c027-8956-412b-aa16-e85a0f96ad0e;#42;#EL|6d4f4d51-af9b-4650-94b4-4276bee85c91;#50;#HR|2f555653-ed1a-4fe6-8362-9082d95989e5;#27;#NL|55c6556c-b4f4-441d-9acf-c498d4f838bd;#28;#SV|c2ed69e7-a339-43d7-8f22-d93680a92aa0;#47;#BG|1a1b3951-7821-4e6a-85f5-5673fc08bd2c;#41;#ET|ff6c3f4c-b02c-4c3c-ab07-2c37995a7a0a;#24;#PL|1e03da61-4678-4e07-b136-b5024ca9197b;#46;#SK|46d9fce0-ef79-4f71-b89b-cd6aa82426b8;#23;#DE|f6b31e5a-26fa-4935-b661-318e46daf27e;#37;#HU|6b229040-c589-4408-b4c1-4285663d20a8;#5;#EN|f2175f21-25d7-44a3-96da-d6a61b075e1b;#35;#FI|87606a43-d45f-42d6-b8c9-e1a3457db5b7;#30;#LT|a7ff5ce7-6123-4f68-865a-a57c31810414;#34;#IT|0774613c-01ed-4e5d-a25d-11d2388de825;#36;#RO|feb747a2-64cd-4299-af12-4833ddc30497</vt:lpwstr>
  </property>
  <property fmtid="{D5CDD505-2E9C-101B-9397-08002B2CF9AE}" pid="10" name="DocumentType_0">
    <vt:lpwstr>AC|a4cc1d15-fb08-4679-ad46-e4e0cba5fe92</vt:lpwstr>
  </property>
  <property fmtid="{D5CDD505-2E9C-101B-9397-08002B2CF9AE}" pid="11" name="DossierName_0">
    <vt:lpwstr>CCMI|3451ec22-e6ff-42b3-8610-379fec773b3a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169</vt:i4>
  </property>
  <property fmtid="{D5CDD505-2E9C-101B-9397-08002B2CF9AE}" pid="14" name="DocumentVersion">
    <vt:i4>1</vt:i4>
  </property>
  <property fmtid="{D5CDD505-2E9C-101B-9397-08002B2CF9AE}" pid="15" name="DossierNumber">
    <vt:i4>239</vt:i4>
  </property>
  <property fmtid="{D5CDD505-2E9C-101B-9397-08002B2CF9AE}" pid="16" name="DocumentStatus">
    <vt:lpwstr>13;#TRA|150d2a88-1431-44e6-a8ca-0bb753ab8672</vt:lpwstr>
  </property>
  <property fmtid="{D5CDD505-2E9C-101B-9397-08002B2CF9AE}" pid="17" name="DossierName">
    <vt:lpwstr>63;#CCMI|3451ec22-e6ff-42b3-8610-379fec773b3a</vt:lpwstr>
  </property>
  <property fmtid="{D5CDD505-2E9C-101B-9397-08002B2CF9AE}" pid="18" name="RequestingService">
    <vt:lpwstr>Commission consultative des mutations industrielles</vt:lpwstr>
  </property>
  <property fmtid="{D5CDD505-2E9C-101B-9397-08002B2CF9AE}" pid="19" name="Confidentiality">
    <vt:lpwstr>15;#Unrestricted|826e22d7-d029-4ec0-a450-0c28ff673572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5;#EN|f2175f21-25d7-44a3-96da-d6a61b075e1b</vt:lpwstr>
  </property>
  <property fmtid="{D5CDD505-2E9C-101B-9397-08002B2CF9AE}" pid="23" name="MeetingName">
    <vt:lpwstr/>
  </property>
  <property fmtid="{D5CDD505-2E9C-101B-9397-08002B2CF9AE}" pid="25" name="AvailableTranslations_0">
    <vt:lpwstr>PT|50ccc04a-eadd-42ae-a0cb-acaf45f812ba;SL|98a412ae-eb01-49e9-ae3d-585a81724cfc;ES|e7a6b05b-ae16-40c8-add9-68b64b03aeba;FR|d2afafd3-4c81-4f60-8f52-ee33f2f54ff3;DA|5d49c027-8956-412b-aa16-e85a0f96ad0e;HR|2f555653-ed1a-4fe6-8362-9082d95989e5;ET|ff6c3f4c-b02c-4c3c-ab07-2c37995a7a0a;DE|f6b31e5a-26fa-4935-b661-318e46daf27e;EN|f2175f21-25d7-44a3-96da-d6a61b075e1b;FI|87606a43-d45f-42d6-b8c9-e1a3457db5b7;IT|0774613c-01ed-4e5d-a25d-11d2388de825</vt:lpwstr>
  </property>
  <property fmtid="{D5CDD505-2E9C-101B-9397-08002B2CF9AE}" pid="26" name="DocumentStatus_0">
    <vt:lpwstr>TRA|150d2a88-1431-44e6-a8ca-0bb753ab8672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35;#FI|87606a43-d45f-42d6-b8c9-e1a3457db5b7;#34;#IT|0774613c-01ed-4e5d-a25d-11d2388de825;#33;#PT|50ccc04a-eadd-42ae-a0cb-acaf45f812ba;#31;#SL|98a412ae-eb01-49e9-ae3d-585a81724cfc;#79;#AC|a4cc1d15-fb08-4679-ad46-e4e0cba5fe92;#63;#CCMI|3451ec22-e6ff-42b3-8610-379fec773b3a;#50;#HR|2f555653-ed1a-4fe6-8362-9082d95989e5;#23;#DE|f6b31e5a-26fa-4935-b661-318e46daf27e;#16;#ES|e7a6b05b-ae16-40c8-add9-68b64b03aeba;#15;#Unrestricted|826e22d7-d029-4ec0-a450-0c28ff673572;#13;#TRA|150d2a88-1431-44e6-a8ca-0bb753ab8672;#12;#FR|d2afafd3-4c81-4f60-8f52-ee33f2f54ff3;#8;#Final|ea5e6674-7b27-4bac-b091-73adbb394efe;#5;#EN|f2175f21-25d7-44a3-96da-d6a61b075e1b;#41;#ET|ff6c3f4c-b02c-4c3c-ab07-2c37995a7a0a;#40;#DA|5d49c027-8956-412b-aa16-e85a0f96ad0e;#1;#EESC|422833ec-8d7e-4e65-8e4e-8bed07ffb729</vt:lpwstr>
  </property>
  <property fmtid="{D5CDD505-2E9C-101B-9397-08002B2CF9AE}" pid="29" name="Rapporteur">
    <vt:lpwstr>SITÁROVÁ &amp; BARCELÓ DELGADO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2025</vt:i4>
  </property>
  <property fmtid="{D5CDD505-2E9C-101B-9397-08002B2CF9AE}" pid="33" name="FicheNumber">
    <vt:i4>6850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AdoptionDate">
    <vt:filetime>2025-06-18T12:00:00Z</vt:filetime>
  </property>
  <property fmtid="{D5CDD505-2E9C-101B-9397-08002B2CF9AE}" pid="37" name="DocumentType">
    <vt:lpwstr>79;#AC|a4cc1d15-fb08-4679-ad46-e4e0cba5fe92</vt:lpwstr>
  </property>
  <property fmtid="{D5CDD505-2E9C-101B-9397-08002B2CF9AE}" pid="38" name="DocumentLanguage">
    <vt:lpwstr>29;#CS|72f9705b-0217-4fd3-bea2-cbc7ed80e26e</vt:lpwstr>
  </property>
</Properties>
</file>