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121674" w14:paraId="4B18B74B" w14:textId="77777777">
        <w:trPr>
          <w:jc w:val="center"/>
        </w:trPr>
        <w:tc>
          <w:tcPr>
            <w:tcW w:w="5000" w:type="pct"/>
            <w:vAlign w:val="center"/>
          </w:tcPr>
          <w:p w:rsidR="00121674" w:rsidRDefault="009F3E2B" w14:paraId="4B8F14AB" w14:textId="77777777">
            <w:pPr>
              <w:jc w:val="center"/>
              <w:rPr>
                <w:b/>
                <w:sz w:val="72"/>
                <w:szCs w:val="72"/>
              </w:rPr>
            </w:pPr>
            <w:r>
              <w:rPr>
                <w:b/>
                <w:sz w:val="72"/>
              </w:rPr>
              <w:t>MIŠLJENJE</w:t>
            </w:r>
          </w:p>
        </w:tc>
      </w:tr>
      <w:tr w:rsidR="00121674" w14:paraId="428F80C1" w14:textId="77777777">
        <w:trPr>
          <w:trHeight w:val="567"/>
          <w:jc w:val="center"/>
        </w:trPr>
        <w:tc>
          <w:tcPr>
            <w:tcW w:w="5000" w:type="pct"/>
            <w:vAlign w:val="center"/>
          </w:tcPr>
          <w:p w:rsidR="00121674" w:rsidRDefault="009F3E2B" w14:paraId="0E3C838D" w14:textId="77777777">
            <w:pPr>
              <w:jc w:val="center"/>
              <w:rPr>
                <w:sz w:val="24"/>
                <w:szCs w:val="24"/>
              </w:rPr>
            </w:pPr>
            <w:r>
              <w:rPr>
                <w:sz w:val="24"/>
              </w:rPr>
              <w:t>Europskog gospodarskog i socijalnog odbora</w:t>
            </w:r>
          </w:p>
        </w:tc>
      </w:tr>
      <w:tr w:rsidR="00121674" w14:paraId="5FCA7EB1" w14:textId="77777777">
        <w:trPr>
          <w:jc w:val="center"/>
        </w:trPr>
        <w:tc>
          <w:tcPr>
            <w:tcW w:w="5000" w:type="pct"/>
            <w:vAlign w:val="center"/>
          </w:tcPr>
          <w:p w:rsidR="00121674" w:rsidRDefault="009F3E2B" w14:paraId="164B3F5D" w14:textId="0599872E">
            <w:pPr>
              <w:jc w:val="center"/>
              <w:rPr>
                <w:b/>
                <w:sz w:val="44"/>
                <w:szCs w:val="44"/>
              </w:rPr>
            </w:pPr>
            <w:r>
              <w:rPr>
                <w:b/>
                <w:sz w:val="44"/>
              </w:rPr>
              <w:t>Nova pravila o prekograničnoj provedbi propisa protiv nepoštenih trgovačkih praksi</w:t>
            </w:r>
          </w:p>
        </w:tc>
      </w:tr>
      <w:tr w:rsidR="00121674" w14:paraId="0A2CA787" w14:textId="77777777">
        <w:trPr>
          <w:jc w:val="center"/>
        </w:trPr>
        <w:tc>
          <w:tcPr>
            <w:tcW w:w="5000" w:type="pct"/>
            <w:vAlign w:val="center"/>
          </w:tcPr>
          <w:p w:rsidR="00121674" w:rsidRDefault="009F3E2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00121674" w14:paraId="651BE820" w14:textId="77777777">
        <w:trPr>
          <w:jc w:val="center"/>
        </w:trPr>
        <w:tc>
          <w:tcPr>
            <w:tcW w:w="5000" w:type="pct"/>
            <w:vAlign w:val="center"/>
          </w:tcPr>
          <w:p w:rsidR="00121674" w:rsidRDefault="009F3E2B" w14:paraId="6FD6DDC7" w14:textId="77777777">
            <w:pPr>
              <w:jc w:val="center"/>
              <w:rPr>
                <w:sz w:val="24"/>
                <w:szCs w:val="24"/>
              </w:rPr>
            </w:pPr>
            <w:r>
              <w:rPr>
                <w:sz w:val="24"/>
              </w:rPr>
              <w:t xml:space="preserve">Prijedlog uredbe Europskog parlamenta i vijeća o suradnji među provedbenim tijelima odgovornima za provedbu Direktive (EU) 2019/633 o nepoštenim trgovačkim praksama u odnosima među poduzećima u lancu opskrbe poljoprivrednim i prehrambenim proizvodima </w:t>
            </w:r>
          </w:p>
          <w:p w:rsidR="00121674" w:rsidRDefault="009F3E2B" w14:paraId="6E238E6D" w14:textId="7EA85A3E">
            <w:pPr>
              <w:jc w:val="center"/>
              <w:rPr>
                <w:sz w:val="24"/>
                <w:szCs w:val="24"/>
              </w:rPr>
            </w:pPr>
            <w:r>
              <w:rPr>
                <w:sz w:val="24"/>
              </w:rPr>
              <w:t>(COM(2024) 576 final – 2024/0318 (COD))</w:t>
            </w:r>
          </w:p>
        </w:tc>
      </w:tr>
      <w:tr w:rsidR="00121674" w14:paraId="295584EE" w14:textId="77777777">
        <w:trPr>
          <w:jc w:val="center"/>
        </w:trPr>
        <w:tc>
          <w:tcPr>
            <w:tcW w:w="5000" w:type="pct"/>
            <w:vAlign w:val="center"/>
          </w:tcPr>
          <w:p w:rsidR="00121674" w:rsidRDefault="00121674" w14:paraId="7AA50FA1" w14:textId="21B61F57">
            <w:pPr>
              <w:jc w:val="center"/>
              <w:rPr>
                <w:sz w:val="24"/>
                <w:szCs w:val="24"/>
                <w:lang w:val="en-GB"/>
              </w:rPr>
            </w:pPr>
          </w:p>
        </w:tc>
      </w:tr>
      <w:tr w:rsidR="00121674" w14:paraId="41F47321" w14:textId="77777777">
        <w:trPr>
          <w:jc w:val="center"/>
        </w:trPr>
        <w:tc>
          <w:tcPr>
            <w:tcW w:w="5000" w:type="pct"/>
            <w:vAlign w:val="center"/>
          </w:tcPr>
          <w:p w:rsidR="00121674" w:rsidRDefault="009F3E2B" w14:paraId="50D97899" w14:textId="1B9B01AC">
            <w:pPr>
              <w:jc w:val="center"/>
              <w:rPr>
                <w:b/>
                <w:sz w:val="24"/>
                <w:szCs w:val="24"/>
              </w:rPr>
            </w:pPr>
            <w:r>
              <w:rPr>
                <w:b/>
              </w:rPr>
              <w:t>NAT/945</w:t>
            </w:r>
          </w:p>
        </w:tc>
      </w:tr>
      <w:tr w:rsidR="00121674" w14:paraId="2110FDEB" w14:textId="77777777">
        <w:trPr>
          <w:jc w:val="center"/>
        </w:trPr>
        <w:tc>
          <w:tcPr>
            <w:tcW w:w="5000" w:type="pct"/>
            <w:vAlign w:val="center"/>
          </w:tcPr>
          <w:p w:rsidR="00121674" w:rsidRDefault="00121674" w14:paraId="59F181E4" w14:textId="77777777">
            <w:pPr>
              <w:jc w:val="center"/>
              <w:rPr>
                <w:sz w:val="24"/>
                <w:szCs w:val="24"/>
                <w:lang w:val="en-GB"/>
              </w:rPr>
            </w:pPr>
          </w:p>
        </w:tc>
      </w:tr>
      <w:tr w:rsidR="00121674" w14:paraId="5DF7EBEA" w14:textId="77777777">
        <w:trPr>
          <w:jc w:val="center"/>
        </w:trPr>
        <w:tc>
          <w:tcPr>
            <w:tcW w:w="5000" w:type="pct"/>
            <w:vAlign w:val="center"/>
          </w:tcPr>
          <w:p w:rsidR="00121674" w:rsidRDefault="009F3E2B" w14:paraId="23E9DE0A" w14:textId="249BF4C9">
            <w:pPr>
              <w:jc w:val="center"/>
              <w:rPr>
                <w:sz w:val="24"/>
                <w:szCs w:val="24"/>
              </w:rPr>
            </w:pPr>
            <w:r>
              <w:rPr>
                <w:sz w:val="24"/>
              </w:rPr>
              <w:t xml:space="preserve">Izvjestiteljica: </w:t>
            </w:r>
            <w:r>
              <w:rPr>
                <w:b/>
                <w:sz w:val="24"/>
              </w:rPr>
              <w:t>Émilie PROUZET</w:t>
            </w:r>
          </w:p>
        </w:tc>
      </w:tr>
    </w:tbl>
    <w:p w:rsidR="00121674" w:rsidRDefault="009F3E2B" w14:paraId="0B225863" w14:textId="77777777">
      <w:r>
        <w:rPr>
          <w:noProof/>
          <w:sz w:val="20"/>
        </w:rPr>
        <mc:AlternateContent>
          <mc:Choice Requires="wps">
            <w:drawing>
              <wp:anchor distT="0" distB="0" distL="114300" distR="114300" simplePos="0" relativeHeight="251659264"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674" w:rsidRDefault="009F3E2B" w14:paraId="03B00903" w14:textId="77777777">
                            <w:pPr>
                              <w:jc w:val="cente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121674" w:rsidRDefault="009F3E2B" w14:paraId="03B00903" w14:textId="77777777">
                      <w:pPr>
                        <w:jc w:val="center"/>
                      </w:pPr>
                      <w:r>
                        <w:rPr>
                          <w:rFonts w:ascii="Arial" w:hAnsi="Arial"/>
                          <w:b/>
                          <w:sz w:val="48"/>
                        </w:rPr>
                        <w:t>HR</w:t>
                      </w:r>
                    </w:p>
                  </w:txbxContent>
                </v:textbox>
                <w10:wrap anchorx="margin" anchory="page"/>
              </v:shape>
            </w:pict>
          </mc:Fallback>
        </mc:AlternateContent>
      </w:r>
    </w:p>
    <w:p w:rsidR="00121674" w:rsidRDefault="00121674" w14:paraId="3FA5826A" w14:textId="77777777">
      <w:pPr>
        <w:rPr>
          <w:lang w:val="en-GB"/>
        </w:rPr>
      </w:pPr>
    </w:p>
    <w:p w:rsidR="00121674" w:rsidRDefault="00121674" w14:paraId="4B88FC0A" w14:textId="77777777">
      <w:pPr>
        <w:rPr>
          <w:lang w:val="en-GB"/>
        </w:rPr>
        <w:sectPr w:rsidR="00121674" w:rsidSect="00E95D6B">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121674" w14:paraId="21AF33F1" w14:textId="77777777">
        <w:tc>
          <w:tcPr>
            <w:tcW w:w="3085" w:type="dxa"/>
          </w:tcPr>
          <w:p w:rsidR="00121674" w:rsidRDefault="009F3E2B" w14:paraId="7B26A8E7" w14:textId="01CB6C93">
            <w:pPr>
              <w:autoSpaceDE w:val="0"/>
              <w:autoSpaceDN w:val="0"/>
              <w:jc w:val="left"/>
              <w:rPr>
                <w:szCs w:val="20"/>
              </w:rPr>
            </w:pPr>
            <w:r>
              <w:lastRenderedPageBreak/>
              <w:t>Zakonodavni postupak:</w:t>
            </w:r>
          </w:p>
        </w:tc>
        <w:tc>
          <w:tcPr>
            <w:tcW w:w="6204" w:type="dxa"/>
          </w:tcPr>
          <w:p w:rsidR="00121674" w:rsidRDefault="009B1E8D" w14:paraId="152AB004" w14:textId="1FA27235">
            <w:pPr>
              <w:autoSpaceDE w:val="0"/>
              <w:autoSpaceDN w:val="0"/>
              <w:jc w:val="left"/>
            </w:pPr>
            <w:hyperlink w:history="1" r:id="rId17">
              <w:r w:rsidR="00711C54">
                <w:rPr>
                  <w:rStyle w:val="Hyperlink"/>
                </w:rPr>
                <w:t>EU Law Tracker</w:t>
              </w:r>
            </w:hyperlink>
          </w:p>
        </w:tc>
      </w:tr>
      <w:tr w:rsidR="00121674" w14:paraId="65204742" w14:textId="77777777">
        <w:tc>
          <w:tcPr>
            <w:tcW w:w="3085" w:type="dxa"/>
          </w:tcPr>
          <w:p w:rsidR="00121674" w:rsidRDefault="009F3E2B" w14:paraId="188FD5BA" w14:textId="5FA8F4F2">
            <w:pPr>
              <w:autoSpaceDE w:val="0"/>
              <w:autoSpaceDN w:val="0"/>
              <w:jc w:val="left"/>
              <w:rPr>
                <w:szCs w:val="20"/>
              </w:rPr>
            </w:pPr>
            <w:r>
              <w:t>Zahtjev za savjetovanje:</w:t>
            </w:r>
          </w:p>
        </w:tc>
        <w:tc>
          <w:tcPr>
            <w:tcW w:w="6204" w:type="dxa"/>
          </w:tcPr>
          <w:p w:rsidR="00121674" w:rsidRDefault="009F3E2B" w14:paraId="3CE5D87B" w14:textId="77777777">
            <w:pPr>
              <w:autoSpaceDE w:val="0"/>
              <w:autoSpaceDN w:val="0"/>
              <w:jc w:val="left"/>
            </w:pPr>
            <w:r>
              <w:t>Europski parlament, 20/1/2025</w:t>
            </w:r>
          </w:p>
          <w:p w:rsidR="00121674" w:rsidRDefault="009F3E2B" w14:paraId="6107038E" w14:textId="228F4F1C">
            <w:pPr>
              <w:autoSpaceDE w:val="0"/>
              <w:autoSpaceDN w:val="0"/>
              <w:jc w:val="left"/>
              <w:rPr>
                <w:color w:val="0000FF"/>
                <w:u w:val="single"/>
              </w:rPr>
            </w:pPr>
            <w:r>
              <w:t>Vijeće, 14/2/2025</w:t>
            </w:r>
          </w:p>
        </w:tc>
      </w:tr>
      <w:tr w:rsidR="00121674" w14:paraId="3E385435" w14:textId="77777777">
        <w:tc>
          <w:tcPr>
            <w:tcW w:w="3085" w:type="dxa"/>
          </w:tcPr>
          <w:p w:rsidR="00121674" w:rsidRDefault="009F3E2B" w14:paraId="3054D729" w14:textId="5D5B5FF6">
            <w:pPr>
              <w:autoSpaceDE w:val="0"/>
              <w:autoSpaceDN w:val="0"/>
              <w:jc w:val="left"/>
              <w:rPr>
                <w:szCs w:val="20"/>
              </w:rPr>
            </w:pPr>
            <w:r>
              <w:t>Pravna osnova:</w:t>
            </w:r>
          </w:p>
        </w:tc>
        <w:tc>
          <w:tcPr>
            <w:tcW w:w="6204" w:type="dxa"/>
            <w:vAlign w:val="bottom"/>
          </w:tcPr>
          <w:p w:rsidR="00121674" w:rsidRDefault="009F3E2B" w14:paraId="41CF067A" w14:textId="6EDA9C64">
            <w:pPr>
              <w:autoSpaceDE w:val="0"/>
              <w:autoSpaceDN w:val="0"/>
              <w:jc w:val="left"/>
            </w:pPr>
            <w:r>
              <w:t>članak 43. stavak 2. i članak 304. Ugovora o funkcioniranju Europske unije</w:t>
            </w:r>
          </w:p>
        </w:tc>
      </w:tr>
      <w:tr w:rsidR="00121674" w14:paraId="46C189AE" w14:textId="77777777">
        <w:tc>
          <w:tcPr>
            <w:tcW w:w="3085" w:type="dxa"/>
          </w:tcPr>
          <w:p w:rsidR="00121674" w:rsidRDefault="009F3E2B" w14:paraId="2DA32C67" w14:textId="3D365B35">
            <w:pPr>
              <w:autoSpaceDE w:val="0"/>
              <w:autoSpaceDN w:val="0"/>
              <w:spacing w:after="240"/>
              <w:jc w:val="left"/>
              <w:rPr>
                <w:szCs w:val="20"/>
              </w:rPr>
            </w:pPr>
            <w:r>
              <w:t>Dokument/i Europske komisije:</w:t>
            </w:r>
          </w:p>
        </w:tc>
        <w:tc>
          <w:tcPr>
            <w:tcW w:w="6204" w:type="dxa"/>
            <w:vAlign w:val="bottom"/>
          </w:tcPr>
          <w:p w:rsidR="00121674" w:rsidRDefault="009B1E8D" w14:paraId="76126F72" w14:textId="3F53E777">
            <w:pPr>
              <w:jc w:val="left"/>
              <w:rPr>
                <w:u w:val="single"/>
              </w:rPr>
            </w:pPr>
            <w:hyperlink w:history="1" r:id="rId18">
              <w:r w:rsidR="003973BA">
                <w:rPr>
                  <w:rStyle w:val="Hyperlink"/>
                </w:rPr>
                <w:t>COM(2024) 576 final</w:t>
              </w:r>
            </w:hyperlink>
          </w:p>
          <w:p w:rsidR="00121674" w:rsidRDefault="009B1E8D" w14:paraId="67EB3E4A" w14:textId="10E3A948">
            <w:pPr>
              <w:autoSpaceDE w:val="0"/>
              <w:autoSpaceDN w:val="0"/>
              <w:jc w:val="left"/>
              <w:rPr>
                <w:szCs w:val="20"/>
              </w:rPr>
            </w:pPr>
            <w:hyperlink w:history="1" r:id="rId19">
              <w:r w:rsidR="00711C54">
                <w:rPr>
                  <w:rStyle w:val="Hyperlink"/>
                </w:rPr>
                <w:t>Sažetak</w:t>
              </w:r>
            </w:hyperlink>
            <w:r w:rsidR="00711C54">
              <w:t xml:space="preserve"> dokumenta COM(2024) 576 final</w:t>
            </w:r>
          </w:p>
        </w:tc>
      </w:tr>
      <w:tr w:rsidR="00121674" w14:paraId="3ABE670D" w14:textId="77777777">
        <w:tc>
          <w:tcPr>
            <w:tcW w:w="3085" w:type="dxa"/>
          </w:tcPr>
          <w:p w:rsidR="00121674" w:rsidRDefault="009F3E2B" w14:paraId="6BBCABAE" w14:textId="5C1C3859">
            <w:pPr>
              <w:autoSpaceDE w:val="0"/>
              <w:autoSpaceDN w:val="0"/>
              <w:jc w:val="left"/>
              <w:rPr>
                <w:szCs w:val="20"/>
              </w:rPr>
            </w:pPr>
            <w:r>
              <w:t>Relevantni ciljevi održivog razvoja:</w:t>
            </w:r>
          </w:p>
        </w:tc>
        <w:tc>
          <w:tcPr>
            <w:tcW w:w="6204" w:type="dxa"/>
            <w:vAlign w:val="bottom"/>
          </w:tcPr>
          <w:p w:rsidR="00121674" w:rsidRDefault="009B1E8D" w14:paraId="78FBC9A9" w14:textId="77777777">
            <w:pPr>
              <w:jc w:val="left"/>
            </w:pPr>
            <w:hyperlink w:history="1" r:id="rId20">
              <w:r w:rsidR="00711C54">
                <w:rPr>
                  <w:rStyle w:val="Hyperlink"/>
                </w:rPr>
                <w:t>2. cilj – Svijet bez gladi</w:t>
              </w:r>
            </w:hyperlink>
          </w:p>
          <w:p w:rsidR="00121674" w:rsidRDefault="009B1E8D" w14:paraId="6E7462EF" w14:textId="77777777">
            <w:pPr>
              <w:jc w:val="left"/>
              <w:rPr>
                <w:rStyle w:val="Hyperlink"/>
              </w:rPr>
            </w:pPr>
            <w:hyperlink w:history="1" r:id="rId21">
              <w:r w:rsidR="00711C54">
                <w:rPr>
                  <w:rStyle w:val="Hyperlink"/>
                </w:rPr>
                <w:t>8. – Dostojanstven rad i gospodarski rast</w:t>
              </w:r>
            </w:hyperlink>
          </w:p>
          <w:p w:rsidR="00121674" w:rsidRDefault="009B1E8D" w14:paraId="0204657C" w14:textId="77777777">
            <w:pPr>
              <w:jc w:val="left"/>
              <w:rPr>
                <w:rStyle w:val="Hyperlink"/>
              </w:rPr>
            </w:pPr>
            <w:hyperlink w:history="1" r:id="rId22">
              <w:r w:rsidR="00711C54">
                <w:rPr>
                  <w:rStyle w:val="Hyperlink"/>
                </w:rPr>
                <w:t>10. – Smanjenje nejednakosti</w:t>
              </w:r>
            </w:hyperlink>
          </w:p>
          <w:p w:rsidR="00121674" w:rsidRDefault="009F3E2B" w14:paraId="40132D52" w14:textId="575FC8D2">
            <w:pPr>
              <w:jc w:val="left"/>
              <w:rPr>
                <w:color w:val="0000FF"/>
                <w:u w:val="single"/>
              </w:rPr>
            </w:pPr>
            <w:r>
              <w:rPr>
                <w:rStyle w:val="Hyperlink"/>
              </w:rPr>
              <w:t xml:space="preserve">12. – </w:t>
            </w:r>
            <w:hyperlink w:history="1" r:id="rId23">
              <w:r>
                <w:rPr>
                  <w:rStyle w:val="Hyperlink"/>
                </w:rPr>
                <w:t>Odgovorna potrošnja i proizvodnja</w:t>
              </w:r>
            </w:hyperlink>
          </w:p>
        </w:tc>
      </w:tr>
      <w:tr w:rsidR="00121674" w14:paraId="5EFF5047" w14:textId="77777777">
        <w:tc>
          <w:tcPr>
            <w:tcW w:w="3085" w:type="dxa"/>
          </w:tcPr>
          <w:p w:rsidR="00121674" w:rsidRDefault="00121674" w14:paraId="076FE721" w14:textId="77777777">
            <w:pPr>
              <w:autoSpaceDE w:val="0"/>
              <w:autoSpaceDN w:val="0"/>
              <w:jc w:val="left"/>
              <w:rPr>
                <w:szCs w:val="20"/>
                <w:lang w:val="en-GB"/>
              </w:rPr>
            </w:pPr>
          </w:p>
        </w:tc>
        <w:tc>
          <w:tcPr>
            <w:tcW w:w="6204" w:type="dxa"/>
            <w:vAlign w:val="bottom"/>
          </w:tcPr>
          <w:p w:rsidR="00121674" w:rsidRDefault="00121674" w14:paraId="6B02A19F" w14:textId="78641BB9">
            <w:pPr>
              <w:autoSpaceDE w:val="0"/>
              <w:autoSpaceDN w:val="0"/>
              <w:jc w:val="left"/>
              <w:rPr>
                <w:szCs w:val="20"/>
                <w:lang w:val="en-GB"/>
              </w:rPr>
            </w:pPr>
          </w:p>
        </w:tc>
      </w:tr>
      <w:tr w:rsidR="00121674" w14:paraId="0E2099A6" w14:textId="77777777">
        <w:tc>
          <w:tcPr>
            <w:tcW w:w="3085" w:type="dxa"/>
          </w:tcPr>
          <w:p w:rsidR="00121674" w:rsidRDefault="009F3E2B" w14:paraId="0BC68BA5" w14:textId="77777777">
            <w:pPr>
              <w:autoSpaceDE w:val="0"/>
              <w:autoSpaceDN w:val="0"/>
              <w:jc w:val="left"/>
            </w:pPr>
            <w:r>
              <w:t>Nadležna stručna skupina:</w:t>
            </w:r>
          </w:p>
        </w:tc>
        <w:tc>
          <w:tcPr>
            <w:tcW w:w="6204" w:type="dxa"/>
          </w:tcPr>
          <w:p w:rsidR="00121674" w:rsidRDefault="009F3E2B" w14:paraId="5AE7EA9E" w14:textId="10A7FFC0">
            <w:pPr>
              <w:autoSpaceDE w:val="0"/>
              <w:autoSpaceDN w:val="0"/>
              <w:jc w:val="left"/>
            </w:pPr>
            <w:r>
              <w:t>Stručna skupina za poljoprivredu, ruralni razvoj i okoliš</w:t>
            </w:r>
          </w:p>
        </w:tc>
      </w:tr>
      <w:tr w:rsidR="00121674" w14:paraId="53972E32" w14:textId="77777777">
        <w:tc>
          <w:tcPr>
            <w:tcW w:w="3085" w:type="dxa"/>
          </w:tcPr>
          <w:p w:rsidR="00121674" w:rsidRDefault="009F3E2B" w14:paraId="13B33E83" w14:textId="77777777">
            <w:pPr>
              <w:autoSpaceDE w:val="0"/>
              <w:autoSpaceDN w:val="0"/>
              <w:jc w:val="left"/>
            </w:pPr>
            <w:r>
              <w:t>Datum usvajanja u Stručnoj skupini:</w:t>
            </w:r>
          </w:p>
        </w:tc>
        <w:tc>
          <w:tcPr>
            <w:tcW w:w="6204" w:type="dxa"/>
            <w:vAlign w:val="bottom"/>
          </w:tcPr>
          <w:p w:rsidR="00121674" w:rsidRDefault="009F3E2B" w14:paraId="5E71ECD2" w14:textId="116D6575">
            <w:pPr>
              <w:autoSpaceDE w:val="0"/>
              <w:autoSpaceDN w:val="0"/>
              <w:jc w:val="left"/>
            </w:pPr>
            <w:r>
              <w:t>12/3/2025</w:t>
            </w:r>
          </w:p>
        </w:tc>
      </w:tr>
      <w:tr w:rsidR="00121674" w14:paraId="7AE47B93" w14:textId="77777777">
        <w:tc>
          <w:tcPr>
            <w:tcW w:w="3085" w:type="dxa"/>
          </w:tcPr>
          <w:p w:rsidR="00121674" w:rsidRDefault="009F3E2B" w14:paraId="26DE3092" w14:textId="120F5127">
            <w:pPr>
              <w:autoSpaceDE w:val="0"/>
              <w:autoSpaceDN w:val="0"/>
              <w:jc w:val="left"/>
            </w:pPr>
            <w:r>
              <w:t>Datum usvajanja na plenarnom zasjedanju:</w:t>
            </w:r>
          </w:p>
        </w:tc>
        <w:tc>
          <w:tcPr>
            <w:tcW w:w="6204" w:type="dxa"/>
            <w:vAlign w:val="bottom"/>
          </w:tcPr>
          <w:p w:rsidR="00121674" w:rsidRDefault="009F3E2B" w14:paraId="34FA2183" w14:textId="03F4FAF2">
            <w:pPr>
              <w:autoSpaceDE w:val="0"/>
              <w:autoSpaceDN w:val="0"/>
              <w:jc w:val="left"/>
            </w:pPr>
            <w:r>
              <w:t>27/3/2025</w:t>
            </w:r>
          </w:p>
        </w:tc>
      </w:tr>
      <w:tr w:rsidR="00121674" w14:paraId="2FE8AE44" w14:textId="77777777">
        <w:tc>
          <w:tcPr>
            <w:tcW w:w="3085" w:type="dxa"/>
          </w:tcPr>
          <w:p w:rsidR="00121674" w:rsidRDefault="009F3E2B" w14:paraId="2A65A034" w14:textId="77777777">
            <w:pPr>
              <w:autoSpaceDE w:val="0"/>
              <w:autoSpaceDN w:val="0"/>
              <w:jc w:val="left"/>
            </w:pPr>
            <w:r>
              <w:t>Plenarno zasjedanje br.:</w:t>
            </w:r>
          </w:p>
        </w:tc>
        <w:tc>
          <w:tcPr>
            <w:tcW w:w="6204" w:type="dxa"/>
            <w:vAlign w:val="bottom"/>
          </w:tcPr>
          <w:p w:rsidR="00121674" w:rsidRDefault="00833DB1" w14:paraId="17BFB0A7" w14:textId="08E1FBF6">
            <w:pPr>
              <w:autoSpaceDE w:val="0"/>
              <w:autoSpaceDN w:val="0"/>
              <w:jc w:val="left"/>
            </w:pPr>
            <w:r>
              <w:t>595</w:t>
            </w:r>
          </w:p>
        </w:tc>
      </w:tr>
      <w:tr w:rsidR="00121674" w14:paraId="3889B17A" w14:textId="77777777">
        <w:tc>
          <w:tcPr>
            <w:tcW w:w="3085" w:type="dxa"/>
          </w:tcPr>
          <w:p w:rsidR="00121674" w:rsidRDefault="009F3E2B" w14:paraId="0C723801" w14:textId="77777777">
            <w:pPr>
              <w:autoSpaceDE w:val="0"/>
              <w:autoSpaceDN w:val="0"/>
              <w:jc w:val="left"/>
            </w:pPr>
            <w:r>
              <w:t>Rezultat glasanja</w:t>
            </w:r>
            <w:r>
              <w:br/>
              <w:t>(za/protiv/suzdržani):</w:t>
            </w:r>
          </w:p>
        </w:tc>
        <w:tc>
          <w:tcPr>
            <w:tcW w:w="6204" w:type="dxa"/>
            <w:vAlign w:val="bottom"/>
          </w:tcPr>
          <w:p w:rsidR="00121674" w:rsidRDefault="009F3E2B" w14:paraId="14DB34EA" w14:textId="410C1562">
            <w:pPr>
              <w:autoSpaceDE w:val="0"/>
              <w:autoSpaceDN w:val="0"/>
              <w:jc w:val="left"/>
            </w:pPr>
            <w:r>
              <w:t>188/0/3</w:t>
            </w:r>
          </w:p>
        </w:tc>
      </w:tr>
    </w:tbl>
    <w:p w:rsidR="00121674" w:rsidRDefault="00121674" w14:paraId="156A5F34" w14:textId="77777777">
      <w:pPr>
        <w:rPr>
          <w:lang w:val="en-GB"/>
        </w:rPr>
      </w:pPr>
    </w:p>
    <w:p w:rsidR="00121674" w:rsidRDefault="00121674" w14:paraId="2CD3051D" w14:textId="77777777">
      <w:pPr>
        <w:rPr>
          <w:lang w:val="en-GB"/>
        </w:rPr>
        <w:sectPr w:rsidR="00121674" w:rsidSect="00E95D6B">
          <w:headerReference w:type="even" r:id="rId24"/>
          <w:headerReference w:type="default" r:id="rId25"/>
          <w:footerReference w:type="default" r:id="rId26"/>
          <w:headerReference w:type="first" r:id="rId27"/>
          <w:pgSz w:w="11907" w:h="16839" w:code="9"/>
          <w:pgMar w:top="5669" w:right="1418" w:bottom="1418" w:left="1418" w:header="709" w:footer="709" w:gutter="0"/>
          <w:cols w:space="720"/>
          <w:docGrid w:linePitch="360"/>
        </w:sectPr>
      </w:pPr>
    </w:p>
    <w:p w:rsidR="00121674" w:rsidRDefault="009F3E2B" w14:paraId="7B6CBB5A" w14:textId="77777777">
      <w:pPr>
        <w:pStyle w:val="Heading1"/>
        <w:keepNext/>
      </w:pPr>
      <w:r>
        <w:rPr>
          <w:b/>
        </w:rPr>
        <w:lastRenderedPageBreak/>
        <w:t>PREPORUKE</w:t>
      </w:r>
    </w:p>
    <w:p w:rsidR="00121674" w:rsidRDefault="00121674" w14:paraId="155C5306" w14:textId="77777777">
      <w:pPr>
        <w:keepNext/>
        <w:jc w:val="left"/>
        <w:rPr>
          <w:lang w:val="en-GB"/>
        </w:rPr>
      </w:pPr>
    </w:p>
    <w:p w:rsidR="00121674" w:rsidRDefault="009F3E2B" w14:paraId="11E9D33E" w14:textId="77777777">
      <w:pPr>
        <w:keepNext/>
        <w:jc w:val="left"/>
        <w:rPr>
          <w:i/>
          <w:iCs/>
        </w:rPr>
      </w:pPr>
      <w:r>
        <w:t>Europski gospodarski i socijalni odbor (EGSO):</w:t>
      </w:r>
    </w:p>
    <w:p w:rsidR="00121674" w:rsidRDefault="00121674" w14:paraId="52599EA1" w14:textId="77777777">
      <w:pPr>
        <w:keepNext/>
        <w:ind w:left="142" w:hanging="142"/>
        <w:jc w:val="left"/>
        <w:rPr>
          <w:lang w:val="en-GB"/>
        </w:rPr>
      </w:pPr>
    </w:p>
    <w:p w:rsidR="00121674" w:rsidRDefault="009F3E2B" w14:paraId="53276DAA" w14:textId="77777777">
      <w:pPr>
        <w:pStyle w:val="Heading2"/>
      </w:pPr>
      <w:r>
        <w:t>zalaže se za jačanje suradnje nacionalnih tijela na unutarnjem tržištu;</w:t>
      </w:r>
    </w:p>
    <w:p w:rsidR="00121674" w:rsidRDefault="00121674" w14:paraId="2AA6F12B" w14:textId="77777777">
      <w:pPr>
        <w:rPr>
          <w:lang w:val="en-GB"/>
        </w:rPr>
      </w:pPr>
    </w:p>
    <w:p w:rsidR="00121674" w:rsidRDefault="009F3E2B" w14:paraId="617ED35D" w14:textId="77777777">
      <w:pPr>
        <w:pStyle w:val="Heading2"/>
      </w:pPr>
      <w:r>
        <w:t>napominje da je izuzetno važno nastojati ostvariti bolju komunikaciju, koordinaciju i suradnju među nacionalnim tijelima u svim područjima, prije svega kako bi se podnositeljima pritužbi pružila bolja potpora u njihovim radnjama. U tom kontekstu EGSO ponovno ističe važnu ulogu usmenih i pismenih prevoditelja jer su jezici i dalje značajna prepreka koja ograničava pristup postupcima;</w:t>
      </w:r>
    </w:p>
    <w:p w:rsidR="00121674" w:rsidRDefault="00121674" w14:paraId="597F8155" w14:textId="77777777">
      <w:pPr>
        <w:rPr>
          <w:lang w:val="en-GB"/>
        </w:rPr>
      </w:pPr>
    </w:p>
    <w:p w:rsidR="00121674" w:rsidRDefault="009F3E2B" w14:paraId="0B917EF6" w14:textId="77777777">
      <w:pPr>
        <w:pStyle w:val="Heading2"/>
      </w:pPr>
      <w:r>
        <w:t>pozdravlja odluku Komisije da brzo počne u zakonodavni postupak uključivati preporuke iz strateškog dijaloga o budućnosti poljoprivrede u EU-u;</w:t>
      </w:r>
    </w:p>
    <w:p w:rsidR="00121674" w:rsidRDefault="00121674" w14:paraId="67C0581D" w14:textId="77777777">
      <w:pPr>
        <w:rPr>
          <w:lang w:val="en-GB"/>
        </w:rPr>
      </w:pPr>
    </w:p>
    <w:p w:rsidR="00121674" w:rsidRDefault="009F3E2B" w14:paraId="59014BF1" w14:textId="77777777">
      <w:pPr>
        <w:pStyle w:val="Heading2"/>
      </w:pPr>
      <w:bookmarkStart w:name="_Hlk192864171" w:id="0"/>
      <w:r>
        <w:t>podržava duh otvorenog dijaloga koji je posljednjih mjeseci vladao među raznim akterima u lancu opskrbe hranom, među ostalim u okviru navedenog strateškog dijaloga, i nada se da će se takva atmosfera nastaviti i u okviru nedavno osnovanog Europskog odbora za poljoprivredu i hranu (EBAF);</w:t>
      </w:r>
      <w:bookmarkEnd w:id="0"/>
    </w:p>
    <w:p w:rsidR="00121674" w:rsidRDefault="00121674" w14:paraId="21CB3C9C" w14:textId="77777777">
      <w:pPr>
        <w:rPr>
          <w:lang w:val="en-GB"/>
        </w:rPr>
      </w:pPr>
    </w:p>
    <w:p w:rsidR="00121674" w:rsidRDefault="009F3E2B" w14:paraId="0CE10145" w14:textId="77777777">
      <w:pPr>
        <w:pStyle w:val="Heading2"/>
      </w:pPr>
      <w:r>
        <w:t>razumije da procjena učinka nije provedena jer je cilj Prijedloga uredbe samo pojasniti mehanizme suradnje nacionalnih tijela koji su već predviđeni Direktivom o nepoštenoj poslovnoj praksi;</w:t>
      </w:r>
    </w:p>
    <w:p w:rsidR="00121674" w:rsidRDefault="00121674" w14:paraId="2EFA6A51" w14:textId="77777777">
      <w:pPr>
        <w:rPr>
          <w:lang w:val="en-GB"/>
        </w:rPr>
      </w:pPr>
    </w:p>
    <w:p w:rsidR="00121674" w:rsidRDefault="009F3E2B" w14:paraId="57CD6C62" w14:textId="77777777">
      <w:pPr>
        <w:pStyle w:val="Heading2"/>
      </w:pPr>
      <w:r>
        <w:t>poziva suzakonodavce da osiguraju da predložena uredba ostane zakonodavni akt kojim se isključivo žele utvrditi administrativne i postupovne mjere;</w:t>
      </w:r>
    </w:p>
    <w:p w:rsidR="00121674" w:rsidRDefault="00121674" w14:paraId="7EC3C5F6" w14:textId="77777777">
      <w:pPr>
        <w:rPr>
          <w:lang w:val="en-GB"/>
        </w:rPr>
      </w:pPr>
    </w:p>
    <w:p w:rsidR="00121674" w:rsidRDefault="009F3E2B" w14:paraId="378E70D1" w14:textId="77777777">
      <w:pPr>
        <w:pStyle w:val="Heading2"/>
      </w:pPr>
      <w:r>
        <w:t>poziva suzakonodavce da osiguraju da poduzeća koja posluju na unutranjem tržištu imaju pravnu sigurnost i da i dalje mogu slobodno birati pravo i jurisdikciju koji se primjenjuju na njihove ugovore, pod uvjetom da se poštuje pravo tržišnog natjecanja;</w:t>
      </w:r>
    </w:p>
    <w:p w:rsidR="00121674" w:rsidRDefault="00121674" w14:paraId="6E8AE4E7" w14:textId="77777777">
      <w:pPr>
        <w:rPr>
          <w:lang w:val="en-GB"/>
        </w:rPr>
      </w:pPr>
    </w:p>
    <w:p w:rsidR="00121674" w:rsidRDefault="009F3E2B" w14:paraId="617C7018" w14:textId="77777777">
      <w:pPr>
        <w:pStyle w:val="Heading2"/>
      </w:pPr>
      <w:r>
        <w:t>stoga, s obzirom na neusklađenost među državama članicama, poziva na to da se mjere iz Uredbe primjenjuju samo na suradnju među tijelima nadležnima za provedbu zakonodavstva o nepoštenim trgovačkim praksama i pragovima koji su na razini EU-a usklađeni člancima 3. i 4. Direktive o nepoštenim trgovačkim praksama;</w:t>
      </w:r>
    </w:p>
    <w:p w:rsidR="00121674" w:rsidRDefault="00121674" w14:paraId="7DE5446C" w14:textId="77777777">
      <w:pPr>
        <w:rPr>
          <w:lang w:val="en-GB"/>
        </w:rPr>
      </w:pPr>
    </w:p>
    <w:p w:rsidR="00121674" w:rsidRDefault="009F3E2B" w14:paraId="5F7EDF2A" w14:textId="77777777">
      <w:pPr>
        <w:pStyle w:val="Heading2"/>
      </w:pPr>
      <w:r>
        <w:t>u suprotnom, poziva suzakonodavce da osiguraju da tijela nadležna za provedbu zakonodavstva imaju apsolutno pravo odbiti zahtjeve za razmjenu informacija o nacionalnim pravilima koja nisu obuhvaćena Direktivom o nepoštenim trgovačkim praksama, posebno s obzirom na to da je moguće da neka od tih pravila nisu usklađena s unutarnjim tržištem;</w:t>
      </w:r>
    </w:p>
    <w:p w:rsidR="00121674" w:rsidRDefault="00121674" w14:paraId="214438E2" w14:textId="77777777">
      <w:pPr>
        <w:rPr>
          <w:lang w:val="en-GB"/>
        </w:rPr>
      </w:pPr>
    </w:p>
    <w:p w:rsidR="00121674" w:rsidRDefault="009F3E2B" w14:paraId="5146FBC9" w14:textId="77777777">
      <w:pPr>
        <w:pStyle w:val="Heading2"/>
        <w:numPr>
          <w:ilvl w:val="1"/>
          <w:numId w:val="6"/>
        </w:numPr>
        <w:tabs>
          <w:tab w:val="num" w:pos="360"/>
        </w:tabs>
      </w:pPr>
      <w:r>
        <w:t>poziva europske suzakonodavce da očuvaju unutarnje tržište i da ne predlažu mjere koje bi mogle dovesti do ponovne nacionalizacije opskrbe u Europi i time legitimizirati teritorijalna ograničenja opskrbe, koja imaju ozbiljne posljedice za potrošače i održivost proizvoda.</w:t>
      </w:r>
    </w:p>
    <w:p w:rsidR="00121674" w:rsidRDefault="00121674" w14:paraId="2B362503" w14:textId="77777777">
      <w:pPr>
        <w:rPr>
          <w:lang w:val="en-GB"/>
        </w:rPr>
      </w:pPr>
    </w:p>
    <w:p w:rsidR="00121674" w:rsidRDefault="009F3E2B" w14:paraId="5736B982" w14:textId="77777777">
      <w:pPr>
        <w:pStyle w:val="Heading1"/>
        <w:keepNext/>
        <w:keepLines/>
        <w:rPr>
          <w:b/>
          <w:bCs/>
        </w:rPr>
      </w:pPr>
      <w:r>
        <w:rPr>
          <w:b/>
        </w:rPr>
        <w:t>POJAŠNJENJA</w:t>
      </w:r>
    </w:p>
    <w:p w:rsidR="00121674" w:rsidRDefault="00121674" w14:paraId="69778CC3" w14:textId="77777777">
      <w:pPr>
        <w:keepNext/>
        <w:keepLines/>
        <w:rPr>
          <w:lang w:val="en-GB"/>
        </w:rPr>
      </w:pPr>
    </w:p>
    <w:p w:rsidR="00121674" w:rsidRDefault="009F3E2B" w14:paraId="2A5FFB32" w14:textId="77777777">
      <w:pPr>
        <w:keepNext/>
        <w:keepLines/>
        <w:rPr>
          <w:b/>
          <w:bCs/>
          <w:i/>
          <w:iCs/>
        </w:rPr>
      </w:pPr>
      <w:r>
        <w:rPr>
          <w:b/>
          <w:i/>
        </w:rPr>
        <w:t>Argumenti u prilog preporukama 1.1. i 1.2.</w:t>
      </w:r>
    </w:p>
    <w:p w:rsidR="00121674" w:rsidRDefault="00121674" w14:paraId="3F346549" w14:textId="77777777">
      <w:pPr>
        <w:keepNext/>
        <w:keepLines/>
        <w:rPr>
          <w:lang w:val="en-GB"/>
        </w:rPr>
      </w:pPr>
    </w:p>
    <w:p w:rsidR="00121674" w:rsidRDefault="009F3E2B" w14:paraId="581E7D3B" w14:textId="77777777">
      <w:pPr>
        <w:pStyle w:val="Heading2"/>
      </w:pPr>
      <w:r>
        <w:t>EGSO je u više navrata ustvrdio da je od presudne važnosti poboljšati koordinaciju, suradnju i komunikaciju među nacionalnim tijelima. Postoje brojne prilike za poboljšanja u tom pogledu.</w:t>
      </w:r>
      <w:r>
        <w:rPr>
          <w:rStyle w:val="FootnoteReference"/>
          <w:lang w:val="en-GB"/>
        </w:rPr>
        <w:footnoteReference w:id="1"/>
      </w:r>
      <w:r>
        <w:t xml:space="preserve"> Usklađena provedba pravila i njihovo izvršenje ključni su za dobro funkcioniranje unutarnjeg tržišta i bolji pristup podnositelja pritužbi pravosuđu.</w:t>
      </w:r>
    </w:p>
    <w:p w:rsidR="00121674" w:rsidRDefault="00121674" w14:paraId="24B726DD" w14:textId="77777777">
      <w:pPr>
        <w:rPr>
          <w:lang w:val="en-GB"/>
        </w:rPr>
      </w:pPr>
    </w:p>
    <w:p w:rsidR="00121674" w:rsidRDefault="009F3E2B" w14:paraId="215AAB61" w14:textId="77777777">
      <w:pPr>
        <w:pStyle w:val="Heading2"/>
      </w:pPr>
      <w:r>
        <w:t>EGSO poziva suzakonodavce da osiguraju da predmetna uredba ostane zakonodavni akt o administrativnim i postupovnim mjerama koji se primjenjuje isključivo na suradnju tijela nadležnih za provedbu zakonodavstva o nepoštenim trgovačkim praksama.</w:t>
      </w:r>
    </w:p>
    <w:p w:rsidR="00121674" w:rsidRDefault="00121674" w14:paraId="2E6D5978" w14:textId="77777777">
      <w:pPr>
        <w:rPr>
          <w:lang w:val="en-GB"/>
        </w:rPr>
      </w:pPr>
    </w:p>
    <w:p w:rsidR="00121674" w:rsidRDefault="009F3E2B" w14:paraId="340E1108" w14:textId="77777777">
      <w:pPr>
        <w:pStyle w:val="Heading2"/>
        <w:rPr>
          <w:rFonts w:eastAsiaTheme="minorHAnsi"/>
        </w:rPr>
      </w:pPr>
      <w:r>
        <w:t>Osim toga, EGSO poziva suzakonodavce da ne mijenjaju Direktivu o nepoštenim trgovačkim praksama i da u Prijedlog uredbe ne dodaju nova pravila prije nego što se saznaju rezultati evaluacije Direktive.</w:t>
      </w:r>
    </w:p>
    <w:p w:rsidR="00121674" w:rsidRDefault="00121674" w14:paraId="1AB041D7" w14:textId="77777777">
      <w:pPr>
        <w:rPr>
          <w:lang w:val="en-GB"/>
        </w:rPr>
      </w:pPr>
    </w:p>
    <w:p w:rsidR="00121674" w:rsidRDefault="009F3E2B" w14:paraId="76DA9817" w14:textId="77777777">
      <w:pPr>
        <w:keepNext/>
        <w:keepLines/>
        <w:rPr>
          <w:b/>
          <w:bCs/>
          <w:i/>
          <w:iCs/>
        </w:rPr>
      </w:pPr>
      <w:r>
        <w:rPr>
          <w:b/>
          <w:i/>
        </w:rPr>
        <w:t>Argumenti u prilog preporukama 1.3. i 1.4.</w:t>
      </w:r>
    </w:p>
    <w:p w:rsidR="00121674" w:rsidRDefault="00121674" w14:paraId="3B099308" w14:textId="77777777">
      <w:pPr>
        <w:pStyle w:val="Heading2"/>
        <w:keepNext/>
        <w:numPr>
          <w:ilvl w:val="0"/>
          <w:numId w:val="0"/>
        </w:numPr>
        <w:rPr>
          <w:lang w:val="en-GB"/>
        </w:rPr>
      </w:pPr>
    </w:p>
    <w:p w:rsidR="00121674" w:rsidRDefault="009F3E2B" w14:paraId="795A6A4D" w14:textId="77777777">
      <w:pPr>
        <w:pStyle w:val="Heading2"/>
        <w:rPr>
          <w:rFonts w:eastAsiaTheme="minorHAnsi"/>
        </w:rPr>
      </w:pPr>
      <w:r>
        <w:t>U obrazloženju Prijedloga upućuje se na preporuke iz izvješća o strateškom dijalogu o budućnosti poljoprivrede EU-a, koje je predsjednici Europske komisije predstavljeno u rujnu 2024. To je izvješće rezultat nekoliko mjeseci rasprava između 29 organizacija dionika iz poljoprivredno-prehrambenog sektora. EGSO čestita brojnim dionicima na obavljenom radu i potiče Komisiju da taj duh dobre suradnje očuva i u okviru Europskog odbora za poljoprivredno-prehrambene proizvode.</w:t>
      </w:r>
    </w:p>
    <w:p w:rsidR="00121674" w:rsidRDefault="00121674" w14:paraId="1CAD085B" w14:textId="77777777">
      <w:pPr>
        <w:rPr>
          <w:rFonts w:eastAsiaTheme="minorHAnsi"/>
          <w:lang w:val="en-GB"/>
        </w:rPr>
      </w:pPr>
    </w:p>
    <w:p w:rsidR="00121674" w:rsidRDefault="009F3E2B" w14:paraId="3526529E" w14:textId="77777777">
      <w:pPr>
        <w:pStyle w:val="Heading2"/>
      </w:pPr>
      <w:r>
        <w:t>EGSO ujedno podržava preporuke iz tog izvješća, koje je rezultat suradničkog duha svih aktera u lancu koji su pristali raditi zajedno i poduprijeti prelazak na održivost poljoprivredno-prehrambenog lanca.</w:t>
      </w:r>
    </w:p>
    <w:p w:rsidR="00121674" w:rsidRDefault="00121674" w14:paraId="1A3C3CC9" w14:textId="77777777">
      <w:pPr>
        <w:rPr>
          <w:lang w:val="en-GB"/>
        </w:rPr>
      </w:pPr>
    </w:p>
    <w:p w:rsidR="00121674" w:rsidRDefault="009F3E2B" w14:paraId="13F4A624" w14:textId="77777777">
      <w:pPr>
        <w:keepNext/>
        <w:rPr>
          <w:b/>
          <w:bCs/>
          <w:i/>
          <w:iCs/>
        </w:rPr>
      </w:pPr>
      <w:r>
        <w:rPr>
          <w:b/>
          <w:i/>
        </w:rPr>
        <w:t>Argumenti u prilog preporukama od 1.5. do 1.8.</w:t>
      </w:r>
    </w:p>
    <w:p w:rsidR="00121674" w:rsidRDefault="00121674" w14:paraId="2B96729E" w14:textId="77777777">
      <w:pPr>
        <w:keepNext/>
        <w:rPr>
          <w:lang w:val="en-GB"/>
        </w:rPr>
      </w:pPr>
    </w:p>
    <w:p w:rsidR="00121674" w:rsidRDefault="009F3E2B" w14:paraId="45B7F270" w14:textId="77777777">
      <w:pPr>
        <w:pStyle w:val="Heading2"/>
      </w:pPr>
      <w:r>
        <w:t>EGSO naglašava koliko je važno osigurati dosljednost i proporcionalnost predmetnog prijedloga, kao i njegov učinak na pravnu sigurnost poduzeća na koje se odnosi (vidjeti izvješće Marija Draghija</w:t>
      </w:r>
      <w:r>
        <w:rPr>
          <w:sz w:val="24"/>
          <w:szCs w:val="24"/>
          <w:vertAlign w:val="superscript"/>
          <w:lang w:val="en-GB"/>
        </w:rPr>
        <w:footnoteReference w:id="2"/>
      </w:r>
      <w:r>
        <w:t>, izvješće Enrica Lette</w:t>
      </w:r>
      <w:r>
        <w:rPr>
          <w:sz w:val="24"/>
          <w:szCs w:val="24"/>
          <w:vertAlign w:val="superscript"/>
          <w:lang w:val="en-GB"/>
        </w:rPr>
        <w:footnoteReference w:id="3"/>
      </w:r>
      <w:r>
        <w:t xml:space="preserve"> i zalaganje Ursule von der Leyen za provjeru utjecaja propisa na konkurentnost</w:t>
      </w:r>
      <w:r>
        <w:rPr>
          <w:sz w:val="24"/>
          <w:szCs w:val="24"/>
          <w:vertAlign w:val="superscript"/>
          <w:lang w:val="en-GB"/>
        </w:rPr>
        <w:footnoteReference w:id="4"/>
      </w:r>
      <w:r>
        <w:t>).</w:t>
      </w:r>
    </w:p>
    <w:p w:rsidR="00121674" w:rsidRDefault="00121674" w14:paraId="3CDC80C3" w14:textId="77777777">
      <w:pPr>
        <w:rPr>
          <w:lang w:val="en-GB"/>
        </w:rPr>
      </w:pPr>
    </w:p>
    <w:p w:rsidR="00121674" w:rsidRDefault="009F3E2B" w14:paraId="72449D04" w14:textId="77777777">
      <w:pPr>
        <w:pStyle w:val="Heading2"/>
      </w:pPr>
      <w:r>
        <w:t>EGSO vjeruje da će Komisija paziti na to da se poduzećima osiguraju djelotvorne zaštitne mjere, prije svega u pogledu poštovanja odluka ugovornih stranaka u vezi s odabirom prava i jurisdikcije, pod uvjetom da se poštuje pravo tržišnog natjecanja.</w:t>
      </w:r>
    </w:p>
    <w:p w:rsidR="00121674" w:rsidRDefault="009F3E2B" w14:paraId="75BD4266" w14:textId="77777777">
      <w:pPr>
        <w:pStyle w:val="Heading2"/>
      </w:pPr>
      <w:r>
        <w:t>Naime, Prijedlog uredbe ne bi bio problematičan kad bi posvuda u Europskoj uniji pravila bila jednaka. Međutim, budući da se Direktivom o nepoštenim trgovačkim praksama iz 2019. (Direktiva (EU) 2019/633) predviđa samo minimalno usklađivanje, države članice donijele su vrlo različita pravila u tom području.</w:t>
      </w:r>
    </w:p>
    <w:p w:rsidR="00121674" w:rsidRDefault="00121674" w14:paraId="78A944FA" w14:textId="77777777">
      <w:pPr>
        <w:rPr>
          <w:lang w:val="en-GB"/>
        </w:rPr>
      </w:pPr>
    </w:p>
    <w:p w:rsidR="00121674" w:rsidRDefault="009F3E2B" w14:paraId="10C829D4" w14:textId="77777777">
      <w:pPr>
        <w:pStyle w:val="Heading2"/>
      </w:pPr>
      <w:r>
        <w:t>U članku 2. stavku 1. drugom podstavku ipak se navodi da se „zahtjevi za informacije” iz Uredbe mogu koristiti u slučaju nacionalnih pravila (donesenih u skladu s Direktivom o nepoštenim trgovačkim praksama). U stavku 4. članka 5., koji se odnosi na zahtjeve za informacije, ponavlja se mogućnost iz članka 2. da se to pravo iskoristi i u vezi s nacionalnim mjerama. Taj je stavak dopunjen odredbom kojom se tijelu primatelju zahtjeva omogućuje da odbije dostaviti takve informacije.</w:t>
      </w:r>
    </w:p>
    <w:p w:rsidR="00121674" w:rsidRDefault="00121674" w14:paraId="69F958FE" w14:textId="77777777">
      <w:pPr>
        <w:pStyle w:val="Heading2"/>
        <w:numPr>
          <w:ilvl w:val="0"/>
          <w:numId w:val="0"/>
        </w:numPr>
        <w:rPr>
          <w:lang w:val="en-GB"/>
        </w:rPr>
      </w:pPr>
    </w:p>
    <w:p w:rsidR="00121674" w:rsidRDefault="009F3E2B" w14:paraId="1DD80435" w14:textId="77777777">
      <w:pPr>
        <w:pStyle w:val="Heading2"/>
      </w:pPr>
      <w:r>
        <w:t>U praksi, deset praksi iz Direktive nezakonito je u svim državama članicama i to je jedino ostvareno usklađivanje. Kad je riječ o šest „sivih” praksi iz Direktive, neke ih države članice dopuštaju, ako je o tome postignut prethodni sporazum, dok ih druge u potpunosti zabranjuju.</w:t>
      </w:r>
    </w:p>
    <w:p w:rsidR="00121674" w:rsidRDefault="00121674" w14:paraId="0326295E" w14:textId="77777777">
      <w:pPr>
        <w:rPr>
          <w:lang w:val="en-GB"/>
        </w:rPr>
      </w:pPr>
    </w:p>
    <w:p w:rsidR="00121674" w:rsidRDefault="009F3E2B" w14:paraId="6A0DB2E5" w14:textId="77777777">
      <w:pPr>
        <w:pStyle w:val="Heading2"/>
      </w:pPr>
      <w:r>
        <w:t>Moguće je da su nacionalne mjere koje odstupaju od onih predviđenih Direktivom ili dopunjuju prakse iz Direktive rezultat odgovora određene države članice na nacionalni kontekst i stoga nisu obuhvaćene područjem primjene predmetnog prijedloga uredbe.</w:t>
      </w:r>
    </w:p>
    <w:p w:rsidR="00121674" w:rsidRDefault="00121674" w14:paraId="2A94DA6E" w14:textId="77777777">
      <w:pPr>
        <w:ind w:left="567" w:hanging="567"/>
        <w:rPr>
          <w:lang w:val="en-GB"/>
        </w:rPr>
      </w:pPr>
    </w:p>
    <w:p w:rsidR="00121674" w:rsidRDefault="009F3E2B" w14:paraId="2B8C7345" w14:textId="77777777">
      <w:pPr>
        <w:pStyle w:val="Heading2"/>
        <w:numPr>
          <w:ilvl w:val="1"/>
          <w:numId w:val="7"/>
        </w:numPr>
        <w:tabs>
          <w:tab w:val="num" w:pos="360"/>
        </w:tabs>
      </w:pPr>
      <w:r>
        <w:t>Osim toga, većina država članica izmijenila je ili uklonila pragove u pogledu prometa utvrđene u Direktivi. Nekoliko ih je dodalo nove prakse na „sivi” i „crni” popis.</w:t>
      </w:r>
    </w:p>
    <w:p w:rsidR="00121674" w:rsidRDefault="00121674" w14:paraId="462EF894" w14:textId="77777777">
      <w:pPr>
        <w:ind w:left="567"/>
        <w:rPr>
          <w:lang w:val="en-GB"/>
        </w:rPr>
      </w:pPr>
    </w:p>
    <w:p w:rsidR="00121674" w:rsidRDefault="009F3E2B" w14:paraId="13032FCB" w14:textId="77777777">
      <w:pPr>
        <w:pStyle w:val="ListParagraph"/>
        <w:numPr>
          <w:ilvl w:val="0"/>
          <w:numId w:val="8"/>
        </w:numPr>
        <w:overflowPunct w:val="0"/>
        <w:autoSpaceDE w:val="0"/>
        <w:autoSpaceDN w:val="0"/>
        <w:adjustRightInd w:val="0"/>
        <w:spacing w:after="0" w:line="288" w:lineRule="auto"/>
        <w:ind w:left="924" w:hanging="357"/>
        <w:jc w:val="both"/>
        <w:textAlignment w:val="baseline"/>
        <w:rPr>
          <w:rFonts w:ascii="Times New Roman" w:hAnsi="Times New Roman" w:cs="Times New Roman"/>
        </w:rPr>
      </w:pPr>
      <w:r>
        <w:rPr>
          <w:rFonts w:ascii="Times New Roman" w:hAnsi="Times New Roman"/>
        </w:rPr>
        <w:t>Međutim, neka nacionalna pravila koja izlaze iz okvira Direktive o nepoštenim trgovačkim praksama mogla bi biti u suprotnosti sa zakonodavstvom EU-a s obzirom na to da Komisija prošloga travnja još nije dovršila svoju reviziju usklađenosti kako bi procijenila jesu li nacionalne provedbene mjere u skladu s tom direktivom.</w:t>
      </w:r>
      <w:r>
        <w:rPr>
          <w:rFonts w:ascii="Times New Roman" w:hAnsi="Times New Roman" w:cs="Times New Roman"/>
          <w:sz w:val="24"/>
          <w:szCs w:val="24"/>
          <w:vertAlign w:val="superscript"/>
          <w:lang w:val="en-GB"/>
        </w:rPr>
        <w:footnoteReference w:id="5"/>
      </w:r>
    </w:p>
    <w:p w:rsidR="00121674" w:rsidRDefault="009F3E2B" w14:paraId="7C4D330B" w14:textId="77777777">
      <w:pPr>
        <w:pStyle w:val="ListParagraph"/>
        <w:numPr>
          <w:ilvl w:val="0"/>
          <w:numId w:val="8"/>
        </w:numPr>
        <w:overflowPunct w:val="0"/>
        <w:autoSpaceDE w:val="0"/>
        <w:autoSpaceDN w:val="0"/>
        <w:adjustRightInd w:val="0"/>
        <w:spacing w:after="0" w:line="288" w:lineRule="auto"/>
        <w:ind w:left="924" w:hanging="357"/>
        <w:jc w:val="both"/>
        <w:textAlignment w:val="baseline"/>
        <w:rPr>
          <w:rFonts w:ascii="Times New Roman" w:hAnsi="Times New Roman" w:cs="Times New Roman"/>
        </w:rPr>
      </w:pPr>
      <w:r>
        <w:rPr>
          <w:rFonts w:ascii="Times New Roman" w:hAnsi="Times New Roman"/>
        </w:rPr>
        <w:t>Stroža nacionalna pravila nisu bila predmet zahtjeva za informacije ili detaljnije studije radi evaluacije njihove usklađenosti s pravilima o funkcioniranju jedinstvenog tržišta na temelju članka 9. Direktive o nepoštenim trgovačkim praksama.</w:t>
      </w:r>
      <w:r>
        <w:rPr>
          <w:rFonts w:ascii="Times New Roman" w:hAnsi="Times New Roman" w:cs="Times New Roman"/>
          <w:sz w:val="24"/>
          <w:szCs w:val="24"/>
          <w:vertAlign w:val="superscript"/>
          <w:lang w:val="en-GB"/>
        </w:rPr>
        <w:footnoteReference w:id="6"/>
      </w:r>
    </w:p>
    <w:p w:rsidR="00121674" w:rsidRDefault="009F3E2B" w14:paraId="38AC24F5" w14:textId="77777777">
      <w:pPr>
        <w:pStyle w:val="ListParagraph"/>
        <w:numPr>
          <w:ilvl w:val="0"/>
          <w:numId w:val="8"/>
        </w:numPr>
        <w:overflowPunct w:val="0"/>
        <w:autoSpaceDE w:val="0"/>
        <w:autoSpaceDN w:val="0"/>
        <w:adjustRightInd w:val="0"/>
        <w:spacing w:after="0" w:line="288" w:lineRule="auto"/>
        <w:ind w:left="924" w:hanging="357"/>
        <w:jc w:val="both"/>
        <w:textAlignment w:val="baseline"/>
      </w:pPr>
      <w:r>
        <w:rPr>
          <w:rFonts w:ascii="Times New Roman" w:hAnsi="Times New Roman"/>
        </w:rPr>
        <w:t>Naposljetku, Komisija dosad nije obradila pritužbe u pogledu usklađenosti nacionalnih pravila s pravilima o funkcioniranju unutarnjeg tržišta.</w:t>
      </w:r>
    </w:p>
    <w:p w:rsidR="00121674" w:rsidRDefault="00121674" w14:paraId="3F129D80" w14:textId="77777777">
      <w:pPr>
        <w:pStyle w:val="Heading2"/>
        <w:numPr>
          <w:ilvl w:val="0"/>
          <w:numId w:val="0"/>
        </w:numPr>
        <w:rPr>
          <w:lang w:val="en-GB"/>
        </w:rPr>
      </w:pPr>
    </w:p>
    <w:p w:rsidR="00121674" w:rsidRDefault="009F3E2B" w14:paraId="483110D0" w14:textId="77777777">
      <w:pPr>
        <w:pStyle w:val="Heading2"/>
      </w:pPr>
      <w:r>
        <w:t>EGSO je zabrinut da bi navedene odredbe mogle ugroziti pravnu sigurnost za poduzeća. Poziva na uvođenje zaštitnih mjera kako bi se osiguralo da se tim odredbama ne otvori mogućnost za primjenu pravila o odabiru prava i jurisdikcije koji nisu dogovoreni u ugovoru, pod uvjetom da se poštuje pravo tržišnog natjecanja.</w:t>
      </w:r>
    </w:p>
    <w:p w:rsidR="00121674" w:rsidRDefault="00121674" w14:paraId="1D5EE92F" w14:textId="77777777">
      <w:pPr>
        <w:rPr>
          <w:lang w:val="en-GB"/>
        </w:rPr>
      </w:pPr>
    </w:p>
    <w:p w:rsidR="00121674" w:rsidRDefault="009F3E2B" w14:paraId="5D247FF2" w14:textId="77777777">
      <w:pPr>
        <w:pStyle w:val="Heading2"/>
      </w:pPr>
      <w:r>
        <w:t>Kako bi se osigurala pravna sigurnost u pogledu područja primjene, EGSO poziva na to da se u članku 2. Prijedloga uredbe navede da se Uredba primjenjuje isključivo:</w:t>
      </w:r>
    </w:p>
    <w:p w:rsidR="00121674" w:rsidRDefault="00121674" w14:paraId="5C4D58E1" w14:textId="77777777">
      <w:pPr>
        <w:ind w:left="567"/>
        <w:rPr>
          <w:lang w:val="en-GB"/>
        </w:rPr>
      </w:pPr>
    </w:p>
    <w:p w:rsidR="00121674" w:rsidRDefault="009F3E2B" w14:paraId="1E579425" w14:textId="77777777">
      <w:pPr>
        <w:pStyle w:val="Heading2"/>
        <w:numPr>
          <w:ilvl w:val="0"/>
          <w:numId w:val="5"/>
        </w:numPr>
        <w:tabs>
          <w:tab w:val="num" w:pos="360"/>
        </w:tabs>
        <w:ind w:left="924" w:hanging="357"/>
      </w:pPr>
      <w:r>
        <w:t>na nepoštene trgovačke prakse navedene u članku 3. stavcima 1. i 2. Direktive o nepoštenim trgovačkim praksama; i</w:t>
      </w:r>
    </w:p>
    <w:p w:rsidR="00121674" w:rsidRDefault="009F3E2B" w14:paraId="20DB1234" w14:textId="77777777">
      <w:pPr>
        <w:pStyle w:val="Heading2"/>
        <w:numPr>
          <w:ilvl w:val="0"/>
          <w:numId w:val="5"/>
        </w:numPr>
        <w:tabs>
          <w:tab w:val="num" w:pos="360"/>
        </w:tabs>
        <w:ind w:left="924" w:hanging="357"/>
      </w:pPr>
      <w:r>
        <w:t>na temelju pragova u pogledu prometa utvrđenih u članku 1. Direktive o nepoštenim trgovačkim praksama.</w:t>
      </w:r>
    </w:p>
    <w:p w:rsidR="00121674" w:rsidRDefault="00121674" w14:paraId="0F5628AA" w14:textId="77777777">
      <w:pPr>
        <w:rPr>
          <w:lang w:val="en-GB"/>
        </w:rPr>
      </w:pPr>
    </w:p>
    <w:p w:rsidR="00121674" w:rsidRDefault="009F3E2B" w14:paraId="7762B814" w14:textId="77777777">
      <w:pPr>
        <w:pStyle w:val="Heading2"/>
        <w:rPr>
          <w:iCs/>
        </w:rPr>
      </w:pPr>
      <w:r>
        <w:t>EGSO usto poziva na pojašnjenje prava gospodarskih subjekata na obranu, prije svega kad je riječ o postupcima protiv poduzeća i razlozima za te postupke. Poduzeća na koja se takvi postupci odnose trebala bi biti obaviještena o njima. Takve obavijesti trebale bi, bez stvaranja dodatnih administrativnih opterećenja, omogućiti ocjenu usklađenosti s unutarnjim tržištem. Međutim, izuzetno je bitno da obveza obavješćivanja kupca podliježe nacionalnim pravilima kojima se uređuje otkrivanje informacija kako se ne bi ugrozila istraga ili čuvanje dokaza.</w:t>
      </w:r>
    </w:p>
    <w:p w:rsidR="00121674" w:rsidRDefault="00121674" w14:paraId="213CCB8E" w14:textId="77777777">
      <w:pPr>
        <w:rPr>
          <w:lang w:val="en-GB" w:eastAsia="fr-FR"/>
        </w:rPr>
      </w:pPr>
    </w:p>
    <w:p w:rsidR="00121674" w:rsidRDefault="009F3E2B" w14:paraId="3459DCD4" w14:textId="77777777">
      <w:pPr>
        <w:keepNext/>
        <w:keepLines/>
        <w:rPr>
          <w:b/>
          <w:bCs/>
          <w:i/>
          <w:iCs/>
        </w:rPr>
      </w:pPr>
      <w:r>
        <w:rPr>
          <w:b/>
          <w:i/>
        </w:rPr>
        <w:t>Argumenti u prilog preporuci 1.9.</w:t>
      </w:r>
    </w:p>
    <w:p w:rsidR="00121674" w:rsidRDefault="00121674" w14:paraId="76798D79" w14:textId="77777777">
      <w:pPr>
        <w:keepNext/>
        <w:keepLines/>
        <w:rPr>
          <w:lang w:val="en-GB" w:eastAsia="fr-FR"/>
        </w:rPr>
      </w:pPr>
    </w:p>
    <w:p w:rsidR="00121674" w:rsidRDefault="009F3E2B" w14:paraId="303560B5" w14:textId="77777777">
      <w:pPr>
        <w:pStyle w:val="Heading2"/>
      </w:pPr>
      <w:r>
        <w:t>Osim toga, neke države članice mogle bi povećati tu nesigurnost nastojanjem da na ugovore koji su zakonito sklopljeni u drugoj državi članici EU-a, uz poštovanje prava tržišnog natjecanja, primijene vlastita nacionalna pravila.</w:t>
      </w:r>
    </w:p>
    <w:p w:rsidR="00121674" w:rsidRDefault="00121674" w14:paraId="0ACBBC13" w14:textId="77777777">
      <w:pPr>
        <w:rPr>
          <w:lang w:val="en-GB"/>
        </w:rPr>
      </w:pPr>
    </w:p>
    <w:p w:rsidR="00121674" w:rsidRDefault="009F3E2B" w14:paraId="44FAE0D8" w14:textId="77777777">
      <w:pPr>
        <w:pStyle w:val="Heading2"/>
      </w:pPr>
      <w:r>
        <w:t>Međutim, u Prijedlogu uredbe objašnjava se da se njezinim pravilima ne dovode u pitanje pravila Unije i nacionalna pravila o međunarodnom privatnom pravu.</w:t>
      </w:r>
      <w:r>
        <w:rPr>
          <w:rStyle w:val="FootnoteReference"/>
          <w:lang w:val="en-GB"/>
        </w:rPr>
        <w:footnoteReference w:id="7"/>
      </w:r>
      <w:r>
        <w:t xml:space="preserve"> Samo navod da Uredba to ne dovodi u pitanje nije dovoljan.</w:t>
      </w:r>
    </w:p>
    <w:p w:rsidR="00121674" w:rsidRDefault="00121674" w14:paraId="6790A44B" w14:textId="77777777">
      <w:pPr>
        <w:pStyle w:val="Heading2"/>
        <w:numPr>
          <w:ilvl w:val="0"/>
          <w:numId w:val="0"/>
        </w:numPr>
        <w:rPr>
          <w:lang w:val="en-GB"/>
        </w:rPr>
      </w:pPr>
    </w:p>
    <w:p w:rsidR="00121674" w:rsidRDefault="009F3E2B" w14:paraId="32FBCBAE" w14:textId="77777777">
      <w:pPr>
        <w:pStyle w:val="Heading2"/>
      </w:pPr>
      <w:r>
        <w:t>EGSO naglašava da je od presudne važnosti da se jačanjem prekogranične provedbe i koordinacije ni u kojem slučaju ne jačaju nastojanja određene zemlje da nametne izvanteritorijalnu primjenu svojeg nacionalnog prava.</w:t>
      </w:r>
    </w:p>
    <w:p w:rsidR="00121674" w:rsidRDefault="00121674" w14:paraId="00C1A469" w14:textId="77777777">
      <w:pPr>
        <w:rPr>
          <w:lang w:val="en-GB"/>
        </w:rPr>
      </w:pPr>
    </w:p>
    <w:p w:rsidR="00121674" w:rsidRDefault="009F3E2B" w14:paraId="1FCD0D97" w14:textId="77777777">
      <w:pPr>
        <w:pStyle w:val="Heading2"/>
      </w:pPr>
      <w:r>
        <w:t>EGSO stoga poziva tijela primatelje zahtjeva da zadrže apsolutno pravo da odbiju odgovoriti na zahtjev povezan s neusklađenim nacionalnim mjerama.</w:t>
      </w:r>
    </w:p>
    <w:p w:rsidR="00121674" w:rsidRDefault="00121674" w14:paraId="188F0B3D" w14:textId="77777777">
      <w:pPr>
        <w:rPr>
          <w:lang w:val="en-GB"/>
        </w:rPr>
      </w:pPr>
    </w:p>
    <w:p w:rsidR="00121674" w:rsidRDefault="009F3E2B" w14:paraId="42AED6AC" w14:textId="77777777">
      <w:pPr>
        <w:keepNext/>
        <w:keepLines/>
        <w:rPr>
          <w:b/>
          <w:bCs/>
          <w:i/>
          <w:iCs/>
        </w:rPr>
      </w:pPr>
      <w:r>
        <w:rPr>
          <w:b/>
          <w:i/>
        </w:rPr>
        <w:t>Argumenti u prilog preporuci 1.10.</w:t>
      </w:r>
    </w:p>
    <w:p w:rsidR="00121674" w:rsidRDefault="00121674" w14:paraId="486E6CD2" w14:textId="77777777">
      <w:pPr>
        <w:keepNext/>
        <w:keepLines/>
        <w:rPr>
          <w:lang w:val="en-GB"/>
        </w:rPr>
      </w:pPr>
    </w:p>
    <w:p w:rsidR="00121674" w:rsidRDefault="009F3E2B" w14:paraId="4F519ED6" w14:textId="77777777">
      <w:pPr>
        <w:pStyle w:val="Heading2"/>
      </w:pPr>
      <w:r>
        <w:t>Unutarnje tržište EU-a trgovcima na malo i veletrgovcima omogućuje veći izbor proizvoda pod boljim uvjetima. Uštede koje donosi optimalna opskrba na unutarnjem tržištu prenose se na potrošače zbog jakog tržišnog natjecanja između trgovaca na malo i veletrgovaca, što im omogućuje da svojim kupcima ponude veći izbor proizvoda po nižim cijenama.</w:t>
      </w:r>
      <w:r>
        <w:rPr>
          <w:rStyle w:val="FootnoteReference"/>
          <w:lang w:val="en-GB"/>
        </w:rPr>
        <w:footnoteReference w:id="8"/>
      </w:r>
      <w:r>
        <w:t xml:space="preserve"> Unatoč stabilizaciji inflacije dostupnost hrane i dalje je velik problem za potrošače u EU-u.</w:t>
      </w:r>
    </w:p>
    <w:p w:rsidR="00121674" w:rsidRDefault="00121674" w14:paraId="09475CD3" w14:textId="77777777">
      <w:pPr>
        <w:rPr>
          <w:lang w:val="en-GB"/>
        </w:rPr>
      </w:pPr>
    </w:p>
    <w:p w:rsidR="00121674" w:rsidRDefault="009F3E2B" w14:paraId="11C0BF68" w14:textId="77777777">
      <w:pPr>
        <w:pStyle w:val="Heading2"/>
      </w:pPr>
      <w:r>
        <w:t>U svojem izvješću o unutarnjem tržištu Enrico Letta potvrdio je da ponovna nacionalizacija unutarnjeg tržišta u području opskrbe šteti dobrobiti potrošača.</w:t>
      </w:r>
      <w:r>
        <w:rPr>
          <w:rStyle w:val="FootnoteReference"/>
          <w:lang w:val="en-GB"/>
        </w:rPr>
        <w:footnoteReference w:id="9"/>
      </w:r>
    </w:p>
    <w:p w:rsidR="00121674" w:rsidRDefault="00121674" w14:paraId="2A7BA777" w14:textId="77777777">
      <w:pPr>
        <w:rPr>
          <w:lang w:val="en-GB"/>
        </w:rPr>
      </w:pPr>
    </w:p>
    <w:p w:rsidR="00121674" w:rsidRDefault="009F3E2B" w14:paraId="64D439EC" w14:textId="77777777">
      <w:pPr>
        <w:pStyle w:val="Heading2"/>
      </w:pPr>
      <w:r>
        <w:t>Što je opskrba na unutarnjem tržištu kupcima složenija ili neizvjesnija, to je vjerojatnije da će se oni vratiti opskrbi na domaćim tržištima.</w:t>
      </w:r>
    </w:p>
    <w:p w:rsidR="00121674" w:rsidRDefault="00121674" w14:paraId="3CBF0DB1" w14:textId="77777777">
      <w:pPr>
        <w:pStyle w:val="Heading2"/>
        <w:numPr>
          <w:ilvl w:val="0"/>
          <w:numId w:val="0"/>
        </w:numPr>
        <w:rPr>
          <w:lang w:val="en-GB"/>
        </w:rPr>
      </w:pPr>
    </w:p>
    <w:p w:rsidR="00121674" w:rsidRDefault="009F3E2B" w14:paraId="087D1BEA" w14:textId="77777777">
      <w:pPr>
        <w:pStyle w:val="Heading2"/>
      </w:pPr>
      <w:r>
        <w:t>Europska komisija već je utvrdila da teritorijalna ograničenja opskrbe koja velika multinacionalna poduzeća nameću trgovcima na malo europske potrošače godišnje koštaju 14 milijardi eura.</w:t>
      </w:r>
      <w:r>
        <w:rPr>
          <w:rStyle w:val="FootnoteReference"/>
          <w:lang w:val="en-GB"/>
        </w:rPr>
        <w:footnoteReference w:id="10"/>
      </w:r>
      <w:r>
        <w:t xml:space="preserve"> Mnoge države članice otad su od Europske komisije zatražile hitno djelovanje.</w:t>
      </w:r>
      <w:r>
        <w:rPr>
          <w:rStyle w:val="FootnoteReference"/>
          <w:lang w:val="en-GB"/>
        </w:rPr>
        <w:footnoteReference w:id="11"/>
      </w:r>
    </w:p>
    <w:p w:rsidR="00121674" w:rsidRDefault="00121674" w14:paraId="42A4A6F7" w14:textId="77777777">
      <w:pPr>
        <w:spacing w:line="240" w:lineRule="auto"/>
        <w:jc w:val="left"/>
        <w:rPr>
          <w:lang w:val="en-GB"/>
        </w:rPr>
      </w:pPr>
    </w:p>
    <w:p w:rsidR="00121674" w:rsidRDefault="009F3E2B" w14:paraId="41A62C18" w14:textId="77777777">
      <w:pPr>
        <w:pStyle w:val="Heading1"/>
        <w:keepNext/>
        <w:keepLines/>
        <w:rPr>
          <w:b/>
          <w:bCs/>
        </w:rPr>
      </w:pPr>
      <w:r>
        <w:rPr>
          <w:b/>
        </w:rPr>
        <w:t>PREDLOŽENE IZMJENE ZAKONODAVNOG PRIJEDLOGA EUROPSKE KOMISIJE</w:t>
      </w:r>
    </w:p>
    <w:p w:rsidR="00121674" w:rsidRDefault="00121674" w14:paraId="1EF670CF" w14:textId="77777777">
      <w:pPr>
        <w:keepNext/>
        <w:keepLines/>
        <w:rPr>
          <w:lang w:val="en-GB"/>
        </w:rPr>
      </w:pPr>
    </w:p>
    <w:p w:rsidR="00121674" w:rsidRDefault="009F3E2B" w14:paraId="6F5271BD" w14:textId="77777777">
      <w:pPr>
        <w:pStyle w:val="Heading2"/>
        <w:numPr>
          <w:ilvl w:val="0"/>
          <w:numId w:val="0"/>
        </w:numPr>
        <w:rPr>
          <w:b/>
          <w:bCs/>
        </w:rPr>
      </w:pPr>
      <w:r>
        <w:rPr>
          <w:b/>
        </w:rPr>
        <w:t>AMANDMAN 1.</w:t>
      </w:r>
    </w:p>
    <w:p w:rsidR="00121674" w:rsidRDefault="009F3E2B" w14:paraId="48E256DF" w14:textId="77777777">
      <w:pPr>
        <w:keepNext/>
        <w:keepLines/>
        <w:jc w:val="left"/>
      </w:pPr>
      <w:r>
        <w:t>povezan s preporukom 1.8.</w:t>
      </w:r>
    </w:p>
    <w:p w:rsidR="00121674" w:rsidRDefault="00121674" w14:paraId="2E2B828D" w14:textId="77777777">
      <w:pPr>
        <w:keepNext/>
        <w:keepLines/>
        <w:jc w:val="left"/>
        <w:rPr>
          <w:lang w:val="en-GB"/>
        </w:rPr>
      </w:pPr>
    </w:p>
    <w:tbl>
      <w:tblPr>
        <w:tblW w:w="0" w:type="auto"/>
        <w:tblBorders>
          <w:top w:val="outset" w:color="auto" w:sz="6" w:space="0"/>
          <w:left w:val="outset" w:color="auto" w:sz="6" w:space="0"/>
          <w:bottom w:val="outset" w:color="auto" w:sz="6" w:space="0"/>
          <w:right w:val="outset" w:color="auto" w:sz="6" w:space="0"/>
        </w:tblBorders>
        <w:tblLayout w:type="fixed"/>
        <w:tblCellMar>
          <w:left w:w="57" w:type="dxa"/>
          <w:right w:w="57" w:type="dxa"/>
        </w:tblCellMar>
        <w:tblLook w:val="04A0" w:firstRow="1" w:lastRow="0" w:firstColumn="1" w:lastColumn="0" w:noHBand="0" w:noVBand="1"/>
      </w:tblPr>
      <w:tblGrid>
        <w:gridCol w:w="4529"/>
        <w:gridCol w:w="4528"/>
      </w:tblGrid>
      <w:tr w:rsidR="00121674" w14:paraId="3FBDD90C" w14:textId="77777777">
        <w:trPr>
          <w:trHeight w:val="300"/>
        </w:trPr>
        <w:tc>
          <w:tcPr>
            <w:tcW w:w="4529"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563C3762" w14:textId="77777777">
            <w:pPr>
              <w:jc w:val="center"/>
              <w:rPr>
                <w:strike/>
              </w:rPr>
            </w:pPr>
            <w:r>
              <w:rPr>
                <w:b/>
              </w:rPr>
              <w:t>Prijedlog Komisije</w:t>
            </w:r>
          </w:p>
        </w:tc>
        <w:tc>
          <w:tcPr>
            <w:tcW w:w="4528"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5F259479" w14:textId="77777777">
            <w:pPr>
              <w:jc w:val="center"/>
            </w:pPr>
            <w:r>
              <w:rPr>
                <w:b/>
              </w:rPr>
              <w:t>Amandman EGSO-a</w:t>
            </w:r>
          </w:p>
        </w:tc>
      </w:tr>
      <w:tr w:rsidR="00121674" w14:paraId="0365075B" w14:textId="77777777">
        <w:trPr>
          <w:trHeight w:val="300"/>
        </w:trPr>
        <w:tc>
          <w:tcPr>
            <w:tcW w:w="4529"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713C7B32" w14:textId="77777777">
            <w:pPr>
              <w:jc w:val="left"/>
              <w:rPr>
                <w:bCs/>
              </w:rPr>
            </w:pPr>
            <w:r>
              <w:t>Članak 2.</w:t>
            </w:r>
          </w:p>
          <w:p w:rsidR="00121674" w:rsidRDefault="00121674" w14:paraId="384F2533" w14:textId="77777777">
            <w:pPr>
              <w:jc w:val="left"/>
              <w:rPr>
                <w:bCs/>
                <w:lang w:val="en-GB"/>
              </w:rPr>
            </w:pPr>
          </w:p>
          <w:p w:rsidR="00121674" w:rsidRDefault="009F3E2B" w14:paraId="4F52EF11" w14:textId="77777777">
            <w:pPr>
              <w:jc w:val="left"/>
              <w:rPr>
                <w:bCs/>
              </w:rPr>
            </w:pPr>
            <w:r>
              <w:t>Područje primjene</w:t>
            </w:r>
          </w:p>
          <w:p w:rsidR="00121674" w:rsidRDefault="00121674" w14:paraId="3BAA3B57" w14:textId="77777777">
            <w:pPr>
              <w:jc w:val="left"/>
              <w:rPr>
                <w:noProof/>
                <w:color w:val="000000" w:themeColor="text1"/>
                <w:lang w:val="en-GB"/>
              </w:rPr>
            </w:pPr>
          </w:p>
          <w:p w:rsidR="00121674" w:rsidRDefault="009F3E2B" w14:paraId="0CB33C1F" w14:textId="77777777">
            <w:r>
              <w:rPr>
                <w:color w:val="000000" w:themeColor="text1"/>
              </w:rPr>
              <w:t>1. Ova se Uredba primjenjuje na provedbu zabrane nepoštenih trgovačkih praksi u odnosima među poduzećima u lancu opskrbe poljoprivrednim i prehrambenim proizvodima iz članka 3. stavaka 1. i 2. Direktive (EU) 2019/633 s prekograničnom dimenzijom.</w:t>
            </w:r>
          </w:p>
        </w:tc>
        <w:tc>
          <w:tcPr>
            <w:tcW w:w="4528"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531617A0" w14:textId="77777777">
            <w:pPr>
              <w:ind w:left="30" w:right="30"/>
              <w:jc w:val="left"/>
              <w:rPr>
                <w:bCs/>
              </w:rPr>
            </w:pPr>
            <w:r>
              <w:t>Članak 2.</w:t>
            </w:r>
          </w:p>
          <w:p w:rsidR="00121674" w:rsidRDefault="00121674" w14:paraId="11952EF8" w14:textId="77777777">
            <w:pPr>
              <w:ind w:left="30" w:right="30"/>
              <w:jc w:val="left"/>
              <w:rPr>
                <w:bCs/>
                <w:lang w:val="en-GB"/>
              </w:rPr>
            </w:pPr>
          </w:p>
          <w:p w:rsidR="00121674" w:rsidRDefault="009F3E2B" w14:paraId="23378B68" w14:textId="77777777">
            <w:pPr>
              <w:ind w:left="30" w:right="30"/>
              <w:jc w:val="left"/>
              <w:rPr>
                <w:bCs/>
              </w:rPr>
            </w:pPr>
            <w:r>
              <w:t>Područje primjene</w:t>
            </w:r>
          </w:p>
          <w:p w:rsidR="00121674" w:rsidRDefault="00121674" w14:paraId="24EBC7CF" w14:textId="77777777">
            <w:pPr>
              <w:ind w:left="30" w:right="30"/>
              <w:jc w:val="left"/>
              <w:rPr>
                <w:iCs/>
                <w:lang w:val="en-GB"/>
              </w:rPr>
            </w:pPr>
          </w:p>
          <w:p w:rsidR="00121674" w:rsidRDefault="009F3E2B" w14:paraId="045D1E6E" w14:textId="77777777">
            <w:pPr>
              <w:ind w:left="30" w:right="30"/>
            </w:pPr>
            <w:r>
              <w:t>1. Ova se Uredba primjenjuje na provedbu zabrane nepoštenih trgovačkih praksi u odnosima među poduzećima u lancu opskrbe poljoprivrednim i prehrambenim proizvodima iz članka 3. stavaka 1. i 2. Direktive (EU) 2019/633 s prekograničnom dimenzijom</w:t>
            </w:r>
            <w:r>
              <w:rPr>
                <w:b/>
                <w:i/>
              </w:rPr>
              <w:t xml:space="preserve"> i na temelju područja primjene utvrđenog u članku 1. Direktive (EU) 2019/633</w:t>
            </w:r>
            <w:r>
              <w:t>.</w:t>
            </w:r>
          </w:p>
        </w:tc>
      </w:tr>
    </w:tbl>
    <w:p w:rsidR="00121674" w:rsidRDefault="00121674" w14:paraId="55D7D3AC" w14:textId="77777777">
      <w:pPr>
        <w:rPr>
          <w:lang w:val="en-GB"/>
        </w:rPr>
      </w:pPr>
    </w:p>
    <w:tbl>
      <w:tblPr>
        <w:tblW w:w="0" w:type="auto"/>
        <w:tblBorders>
          <w:top w:val="outset" w:color="auto" w:sz="6" w:space="0"/>
          <w:left w:val="outset" w:color="auto" w:sz="6" w:space="0"/>
          <w:bottom w:val="outset" w:color="auto" w:sz="6" w:space="0"/>
          <w:right w:val="outset" w:color="auto" w:sz="6" w:space="0"/>
        </w:tblBorders>
        <w:tblLayout w:type="fixed"/>
        <w:tblCellMar>
          <w:left w:w="57" w:type="dxa"/>
          <w:right w:w="57" w:type="dxa"/>
        </w:tblCellMar>
        <w:tblLook w:val="04A0" w:firstRow="1" w:lastRow="0" w:firstColumn="1" w:lastColumn="0" w:noHBand="0" w:noVBand="1"/>
      </w:tblPr>
      <w:tblGrid>
        <w:gridCol w:w="9057"/>
      </w:tblGrid>
      <w:tr w:rsidR="00121674" w14:paraId="5F2B40AA" w14:textId="77777777">
        <w:trPr>
          <w:trHeight w:val="300"/>
        </w:trPr>
        <w:tc>
          <w:tcPr>
            <w:tcW w:w="9057"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53E04E5E" w14:textId="77777777">
            <w:pPr>
              <w:keepNext/>
              <w:keepLines/>
              <w:jc w:val="center"/>
            </w:pPr>
            <w:r>
              <w:rPr>
                <w:b/>
              </w:rPr>
              <w:t>Obrazloženje</w:t>
            </w:r>
          </w:p>
        </w:tc>
      </w:tr>
      <w:tr w:rsidR="00121674" w14:paraId="14B5EB49" w14:textId="77777777">
        <w:trPr>
          <w:trHeight w:val="300"/>
        </w:trPr>
        <w:tc>
          <w:tcPr>
            <w:tcW w:w="9057"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195CB5C4" w14:textId="77777777">
            <w:r>
              <w:t>U članku 2. stavku 1. utvrđeno je da se Uredba primjenjuje samo na nepoštene trgovačke prakse navedene u članku 3. stavcima 1. i 2. Direktive o nepoštenim trgovačkim praksama. Ovaj dodatak je ključan da bi se ograničili rizici od izvanteritorijalnosti.</w:t>
            </w:r>
          </w:p>
        </w:tc>
      </w:tr>
    </w:tbl>
    <w:p w:rsidR="00121674" w:rsidRDefault="00121674" w14:paraId="22100326" w14:textId="77777777">
      <w:pPr>
        <w:jc w:val="left"/>
        <w:rPr>
          <w:lang w:val="en-GB"/>
        </w:rPr>
      </w:pPr>
    </w:p>
    <w:p w:rsidR="00121674" w:rsidRDefault="009F3E2B" w14:paraId="5B55820C" w14:textId="77777777">
      <w:pPr>
        <w:pStyle w:val="Heading2"/>
        <w:numPr>
          <w:ilvl w:val="0"/>
          <w:numId w:val="0"/>
        </w:numPr>
        <w:rPr>
          <w:b/>
          <w:bCs/>
        </w:rPr>
      </w:pPr>
      <w:r>
        <w:rPr>
          <w:b/>
        </w:rPr>
        <w:t>Amandman 2.</w:t>
      </w:r>
    </w:p>
    <w:p w:rsidR="00121674" w:rsidRDefault="009F3E2B" w14:paraId="7A6AFDDE" w14:textId="77777777">
      <w:pPr>
        <w:keepNext/>
        <w:keepLines/>
        <w:jc w:val="left"/>
      </w:pPr>
      <w:r>
        <w:t>povezan s preporukom 1.9.</w:t>
      </w:r>
    </w:p>
    <w:p w:rsidR="00121674" w:rsidRDefault="00121674" w14:paraId="759A22FC" w14:textId="77777777">
      <w:pPr>
        <w:keepNext/>
        <w:keepLines/>
        <w:jc w:val="left"/>
        <w:rPr>
          <w:lang w:val="en-GB"/>
        </w:rPr>
      </w:pPr>
    </w:p>
    <w:tbl>
      <w:tblPr>
        <w:tblW w:w="0" w:type="auto"/>
        <w:tblBorders>
          <w:top w:val="outset" w:color="auto" w:sz="6" w:space="0"/>
          <w:left w:val="outset" w:color="auto" w:sz="6" w:space="0"/>
          <w:bottom w:val="outset" w:color="auto" w:sz="6" w:space="0"/>
          <w:right w:val="outset" w:color="auto" w:sz="6" w:space="0"/>
        </w:tblBorders>
        <w:tblLayout w:type="fixed"/>
        <w:tblCellMar>
          <w:left w:w="57" w:type="dxa"/>
          <w:right w:w="57" w:type="dxa"/>
        </w:tblCellMar>
        <w:tblLook w:val="04A0" w:firstRow="1" w:lastRow="0" w:firstColumn="1" w:lastColumn="0" w:noHBand="0" w:noVBand="1"/>
      </w:tblPr>
      <w:tblGrid>
        <w:gridCol w:w="4529"/>
        <w:gridCol w:w="4528"/>
      </w:tblGrid>
      <w:tr w:rsidR="00121674" w14:paraId="1706B71D" w14:textId="77777777">
        <w:trPr>
          <w:trHeight w:val="300"/>
        </w:trPr>
        <w:tc>
          <w:tcPr>
            <w:tcW w:w="4529"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353D08C5" w14:textId="77777777">
            <w:pPr>
              <w:jc w:val="center"/>
              <w:rPr>
                <w:strike/>
              </w:rPr>
            </w:pPr>
            <w:r>
              <w:rPr>
                <w:b/>
              </w:rPr>
              <w:t>Prijedlog Komisije</w:t>
            </w:r>
          </w:p>
        </w:tc>
        <w:tc>
          <w:tcPr>
            <w:tcW w:w="4528"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018644B6" w14:textId="77777777">
            <w:pPr>
              <w:jc w:val="center"/>
            </w:pPr>
            <w:r>
              <w:rPr>
                <w:b/>
              </w:rPr>
              <w:t>Amandman EGSO-a</w:t>
            </w:r>
          </w:p>
        </w:tc>
      </w:tr>
      <w:tr w:rsidR="00121674" w14:paraId="29DD52B8" w14:textId="77777777">
        <w:trPr>
          <w:trHeight w:val="300"/>
        </w:trPr>
        <w:tc>
          <w:tcPr>
            <w:tcW w:w="4529"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77AB8177" w14:textId="77777777">
            <w:pPr>
              <w:ind w:left="30" w:right="30"/>
              <w:jc w:val="left"/>
            </w:pPr>
            <w:r>
              <w:t>Članak 5.</w:t>
            </w:r>
          </w:p>
          <w:p w:rsidR="00121674" w:rsidRDefault="009F3E2B" w14:paraId="0992A4D6" w14:textId="77777777">
            <w:pPr>
              <w:ind w:left="30" w:right="30"/>
              <w:jc w:val="left"/>
            </w:pPr>
            <w:r>
              <w:t>Zahtjevi za informacije</w:t>
            </w:r>
          </w:p>
          <w:p w:rsidR="00121674" w:rsidRDefault="00121674" w14:paraId="59CA6581" w14:textId="77777777">
            <w:pPr>
              <w:ind w:left="30" w:right="30"/>
              <w:jc w:val="left"/>
              <w:rPr>
                <w:lang w:val="en-GB"/>
              </w:rPr>
            </w:pPr>
          </w:p>
          <w:p w:rsidR="00121674" w:rsidRDefault="009F3E2B" w14:paraId="44A4F5CE" w14:textId="77777777">
            <w:pPr>
              <w:ind w:left="30" w:right="30"/>
              <w:jc w:val="left"/>
            </w:pPr>
            <w:r>
              <w:t>[…]</w:t>
            </w:r>
          </w:p>
          <w:p w:rsidR="00121674" w:rsidRDefault="009F3E2B" w14:paraId="0776C7EA" w14:textId="77777777">
            <w:pPr>
              <w:ind w:left="30" w:right="30"/>
            </w:pPr>
            <w:r>
              <w:t>4. Države članice mogu odlučiti da provedbena tijela mogu iskoristiti mogućnosti iz ovog članka u vezi s nacionalnim pravilima u smislu članka 9. Direktive (EU) 2019/633.</w:t>
            </w:r>
          </w:p>
          <w:p w:rsidR="00121674" w:rsidRDefault="009F3E2B" w14:paraId="72E01AF2" w14:textId="77777777">
            <w:pPr>
              <w:ind w:left="30" w:right="30"/>
            </w:pPr>
            <w:r>
              <w:t xml:space="preserve">Ako provedbeno tijelo podnositelj zahtjeva iskoristi mogućnost iz podstavka 1., provedbeno tijelo primatelj zahtjeva može odbiti dostaviti informacije, </w:t>
            </w:r>
            <w:r>
              <w:rPr>
                <w:b/>
                <w:i/>
              </w:rPr>
              <w:t>pri čemu mora navesti razloge odbijanja</w:t>
            </w:r>
            <w:r>
              <w:t>.</w:t>
            </w:r>
          </w:p>
        </w:tc>
        <w:tc>
          <w:tcPr>
            <w:tcW w:w="4528"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1A76A5EF" w14:textId="77777777">
            <w:pPr>
              <w:ind w:left="30" w:right="30"/>
              <w:jc w:val="left"/>
            </w:pPr>
            <w:r>
              <w:t>Članak 5.</w:t>
            </w:r>
          </w:p>
          <w:p w:rsidR="00121674" w:rsidRDefault="009F3E2B" w14:paraId="54C88A94" w14:textId="77777777">
            <w:pPr>
              <w:ind w:left="30" w:right="30"/>
              <w:jc w:val="left"/>
            </w:pPr>
            <w:r>
              <w:t>Zahtjevi za informacije</w:t>
            </w:r>
          </w:p>
          <w:p w:rsidR="00121674" w:rsidRDefault="00121674" w14:paraId="2C7937EB" w14:textId="77777777">
            <w:pPr>
              <w:ind w:left="30" w:right="30"/>
              <w:jc w:val="left"/>
              <w:rPr>
                <w:lang w:val="en-GB"/>
              </w:rPr>
            </w:pPr>
          </w:p>
          <w:p w:rsidR="00121674" w:rsidRDefault="009F3E2B" w14:paraId="4162F848" w14:textId="77777777">
            <w:pPr>
              <w:ind w:left="30" w:right="30"/>
              <w:jc w:val="left"/>
            </w:pPr>
            <w:r>
              <w:t>[…]</w:t>
            </w:r>
          </w:p>
          <w:p w:rsidR="00121674" w:rsidRDefault="009F3E2B" w14:paraId="0CDBA7B1" w14:textId="77777777">
            <w:pPr>
              <w:ind w:left="30" w:right="30"/>
            </w:pPr>
            <w:r>
              <w:t>4. Države članice mogu odlučiti da provedbena tijela mogu iskoristiti mogućnosti iz ovog članka u vezi s nacionalnim pravilima u smislu članka 9. Direktive (EU) 2019/633.</w:t>
            </w:r>
          </w:p>
          <w:p w:rsidR="00121674" w:rsidRDefault="009F3E2B" w14:paraId="61BCFA5B" w14:textId="77777777">
            <w:pPr>
              <w:ind w:left="30" w:right="30"/>
            </w:pPr>
            <w:r>
              <w:t xml:space="preserve">Ako provedbeno tijelo podnositelj zahtjeva iskoristi mogućnost iz podstavka 1., provedbeno tijelo primatelj zahtjeva može odbiti dostaviti informacije, </w:t>
            </w:r>
            <w:r>
              <w:rPr>
                <w:b/>
                <w:i/>
              </w:rPr>
              <w:t>neovisno o pravilima iz članka 10</w:t>
            </w:r>
            <w:r>
              <w:t>.</w:t>
            </w:r>
          </w:p>
        </w:tc>
      </w:tr>
    </w:tbl>
    <w:p w:rsidR="00121674" w:rsidRDefault="00121674" w14:paraId="2ABB38A2" w14:textId="77777777">
      <w:pPr>
        <w:rPr>
          <w:lang w:val="en-GB"/>
        </w:rPr>
      </w:pPr>
    </w:p>
    <w:tbl>
      <w:tblPr>
        <w:tblW w:w="0" w:type="auto"/>
        <w:tblBorders>
          <w:top w:val="outset" w:color="auto" w:sz="6" w:space="0"/>
          <w:left w:val="outset" w:color="auto" w:sz="6" w:space="0"/>
          <w:bottom w:val="outset" w:color="auto" w:sz="6" w:space="0"/>
          <w:right w:val="outset" w:color="auto" w:sz="6" w:space="0"/>
        </w:tblBorders>
        <w:tblLayout w:type="fixed"/>
        <w:tblCellMar>
          <w:left w:w="57" w:type="dxa"/>
          <w:right w:w="57" w:type="dxa"/>
        </w:tblCellMar>
        <w:tblLook w:val="04A0" w:firstRow="1" w:lastRow="0" w:firstColumn="1" w:lastColumn="0" w:noHBand="0" w:noVBand="1"/>
      </w:tblPr>
      <w:tblGrid>
        <w:gridCol w:w="9057"/>
      </w:tblGrid>
      <w:tr w:rsidR="00121674" w14:paraId="04E97070" w14:textId="77777777">
        <w:trPr>
          <w:trHeight w:val="300"/>
        </w:trPr>
        <w:tc>
          <w:tcPr>
            <w:tcW w:w="9057"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6B7865E2" w14:textId="77777777">
            <w:pPr>
              <w:keepNext/>
              <w:keepLines/>
              <w:jc w:val="center"/>
            </w:pPr>
            <w:r>
              <w:rPr>
                <w:b/>
              </w:rPr>
              <w:t>Obrazloženje</w:t>
            </w:r>
          </w:p>
        </w:tc>
      </w:tr>
      <w:tr w:rsidR="00121674" w14:paraId="17E51C09" w14:textId="77777777">
        <w:trPr>
          <w:trHeight w:val="300"/>
        </w:trPr>
        <w:tc>
          <w:tcPr>
            <w:tcW w:w="9057"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0A8B2A5E" w14:textId="77777777">
            <w:pPr>
              <w:keepNext/>
              <w:keepLines/>
              <w:ind w:left="30" w:right="30"/>
            </w:pPr>
            <w:r>
              <w:t>Člankom 5. predviđa se da provedbena tijela mogu iskoristiti mogućnosti predviđene u tom članku u vezi sa strožim nacionalnim pravilima koja izlaze iz okvira Direktive o nepoštenim trgovačkim praksama, ali provedbeno tijelo primatelj zahtjeva može odbiti dostaviti takve informacije. Kako je i objašnjeno, to je pravo na odbijanje, u duhu teksta, apsolutno pravo neovisno o članku 10. i to treba navesti.</w:t>
            </w:r>
          </w:p>
        </w:tc>
      </w:tr>
    </w:tbl>
    <w:p w:rsidR="00121674" w:rsidRDefault="00121674" w14:paraId="4B714E79" w14:textId="77777777">
      <w:pPr>
        <w:jc w:val="left"/>
        <w:rPr>
          <w:lang w:val="en-GB"/>
        </w:rPr>
      </w:pPr>
    </w:p>
    <w:p w:rsidR="00121674" w:rsidRDefault="009F3E2B" w14:paraId="54DC638E" w14:textId="77777777">
      <w:pPr>
        <w:pStyle w:val="Heading2"/>
        <w:numPr>
          <w:ilvl w:val="0"/>
          <w:numId w:val="0"/>
        </w:numPr>
        <w:rPr>
          <w:b/>
          <w:bCs/>
        </w:rPr>
      </w:pPr>
      <w:r>
        <w:rPr>
          <w:b/>
        </w:rPr>
        <w:t>Amandman 3.</w:t>
      </w:r>
    </w:p>
    <w:p w:rsidR="00121674" w:rsidRDefault="009F3E2B" w14:paraId="25E41222" w14:textId="77777777">
      <w:pPr>
        <w:keepNext/>
        <w:keepLines/>
        <w:jc w:val="left"/>
      </w:pPr>
      <w:r>
        <w:t>povezan s preporukom 1.9.</w:t>
      </w:r>
    </w:p>
    <w:p w:rsidR="00121674" w:rsidRDefault="00121674" w14:paraId="39986A22" w14:textId="77777777">
      <w:pPr>
        <w:keepNext/>
        <w:keepLines/>
        <w:jc w:val="left"/>
        <w:rPr>
          <w:lang w:val="en-GB"/>
        </w:rPr>
      </w:pPr>
    </w:p>
    <w:tbl>
      <w:tblPr>
        <w:tblW w:w="0" w:type="auto"/>
        <w:tblBorders>
          <w:top w:val="outset" w:color="auto" w:sz="6" w:space="0"/>
          <w:left w:val="outset" w:color="auto" w:sz="6" w:space="0"/>
          <w:bottom w:val="outset" w:color="auto" w:sz="6" w:space="0"/>
          <w:right w:val="outset" w:color="auto" w:sz="6" w:space="0"/>
        </w:tblBorders>
        <w:tblLayout w:type="fixed"/>
        <w:tblCellMar>
          <w:left w:w="57" w:type="dxa"/>
          <w:right w:w="57" w:type="dxa"/>
        </w:tblCellMar>
        <w:tblLook w:val="04A0" w:firstRow="1" w:lastRow="0" w:firstColumn="1" w:lastColumn="0" w:noHBand="0" w:noVBand="1"/>
      </w:tblPr>
      <w:tblGrid>
        <w:gridCol w:w="4529"/>
        <w:gridCol w:w="4528"/>
      </w:tblGrid>
      <w:tr w:rsidR="00121674" w14:paraId="24B96FB1" w14:textId="77777777">
        <w:trPr>
          <w:trHeight w:val="300"/>
        </w:trPr>
        <w:tc>
          <w:tcPr>
            <w:tcW w:w="4529"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272C74A4" w14:textId="77777777">
            <w:pPr>
              <w:jc w:val="center"/>
              <w:rPr>
                <w:strike/>
              </w:rPr>
            </w:pPr>
            <w:r>
              <w:rPr>
                <w:b/>
              </w:rPr>
              <w:t>Prijedlog Komisije</w:t>
            </w:r>
          </w:p>
        </w:tc>
        <w:tc>
          <w:tcPr>
            <w:tcW w:w="4528"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6F838CB2" w14:textId="77777777">
            <w:pPr>
              <w:jc w:val="center"/>
            </w:pPr>
            <w:r>
              <w:rPr>
                <w:b/>
              </w:rPr>
              <w:t>Amandman EGSO-a</w:t>
            </w:r>
          </w:p>
        </w:tc>
      </w:tr>
      <w:tr w:rsidR="00121674" w14:paraId="56C6E257" w14:textId="77777777">
        <w:trPr>
          <w:trHeight w:val="300"/>
        </w:trPr>
        <w:tc>
          <w:tcPr>
            <w:tcW w:w="4529"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78FEA9D8" w14:textId="77777777">
            <w:pPr>
              <w:ind w:left="30" w:right="30"/>
              <w:rPr>
                <w:noProof/>
                <w:color w:val="000000" w:themeColor="text1"/>
              </w:rPr>
            </w:pPr>
            <w:r>
              <w:rPr>
                <w:color w:val="000000" w:themeColor="text1"/>
              </w:rPr>
              <w:t>Članak 10.</w:t>
            </w:r>
          </w:p>
          <w:p w:rsidR="00121674" w:rsidRDefault="00121674" w14:paraId="5CC6CDC9" w14:textId="77777777">
            <w:pPr>
              <w:ind w:left="30" w:right="30"/>
              <w:rPr>
                <w:noProof/>
                <w:color w:val="000000" w:themeColor="text1"/>
                <w:lang w:val="en-GB"/>
              </w:rPr>
            </w:pPr>
          </w:p>
          <w:p w:rsidR="00121674" w:rsidRDefault="009F3E2B" w14:paraId="51D17DD9" w14:textId="77777777">
            <w:pPr>
              <w:ind w:left="30" w:right="30"/>
              <w:rPr>
                <w:noProof/>
                <w:color w:val="000000" w:themeColor="text1"/>
              </w:rPr>
            </w:pPr>
            <w:r>
              <w:rPr>
                <w:color w:val="000000" w:themeColor="text1"/>
              </w:rPr>
              <w:t>Odbijanje ispunjenja zahtjeva za uzajamnu pomoć</w:t>
            </w:r>
          </w:p>
          <w:p w:rsidR="00121674" w:rsidRDefault="00121674" w14:paraId="6CD5C1E6" w14:textId="77777777">
            <w:pPr>
              <w:ind w:left="30" w:right="30"/>
              <w:rPr>
                <w:noProof/>
                <w:color w:val="000000" w:themeColor="text1"/>
                <w:lang w:val="en-GB"/>
              </w:rPr>
            </w:pPr>
          </w:p>
          <w:p w:rsidR="00121674" w:rsidRDefault="009F3E2B" w14:paraId="5F7C8D1D" w14:textId="77777777">
            <w:pPr>
              <w:ind w:left="30" w:right="30"/>
            </w:pPr>
            <w:r>
              <w:rPr>
                <w:color w:val="000000" w:themeColor="text1"/>
              </w:rPr>
              <w:t>1. Provedbeno tijelo primatelj zahtjeva može odbiti ispuniti zahtjev za informacije na temelju članka 5. samo ako je ispunjena barem jedna od sljedećih pretpostavki:</w:t>
            </w:r>
          </w:p>
        </w:tc>
        <w:tc>
          <w:tcPr>
            <w:tcW w:w="4528"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483E756A" w14:textId="77777777">
            <w:pPr>
              <w:ind w:left="30" w:right="30"/>
              <w:rPr>
                <w:noProof/>
                <w:color w:val="000000" w:themeColor="text1"/>
              </w:rPr>
            </w:pPr>
            <w:r>
              <w:rPr>
                <w:color w:val="000000" w:themeColor="text1"/>
              </w:rPr>
              <w:t>Članak 10.</w:t>
            </w:r>
          </w:p>
          <w:p w:rsidR="00121674" w:rsidRDefault="00121674" w14:paraId="1F2B4238" w14:textId="77777777">
            <w:pPr>
              <w:ind w:left="30" w:right="30"/>
              <w:rPr>
                <w:noProof/>
                <w:color w:val="000000" w:themeColor="text1"/>
                <w:lang w:val="en-GB"/>
              </w:rPr>
            </w:pPr>
          </w:p>
          <w:p w:rsidR="00121674" w:rsidRDefault="009F3E2B" w14:paraId="59982899" w14:textId="77777777">
            <w:pPr>
              <w:ind w:left="30" w:right="30"/>
              <w:rPr>
                <w:noProof/>
                <w:color w:val="000000" w:themeColor="text1"/>
              </w:rPr>
            </w:pPr>
            <w:r>
              <w:rPr>
                <w:color w:val="000000" w:themeColor="text1"/>
              </w:rPr>
              <w:t>Odbijanje ispunjenja zahtjeva za uzajamnu pomoć</w:t>
            </w:r>
          </w:p>
          <w:p w:rsidR="00121674" w:rsidRDefault="00121674" w14:paraId="3D5A4FA5" w14:textId="77777777">
            <w:pPr>
              <w:ind w:left="30" w:right="30"/>
              <w:rPr>
                <w:noProof/>
                <w:color w:val="000000" w:themeColor="text1"/>
                <w:lang w:val="en-GB"/>
              </w:rPr>
            </w:pPr>
          </w:p>
          <w:p w:rsidR="00121674" w:rsidRDefault="009F3E2B" w14:paraId="4CAE5385" w14:textId="77777777">
            <w:pPr>
              <w:ind w:left="30" w:right="30"/>
            </w:pPr>
            <w:r>
              <w:t xml:space="preserve">1. Provedbeno tijelo primatelj zahtjeva može odbiti ispuniti zahtjev za informacije na temelju članka 5. </w:t>
            </w:r>
            <w:r>
              <w:rPr>
                <w:b/>
                <w:i/>
              </w:rPr>
              <w:t>stavka 1.</w:t>
            </w:r>
            <w:r>
              <w:rPr>
                <w:b/>
              </w:rPr>
              <w:t xml:space="preserve"> </w:t>
            </w:r>
            <w:r>
              <w:t>samo ako je ispunjena barem jedna od sljedećih pretpostavki:</w:t>
            </w:r>
          </w:p>
        </w:tc>
      </w:tr>
    </w:tbl>
    <w:p w:rsidR="00121674" w:rsidRDefault="00121674" w14:paraId="26E61952" w14:textId="77777777">
      <w:pPr>
        <w:rPr>
          <w:lang w:val="en-GB"/>
        </w:rPr>
      </w:pPr>
    </w:p>
    <w:p w:rsidR="00121674" w:rsidRDefault="009F3E2B" w14:paraId="64661FFA" w14:textId="77777777">
      <w:pPr>
        <w:pStyle w:val="Heading2"/>
        <w:keepNext/>
        <w:numPr>
          <w:ilvl w:val="0"/>
          <w:numId w:val="0"/>
        </w:numPr>
        <w:rPr>
          <w:b/>
          <w:bCs/>
        </w:rPr>
      </w:pPr>
      <w:r>
        <w:rPr>
          <w:b/>
        </w:rPr>
        <w:t>Amandman 4.</w:t>
      </w:r>
    </w:p>
    <w:p w:rsidR="00121674" w:rsidRDefault="009F3E2B" w14:paraId="3CE594B5" w14:textId="77777777">
      <w:pPr>
        <w:keepNext/>
        <w:keepLines/>
        <w:jc w:val="left"/>
      </w:pPr>
      <w:r>
        <w:t>povezan s preporukama 1.9. i 1.10.</w:t>
      </w:r>
    </w:p>
    <w:p w:rsidR="00121674" w:rsidRDefault="009F3E2B" w14:paraId="4E86CA41" w14:textId="77777777">
      <w:r>
        <w:t>Dodati novu uvodnu izjavu:</w:t>
      </w:r>
    </w:p>
    <w:p w:rsidR="00121674" w:rsidRDefault="00121674" w14:paraId="240A0C09" w14:textId="77777777">
      <w:pPr>
        <w:keepNext/>
        <w:keepLines/>
        <w:jc w:val="left"/>
        <w:rPr>
          <w:lang w:val="en-GB"/>
        </w:rPr>
      </w:pPr>
    </w:p>
    <w:tbl>
      <w:tblPr>
        <w:tblW w:w="0" w:type="auto"/>
        <w:tblBorders>
          <w:top w:val="outset" w:color="auto" w:sz="6" w:space="0"/>
          <w:left w:val="outset" w:color="auto" w:sz="6" w:space="0"/>
          <w:bottom w:val="outset" w:color="auto" w:sz="6" w:space="0"/>
          <w:right w:val="outset" w:color="auto" w:sz="6" w:space="0"/>
        </w:tblBorders>
        <w:tblLayout w:type="fixed"/>
        <w:tblCellMar>
          <w:left w:w="57" w:type="dxa"/>
          <w:right w:w="57" w:type="dxa"/>
        </w:tblCellMar>
        <w:tblLook w:val="04A0" w:firstRow="1" w:lastRow="0" w:firstColumn="1" w:lastColumn="0" w:noHBand="0" w:noVBand="1"/>
      </w:tblPr>
      <w:tblGrid>
        <w:gridCol w:w="4529"/>
        <w:gridCol w:w="4528"/>
      </w:tblGrid>
      <w:tr w:rsidR="00121674" w14:paraId="11CB6D28" w14:textId="77777777">
        <w:trPr>
          <w:trHeight w:val="300"/>
        </w:trPr>
        <w:tc>
          <w:tcPr>
            <w:tcW w:w="4529"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307C88BE" w14:textId="77777777">
            <w:pPr>
              <w:jc w:val="center"/>
              <w:rPr>
                <w:strike/>
              </w:rPr>
            </w:pPr>
            <w:r>
              <w:rPr>
                <w:b/>
              </w:rPr>
              <w:t>Prijedlog Komisije</w:t>
            </w:r>
          </w:p>
        </w:tc>
        <w:tc>
          <w:tcPr>
            <w:tcW w:w="4528"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3496A1D6" w14:textId="77777777">
            <w:pPr>
              <w:jc w:val="center"/>
            </w:pPr>
            <w:r>
              <w:rPr>
                <w:b/>
              </w:rPr>
              <w:t>Amandman EGSO-a</w:t>
            </w:r>
          </w:p>
        </w:tc>
      </w:tr>
      <w:tr w:rsidR="00121674" w14:paraId="67EBF4D9" w14:textId="77777777">
        <w:trPr>
          <w:trHeight w:val="300"/>
        </w:trPr>
        <w:tc>
          <w:tcPr>
            <w:tcW w:w="4529"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121674" w14:paraId="442745E9" w14:textId="74251A1E">
            <w:pPr>
              <w:ind w:left="30" w:right="30"/>
              <w:rPr>
                <w:lang w:val="en-GB"/>
              </w:rPr>
            </w:pPr>
          </w:p>
        </w:tc>
        <w:tc>
          <w:tcPr>
            <w:tcW w:w="4528"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31B1E632" w14:textId="77777777">
            <w:pPr>
              <w:ind w:left="30" w:right="30"/>
              <w:rPr>
                <w:noProof/>
                <w:color w:val="000000" w:themeColor="text1"/>
              </w:rPr>
            </w:pPr>
            <w:r>
              <w:rPr>
                <w:color w:val="000000" w:themeColor="text1"/>
              </w:rPr>
              <w:t>Uvodna izjava X</w:t>
            </w:r>
          </w:p>
          <w:p w:rsidR="00121674" w:rsidRDefault="009F3E2B" w14:paraId="10D8CAE2" w14:textId="77777777">
            <w:pPr>
              <w:ind w:left="30" w:right="30"/>
            </w:pPr>
            <w:r>
              <w:t>Obveza obavješćivanja kupca podliježe nacionalnim pravilima, kojima se može ograničiti otkrivanje informacija, ako bi ono moglo ugroziti istragu, kako bi se sačuvali dokazi.</w:t>
            </w:r>
          </w:p>
        </w:tc>
      </w:tr>
    </w:tbl>
    <w:p w:rsidR="00121674" w:rsidRDefault="00121674" w14:paraId="7A9AE994" w14:textId="77777777">
      <w:pPr>
        <w:rPr>
          <w:lang w:val="en-GB"/>
        </w:rPr>
      </w:pPr>
    </w:p>
    <w:p w:rsidR="00121674" w:rsidP="00F01128" w:rsidRDefault="009F3E2B" w14:paraId="13041839" w14:textId="77777777">
      <w:pPr>
        <w:pStyle w:val="Heading2"/>
        <w:keepNext/>
        <w:keepLines/>
        <w:numPr>
          <w:ilvl w:val="0"/>
          <w:numId w:val="0"/>
        </w:numPr>
        <w:rPr>
          <w:b/>
          <w:bCs/>
        </w:rPr>
      </w:pPr>
      <w:r>
        <w:rPr>
          <w:b/>
        </w:rPr>
        <w:t>Amandman 5.</w:t>
      </w:r>
    </w:p>
    <w:p w:rsidR="00121674" w:rsidP="00F01128" w:rsidRDefault="009F3E2B" w14:paraId="1F21F0F1" w14:textId="77777777">
      <w:pPr>
        <w:keepNext/>
        <w:keepLines/>
        <w:widowControl w:val="0"/>
        <w:jc w:val="left"/>
      </w:pPr>
      <w:r>
        <w:t>povezan s preporukama 1.9. i 1.10.</w:t>
      </w:r>
    </w:p>
    <w:p w:rsidR="00121674" w:rsidP="00F01128" w:rsidRDefault="009F3E2B" w14:paraId="742503CC" w14:textId="77777777">
      <w:pPr>
        <w:keepNext/>
        <w:keepLines/>
        <w:widowControl w:val="0"/>
        <w:jc w:val="left"/>
      </w:pPr>
      <w:r>
        <w:t>Umetnuti novo poglavlje V. koje bi sadržavalo novi članak 21.</w:t>
      </w:r>
    </w:p>
    <w:tbl>
      <w:tblPr>
        <w:tblW w:w="0" w:type="auto"/>
        <w:tblBorders>
          <w:top w:val="outset" w:color="auto" w:sz="6" w:space="0"/>
          <w:left w:val="outset" w:color="auto" w:sz="6" w:space="0"/>
          <w:bottom w:val="outset" w:color="auto" w:sz="6" w:space="0"/>
          <w:right w:val="outset" w:color="auto" w:sz="6" w:space="0"/>
        </w:tblBorders>
        <w:tblLayout w:type="fixed"/>
        <w:tblCellMar>
          <w:left w:w="57" w:type="dxa"/>
          <w:right w:w="57" w:type="dxa"/>
        </w:tblCellMar>
        <w:tblLook w:val="04A0" w:firstRow="1" w:lastRow="0" w:firstColumn="1" w:lastColumn="0" w:noHBand="0" w:noVBand="1"/>
      </w:tblPr>
      <w:tblGrid>
        <w:gridCol w:w="4529"/>
        <w:gridCol w:w="4528"/>
      </w:tblGrid>
      <w:tr w:rsidR="00121674" w14:paraId="05D980F6" w14:textId="77777777">
        <w:trPr>
          <w:trHeight w:val="300"/>
        </w:trPr>
        <w:tc>
          <w:tcPr>
            <w:tcW w:w="4529"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300AD467" w14:textId="77777777">
            <w:pPr>
              <w:keepNext/>
              <w:jc w:val="center"/>
              <w:rPr>
                <w:strike/>
              </w:rPr>
            </w:pPr>
            <w:r>
              <w:rPr>
                <w:b/>
              </w:rPr>
              <w:t>Prijedlog Komisije</w:t>
            </w:r>
          </w:p>
        </w:tc>
        <w:tc>
          <w:tcPr>
            <w:tcW w:w="4528"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2A83301D" w14:textId="77777777">
            <w:pPr>
              <w:keepNext/>
              <w:jc w:val="center"/>
            </w:pPr>
            <w:r>
              <w:rPr>
                <w:b/>
              </w:rPr>
              <w:t>Amandman EGSO-a</w:t>
            </w:r>
          </w:p>
        </w:tc>
      </w:tr>
      <w:tr w:rsidR="00121674" w14:paraId="6004103B" w14:textId="77777777">
        <w:trPr>
          <w:trHeight w:val="279"/>
        </w:trPr>
        <w:tc>
          <w:tcPr>
            <w:tcW w:w="4529"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0435083B" w14:textId="77777777">
            <w:pPr>
              <w:keepNext/>
              <w:ind w:left="30" w:right="30"/>
            </w:pPr>
            <w:r>
              <w:t xml:space="preserve"> </w:t>
            </w:r>
          </w:p>
        </w:tc>
        <w:tc>
          <w:tcPr>
            <w:tcW w:w="4528"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01896F04" w14:textId="77777777">
            <w:pPr>
              <w:keepNext/>
              <w:ind w:left="30" w:right="30"/>
              <w:rPr>
                <w:b/>
                <w:bCs/>
                <w:i/>
                <w:iCs/>
              </w:rPr>
            </w:pPr>
            <w:r>
              <w:rPr>
                <w:b/>
                <w:i/>
              </w:rPr>
              <w:t>Članak 21.</w:t>
            </w:r>
          </w:p>
          <w:p w:rsidR="00121674" w:rsidRDefault="00121674" w14:paraId="1074AD0B" w14:textId="77777777">
            <w:pPr>
              <w:keepNext/>
              <w:ind w:left="30" w:right="30"/>
              <w:rPr>
                <w:b/>
                <w:bCs/>
                <w:iCs/>
                <w:lang w:val="en-GB"/>
              </w:rPr>
            </w:pPr>
          </w:p>
          <w:p w:rsidR="00121674" w:rsidRDefault="009F3E2B" w14:paraId="671F4880" w14:textId="77777777">
            <w:pPr>
              <w:keepNext/>
              <w:ind w:left="30" w:right="30"/>
              <w:rPr>
                <w:b/>
                <w:bCs/>
                <w:i/>
              </w:rPr>
            </w:pPr>
            <w:r>
              <w:rPr>
                <w:b/>
                <w:i/>
              </w:rPr>
              <w:t>Provedbeno tijelo podnositelj zahtjeva kupcu pod istragom zbog nepoštene trgovačke prakse s prekograničnom dimenzijom ili raširene nepoštene trgovačke prakse s prekograničnom dimenzijom u skladu s nacionalnim pravom pruža:</w:t>
            </w:r>
          </w:p>
          <w:p w:rsidR="00121674" w:rsidRDefault="00121674" w14:paraId="362D431C" w14:textId="77777777">
            <w:pPr>
              <w:keepNext/>
              <w:rPr>
                <w:b/>
                <w:bCs/>
                <w:i/>
                <w:lang w:val="en-GB"/>
              </w:rPr>
            </w:pPr>
          </w:p>
          <w:p w:rsidR="00121674" w:rsidRDefault="009F3E2B" w14:paraId="01745AD9" w14:textId="77777777">
            <w:pPr>
              <w:pStyle w:val="ListParagraph"/>
              <w:keepNext/>
              <w:numPr>
                <w:ilvl w:val="0"/>
                <w:numId w:val="4"/>
              </w:numPr>
              <w:tabs>
                <w:tab w:val="left" w:pos="3657"/>
              </w:tabs>
              <w:spacing w:after="0" w:line="288" w:lineRule="auto"/>
              <w:ind w:left="357" w:hanging="357"/>
              <w:jc w:val="both"/>
              <w:rPr>
                <w:rFonts w:ascii="Times New Roman" w:hAnsi="Times New Roman" w:cs="Times New Roman"/>
                <w:b/>
                <w:bCs/>
                <w:i/>
              </w:rPr>
            </w:pPr>
            <w:r>
              <w:rPr>
                <w:rFonts w:ascii="Times New Roman" w:hAnsi="Times New Roman"/>
                <w:b/>
                <w:i/>
              </w:rPr>
              <w:t>pristup dokumentima na temelju kojih su provedbeno tijelo podnositelj zahtjeva ili koordinator imenovan na temelju članka 13. stavka 2. zaključili da je potrebno podnijeti zahtjev za uzajamnu pomoć;</w:t>
            </w:r>
          </w:p>
          <w:p w:rsidR="00121674" w:rsidRDefault="009F3E2B" w14:paraId="67CDE9DB" w14:textId="77777777">
            <w:pPr>
              <w:pStyle w:val="ListParagraph"/>
              <w:keepNext/>
              <w:numPr>
                <w:ilvl w:val="0"/>
                <w:numId w:val="4"/>
              </w:numPr>
              <w:tabs>
                <w:tab w:val="left" w:pos="3657"/>
              </w:tabs>
              <w:spacing w:after="0" w:line="288" w:lineRule="auto"/>
              <w:ind w:left="357" w:hanging="357"/>
              <w:jc w:val="both"/>
              <w:rPr>
                <w:rFonts w:ascii="Times New Roman" w:hAnsi="Times New Roman" w:cs="Times New Roman"/>
                <w:b/>
                <w:bCs/>
                <w:i/>
              </w:rPr>
            </w:pPr>
            <w:r>
              <w:rPr>
                <w:rFonts w:ascii="Times New Roman" w:hAnsi="Times New Roman"/>
                <w:b/>
                <w:i/>
              </w:rPr>
              <w:t>informacije o koracima i mjerama koje je u skladu s člankom 6. stavkom 3. poduzelo provedbeno tijelo primatelj zahtjeva;</w:t>
            </w:r>
          </w:p>
          <w:p w:rsidR="00121674" w:rsidRDefault="009F3E2B" w14:paraId="61916B25" w14:textId="77777777">
            <w:pPr>
              <w:pStyle w:val="ListParagraph"/>
              <w:keepNext/>
              <w:numPr>
                <w:ilvl w:val="0"/>
                <w:numId w:val="4"/>
              </w:numPr>
              <w:tabs>
                <w:tab w:val="left" w:pos="3657"/>
              </w:tabs>
              <w:spacing w:after="0" w:line="288" w:lineRule="auto"/>
              <w:ind w:left="357" w:hanging="357"/>
              <w:jc w:val="both"/>
              <w:rPr>
                <w:rFonts w:ascii="Times New Roman" w:hAnsi="Times New Roman" w:cs="Times New Roman"/>
                <w:b/>
                <w:bCs/>
                <w:i/>
              </w:rPr>
            </w:pPr>
            <w:r>
              <w:rPr>
                <w:rFonts w:ascii="Times New Roman" w:hAnsi="Times New Roman"/>
                <w:b/>
                <w:i/>
              </w:rPr>
              <w:t>pristup dokumentima na temelju kojih je provedbeno tijelo podnositelj zahtjeva utvrdilo da kupac nema dostatna sredstva u skladu s člankom 7. stavkom 2.;</w:t>
            </w:r>
          </w:p>
          <w:p w:rsidR="00121674" w:rsidRDefault="009F3E2B" w14:paraId="22C86806" w14:textId="77777777">
            <w:pPr>
              <w:pStyle w:val="ListParagraph"/>
              <w:keepNext/>
              <w:numPr>
                <w:ilvl w:val="0"/>
                <w:numId w:val="4"/>
              </w:numPr>
              <w:tabs>
                <w:tab w:val="left" w:pos="3657"/>
              </w:tabs>
              <w:spacing w:after="0" w:line="288" w:lineRule="auto"/>
              <w:ind w:left="357" w:hanging="357"/>
              <w:jc w:val="both"/>
              <w:rPr>
                <w:rFonts w:ascii="Times New Roman" w:hAnsi="Times New Roman" w:cs="Times New Roman"/>
                <w:b/>
                <w:bCs/>
                <w:i/>
              </w:rPr>
            </w:pPr>
            <w:r>
              <w:rPr>
                <w:rFonts w:ascii="Times New Roman" w:hAnsi="Times New Roman"/>
                <w:b/>
                <w:i/>
              </w:rPr>
              <w:t>obavijest o odbijanju ili prihvaćanju zahtjeva od strane tijela primatelja zahtjeva i objašnjenje prava na dobivanje dodatnih pojedinosti;</w:t>
            </w:r>
          </w:p>
          <w:p w:rsidR="00121674" w:rsidRDefault="009F3E2B" w14:paraId="7D4B7223" w14:textId="77777777">
            <w:pPr>
              <w:pStyle w:val="ListParagraph"/>
              <w:keepNext/>
              <w:numPr>
                <w:ilvl w:val="0"/>
                <w:numId w:val="4"/>
              </w:numPr>
              <w:tabs>
                <w:tab w:val="left" w:pos="3657"/>
              </w:tabs>
              <w:spacing w:after="0" w:line="288" w:lineRule="auto"/>
              <w:ind w:left="357" w:hanging="357"/>
              <w:jc w:val="both"/>
              <w:rPr>
                <w:rFonts w:ascii="Times New Roman" w:hAnsi="Times New Roman" w:cs="Times New Roman"/>
                <w:b/>
                <w:bCs/>
                <w:i/>
              </w:rPr>
            </w:pPr>
            <w:r>
              <w:rPr>
                <w:rFonts w:ascii="Times New Roman" w:hAnsi="Times New Roman"/>
                <w:b/>
                <w:i/>
              </w:rPr>
              <w:t>obavijest u roku od XX dana od izdavanja upozorenja u skladu s člankom 19.;</w:t>
            </w:r>
          </w:p>
          <w:p w:rsidR="00121674" w:rsidRDefault="009F3E2B" w14:paraId="52669F40" w14:textId="77777777">
            <w:pPr>
              <w:pStyle w:val="ListParagraph"/>
              <w:keepNext/>
              <w:numPr>
                <w:ilvl w:val="0"/>
                <w:numId w:val="4"/>
              </w:numPr>
              <w:tabs>
                <w:tab w:val="left" w:pos="3657"/>
              </w:tabs>
              <w:spacing w:after="0" w:line="288" w:lineRule="auto"/>
              <w:ind w:left="357" w:hanging="357"/>
              <w:jc w:val="both"/>
              <w:rPr>
                <w:rFonts w:ascii="Times New Roman" w:hAnsi="Times New Roman" w:cs="Times New Roman"/>
                <w:b/>
                <w:bCs/>
                <w:i/>
              </w:rPr>
            </w:pPr>
            <w:r>
              <w:rPr>
                <w:rFonts w:ascii="Times New Roman" w:hAnsi="Times New Roman"/>
                <w:b/>
                <w:i/>
              </w:rPr>
              <w:t>priliku da prije donošenja odluke koja na njega nepovoljno utječe izrazi svoje stajalište, konkretno pojašnjavanjem pitanja povezanih s mogućim kršenjem Direktive (EU) 2019/633; i</w:t>
            </w:r>
          </w:p>
          <w:p w:rsidR="00121674" w:rsidRDefault="009F3E2B" w14:paraId="45F841E0" w14:textId="77777777">
            <w:pPr>
              <w:pStyle w:val="ListParagraph"/>
              <w:keepNext/>
              <w:numPr>
                <w:ilvl w:val="0"/>
                <w:numId w:val="4"/>
              </w:numPr>
              <w:tabs>
                <w:tab w:val="left" w:pos="3657"/>
              </w:tabs>
              <w:spacing w:after="0" w:line="288" w:lineRule="auto"/>
              <w:ind w:left="357" w:hanging="357"/>
              <w:jc w:val="both"/>
              <w:rPr>
                <w:rFonts w:ascii="Times New Roman" w:hAnsi="Times New Roman" w:cs="Times New Roman"/>
              </w:rPr>
            </w:pPr>
            <w:r>
              <w:rPr>
                <w:rFonts w:ascii="Times New Roman" w:hAnsi="Times New Roman"/>
                <w:b/>
                <w:i/>
              </w:rPr>
              <w:t>mogućnost podnošenja primjedbi ako postoje opravdani razlozi za sumnju da nacionalna pravila iz članka 9. Direktive (EU) 2019/633 nisu usklađena s pravilima o funkcioniranju unutarnjeg tržišta.</w:t>
            </w:r>
          </w:p>
        </w:tc>
      </w:tr>
    </w:tbl>
    <w:p w:rsidR="00121674" w:rsidRDefault="00121674" w14:paraId="16EF89D1" w14:textId="1F9444A5">
      <w:pPr>
        <w:rPr>
          <w:lang w:val="en-GB"/>
        </w:rPr>
      </w:pPr>
    </w:p>
    <w:p w:rsidR="00F01128" w:rsidRDefault="00F01128" w14:paraId="161A2BFC" w14:textId="77777777">
      <w:pPr>
        <w:rPr>
          <w:lang w:val="en-GB"/>
        </w:rPr>
      </w:pPr>
    </w:p>
    <w:tbl>
      <w:tblPr>
        <w:tblW w:w="0" w:type="auto"/>
        <w:tblBorders>
          <w:top w:val="outset" w:color="auto" w:sz="6" w:space="0"/>
          <w:left w:val="outset" w:color="auto" w:sz="6" w:space="0"/>
          <w:bottom w:val="outset" w:color="auto" w:sz="6" w:space="0"/>
          <w:right w:val="outset" w:color="auto" w:sz="6" w:space="0"/>
        </w:tblBorders>
        <w:tblLayout w:type="fixed"/>
        <w:tblCellMar>
          <w:left w:w="57" w:type="dxa"/>
          <w:right w:w="57" w:type="dxa"/>
        </w:tblCellMar>
        <w:tblLook w:val="04A0" w:firstRow="1" w:lastRow="0" w:firstColumn="1" w:lastColumn="0" w:noHBand="0" w:noVBand="1"/>
      </w:tblPr>
      <w:tblGrid>
        <w:gridCol w:w="9057"/>
      </w:tblGrid>
      <w:tr w:rsidR="00121674" w14:paraId="16E6E260" w14:textId="77777777">
        <w:trPr>
          <w:trHeight w:val="300"/>
        </w:trPr>
        <w:tc>
          <w:tcPr>
            <w:tcW w:w="9057" w:type="dxa"/>
            <w:tcBorders>
              <w:top w:val="single" w:color="auto" w:sz="2" w:space="0"/>
              <w:left w:val="single" w:color="auto" w:sz="2" w:space="0"/>
              <w:bottom w:val="single" w:color="auto" w:sz="2" w:space="0"/>
              <w:right w:val="single" w:color="auto" w:sz="2" w:space="0"/>
            </w:tcBorders>
            <w:shd w:val="clear" w:color="auto" w:fill="auto"/>
            <w:hideMark/>
          </w:tcPr>
          <w:p w:rsidR="00121674" w:rsidRDefault="009F3E2B" w14:paraId="7E86DD5B" w14:textId="77777777">
            <w:pPr>
              <w:keepNext/>
              <w:keepLines/>
              <w:jc w:val="center"/>
            </w:pPr>
            <w:r>
              <w:rPr>
                <w:b/>
              </w:rPr>
              <w:t>Obrazloženje</w:t>
            </w:r>
          </w:p>
        </w:tc>
      </w:tr>
      <w:tr w:rsidR="00121674" w14:paraId="0642CAC9" w14:textId="77777777">
        <w:trPr>
          <w:trHeight w:val="300"/>
        </w:trPr>
        <w:tc>
          <w:tcPr>
            <w:tcW w:w="9057" w:type="dxa"/>
            <w:tcBorders>
              <w:top w:val="single" w:color="auto" w:sz="2" w:space="0"/>
              <w:left w:val="single" w:color="auto" w:sz="6" w:space="0"/>
              <w:bottom w:val="single" w:color="auto" w:sz="6" w:space="0"/>
              <w:right w:val="single" w:color="auto" w:sz="6" w:space="0"/>
            </w:tcBorders>
            <w:shd w:val="clear" w:color="auto" w:fill="auto"/>
            <w:hideMark/>
          </w:tcPr>
          <w:p w:rsidR="00121674" w:rsidRDefault="009F3E2B" w14:paraId="32872929" w14:textId="77777777">
            <w:pPr>
              <w:keepNext/>
              <w:keepLines/>
              <w:ind w:left="28" w:right="28"/>
            </w:pPr>
            <w:r>
              <w:t>Treba uspostaviti ravnotežu između prava na obranu i pravila o otkrivanju informacija tijekom istrage. U tom bi smislu trebalo uputiti na nacionalno zakonodavstvo.</w:t>
            </w:r>
          </w:p>
        </w:tc>
      </w:tr>
    </w:tbl>
    <w:p w:rsidR="00121674" w:rsidRDefault="00121674" w14:paraId="4B6A4009" w14:textId="77777777">
      <w:pPr>
        <w:rPr>
          <w:lang w:val="en-GB"/>
        </w:rPr>
      </w:pPr>
    </w:p>
    <w:p w:rsidR="00121674" w:rsidRDefault="009F3E2B" w14:paraId="462769E4" w14:textId="7D5D4BA6">
      <w:pPr>
        <w:pStyle w:val="Header"/>
      </w:pPr>
      <w:r>
        <w:t>Bruxelles, 27. ožujka 2025.</w:t>
      </w:r>
    </w:p>
    <w:p w:rsidR="00121674" w:rsidRDefault="00121674" w14:paraId="71163AC0" w14:textId="77777777">
      <w:pPr>
        <w:pStyle w:val="Header"/>
        <w:rPr>
          <w:lang w:val="en-GB"/>
        </w:rPr>
      </w:pPr>
    </w:p>
    <w:p w:rsidR="00121674" w:rsidRDefault="00121674" w14:paraId="7CD8B94E" w14:textId="77777777">
      <w:pPr>
        <w:pStyle w:val="Header"/>
        <w:rPr>
          <w:lang w:val="en-GB"/>
        </w:rPr>
      </w:pPr>
    </w:p>
    <w:p w:rsidR="00121674" w:rsidRDefault="009F3E2B" w14:paraId="04AD0EC5" w14:textId="77777777">
      <w:pPr>
        <w:keepNext/>
        <w:keepLines/>
        <w:jc w:val="left"/>
        <w:rPr>
          <w:i/>
          <w:iCs/>
        </w:rPr>
      </w:pPr>
      <w:r>
        <w:rPr>
          <w:i/>
        </w:rPr>
        <w:t>Predsjednik Europskog gospodarskog i socijalnog odbora</w:t>
      </w:r>
    </w:p>
    <w:p w:rsidR="00121674" w:rsidRDefault="009F3E2B" w14:paraId="6F517716" w14:textId="77777777">
      <w:r>
        <w:t>Oliver RÖPKE</w:t>
      </w:r>
    </w:p>
    <w:p w:rsidR="00121674" w:rsidRDefault="00121674" w14:paraId="457CC4D1" w14:textId="77777777">
      <w:pPr>
        <w:pStyle w:val="Header"/>
        <w:rPr>
          <w:lang w:val="en-GB"/>
        </w:rPr>
      </w:pPr>
    </w:p>
    <w:p w:rsidR="00121674" w:rsidRDefault="009F3E2B" w14:paraId="6BABC1C7" w14:textId="42295E3E">
      <w:pPr>
        <w:pStyle w:val="Header"/>
        <w:jc w:val="center"/>
      </w:pPr>
      <w:r>
        <w:t>_____________</w:t>
      </w:r>
    </w:p>
    <w:sectPr w:rsidR="00121674">
      <w:headerReference w:type="even" r:id="rId28"/>
      <w:headerReference w:type="default" r:id="rId29"/>
      <w:footerReference w:type="default" r:id="rId30"/>
      <w:headerReference w:type="first" r:id="rId31"/>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43E0" w14:textId="77777777" w:rsidR="003973BA" w:rsidRDefault="003973BA">
      <w:pPr>
        <w:spacing w:line="240" w:lineRule="auto"/>
      </w:pPr>
      <w:r>
        <w:separator/>
      </w:r>
    </w:p>
  </w:endnote>
  <w:endnote w:type="continuationSeparator" w:id="0">
    <w:p w14:paraId="66CE2935" w14:textId="77777777" w:rsidR="003973BA" w:rsidRDefault="00397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56A4" w14:textId="77777777" w:rsidR="00121674" w:rsidRDefault="00121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8477" w14:textId="77777777" w:rsidR="00121674" w:rsidRDefault="00121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3DBE" w14:textId="77777777" w:rsidR="00121674" w:rsidRDefault="00121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121674" w:rsidRDefault="001216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59F21B54" w:rsidR="00121674" w:rsidRDefault="00E95D6B" w:rsidP="00E95D6B">
    <w:pPr>
      <w:pStyle w:val="Footer"/>
      <w:jc w:val="left"/>
    </w:pPr>
    <w:r>
      <w:t xml:space="preserve">NAT/945 – EESC-2024-04652-00-01-AC-TRA (EN) </w:t>
    </w:r>
    <w:r>
      <w:fldChar w:fldCharType="begin"/>
    </w:r>
    <w:r>
      <w:instrText xml:space="preserve"> PAGE  \* Arabic  \* MERGEFORMAT </w:instrText>
    </w:r>
    <w:r>
      <w:fldChar w:fldCharType="separate"/>
    </w:r>
    <w:r>
      <w:t>8</w:t>
    </w:r>
    <w:r>
      <w:fldChar w:fldCharType="end"/>
    </w:r>
    <w:r>
      <w:t>/</w:t>
    </w:r>
    <w:r>
      <w:fldChar w:fldCharType="begin"/>
    </w:r>
    <w:r>
      <w:instrText xml:space="preserve"> = </w:instrText>
    </w:r>
    <w:fldSimple w:instr=" NUMPAGES ">
      <w:r w:rsidR="00F01128">
        <w:rPr>
          <w:noProof/>
        </w:rPr>
        <w:instrText>10</w:instrText>
      </w:r>
    </w:fldSimple>
    <w:r>
      <w:instrText xml:space="preserve"> - 2 </w:instrText>
    </w:r>
    <w:r>
      <w:fldChar w:fldCharType="separate"/>
    </w:r>
    <w:r w:rsidR="00F011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C70A" w14:textId="77777777" w:rsidR="003973BA" w:rsidRDefault="003973BA">
      <w:pPr>
        <w:spacing w:line="240" w:lineRule="auto"/>
      </w:pPr>
      <w:r>
        <w:separator/>
      </w:r>
    </w:p>
  </w:footnote>
  <w:footnote w:type="continuationSeparator" w:id="0">
    <w:p w14:paraId="104635F9" w14:textId="77777777" w:rsidR="003973BA" w:rsidRDefault="003973BA">
      <w:pPr>
        <w:spacing w:line="240" w:lineRule="auto"/>
      </w:pPr>
      <w:r>
        <w:continuationSeparator/>
      </w:r>
    </w:p>
  </w:footnote>
  <w:footnote w:id="1">
    <w:p w14:paraId="34DFA416" w14:textId="279382D2" w:rsidR="00121674" w:rsidRDefault="009F3E2B">
      <w:pPr>
        <w:pStyle w:val="FootnoteText"/>
      </w:pPr>
      <w:r>
        <w:rPr>
          <w:rStyle w:val="FootnoteReference"/>
          <w:lang w:val="en-GB"/>
        </w:rPr>
        <w:footnoteRef/>
      </w:r>
      <w:r>
        <w:tab/>
        <w:t xml:space="preserve">Mišljenje EGSO-a „Digitalizacija pravosuđa u Europskoj uniji”, </w:t>
      </w:r>
      <w:hyperlink r:id="rId1" w:history="1">
        <w:r>
          <w:rPr>
            <w:rStyle w:val="Hyperlink"/>
          </w:rPr>
          <w:t>SL C 286, 16.7.2021., str. 88.</w:t>
        </w:r>
      </w:hyperlink>
    </w:p>
  </w:footnote>
  <w:footnote w:id="2">
    <w:p w14:paraId="02A6BD48" w14:textId="77777777" w:rsidR="00121674" w:rsidRDefault="009F3E2B">
      <w:pPr>
        <w:pStyle w:val="FootnoteText"/>
      </w:pPr>
      <w:r>
        <w:rPr>
          <w:rStyle w:val="FootnoteReference"/>
          <w:lang w:val="en-GB"/>
        </w:rPr>
        <w:footnoteRef/>
      </w:r>
      <w:r>
        <w:tab/>
      </w:r>
      <w:hyperlink r:id="rId2" w:history="1">
        <w:r>
          <w:rPr>
            <w:rStyle w:val="Hyperlink"/>
          </w:rPr>
          <w:t>Izvješće Marija Draghija</w:t>
        </w:r>
      </w:hyperlink>
      <w:r>
        <w:t>.</w:t>
      </w:r>
    </w:p>
  </w:footnote>
  <w:footnote w:id="3">
    <w:p w14:paraId="51B82C1A" w14:textId="77777777" w:rsidR="00121674" w:rsidRDefault="009F3E2B">
      <w:pPr>
        <w:pStyle w:val="FootnoteText"/>
      </w:pPr>
      <w:r>
        <w:rPr>
          <w:rStyle w:val="FootnoteReference"/>
          <w:lang w:val="en-GB"/>
        </w:rPr>
        <w:footnoteRef/>
      </w:r>
      <w:r>
        <w:tab/>
      </w:r>
      <w:hyperlink r:id="rId3" w:history="1">
        <w:r>
          <w:rPr>
            <w:rStyle w:val="Hyperlink"/>
          </w:rPr>
          <w:t>Izvješće Enrica Lette</w:t>
        </w:r>
      </w:hyperlink>
      <w:r>
        <w:t>.</w:t>
      </w:r>
    </w:p>
  </w:footnote>
  <w:footnote w:id="4">
    <w:p w14:paraId="2180BD16" w14:textId="003F3615" w:rsidR="00121674" w:rsidRDefault="009F3E2B">
      <w:pPr>
        <w:pStyle w:val="FootnoteText"/>
      </w:pPr>
      <w:r>
        <w:rPr>
          <w:rStyle w:val="FootnoteReference"/>
          <w:lang w:val="en-GB"/>
        </w:rPr>
        <w:footnoteRef/>
      </w:r>
      <w:r>
        <w:tab/>
      </w:r>
      <w:hyperlink r:id="rId4" w:history="1">
        <w:r w:rsidR="00F01128">
          <w:rPr>
            <w:rStyle w:val="Hyperlink"/>
          </w:rPr>
          <w:t>https://commission.europa.eu/topics/eu-competitiveness_hr</w:t>
        </w:r>
      </w:hyperlink>
      <w:r>
        <w:t>.</w:t>
      </w:r>
    </w:p>
  </w:footnote>
  <w:footnote w:id="5">
    <w:p w14:paraId="62E2C517" w14:textId="77777777" w:rsidR="00121674" w:rsidRDefault="009F3E2B">
      <w:pPr>
        <w:pStyle w:val="FootnoteText"/>
        <w:rPr>
          <w:szCs w:val="16"/>
        </w:rPr>
      </w:pPr>
      <w:r>
        <w:rPr>
          <w:rStyle w:val="FootnoteReference"/>
          <w:szCs w:val="24"/>
          <w:lang w:val="en-GB"/>
        </w:rPr>
        <w:footnoteRef/>
      </w:r>
      <w:r>
        <w:tab/>
      </w:r>
      <w:hyperlink r:id="rId5" w:history="1">
        <w:r>
          <w:rPr>
            <w:rStyle w:val="Hyperlink"/>
          </w:rPr>
          <w:t>COM(2024) 176 final</w:t>
        </w:r>
      </w:hyperlink>
      <w:r>
        <w:t>.</w:t>
      </w:r>
    </w:p>
  </w:footnote>
  <w:footnote w:id="6">
    <w:p w14:paraId="30AFE3DD" w14:textId="77777777" w:rsidR="00121674" w:rsidRDefault="009F3E2B">
      <w:pPr>
        <w:pStyle w:val="FootnoteText"/>
        <w:rPr>
          <w:szCs w:val="16"/>
        </w:rPr>
      </w:pPr>
      <w:r>
        <w:rPr>
          <w:rStyle w:val="FootnoteReference"/>
          <w:szCs w:val="24"/>
          <w:lang w:val="en-GB"/>
        </w:rPr>
        <w:footnoteRef/>
      </w:r>
      <w:r>
        <w:tab/>
      </w:r>
      <w:hyperlink r:id="rId6" w:history="1">
        <w:r>
          <w:rPr>
            <w:rStyle w:val="Hyperlink"/>
          </w:rPr>
          <w:t>COM(2024) 176 final</w:t>
        </w:r>
      </w:hyperlink>
      <w:r>
        <w:t>.</w:t>
      </w:r>
    </w:p>
  </w:footnote>
  <w:footnote w:id="7">
    <w:p w14:paraId="66C56D53" w14:textId="77777777" w:rsidR="00121674" w:rsidRDefault="009F3E2B">
      <w:pPr>
        <w:pStyle w:val="FootnoteText"/>
      </w:pPr>
      <w:r>
        <w:rPr>
          <w:rStyle w:val="FootnoteReference"/>
          <w:lang w:val="en-GB"/>
        </w:rPr>
        <w:footnoteRef/>
      </w:r>
      <w:r>
        <w:tab/>
        <w:t>Uvodna izjava 4. Prijedloga uredbe.</w:t>
      </w:r>
    </w:p>
  </w:footnote>
  <w:footnote w:id="8">
    <w:p w14:paraId="3EFFF367" w14:textId="4E40AC7E" w:rsidR="00121674" w:rsidRDefault="009F3E2B">
      <w:pPr>
        <w:pStyle w:val="FootnoteText"/>
      </w:pPr>
      <w:r>
        <w:rPr>
          <w:rStyle w:val="FootnoteReference"/>
          <w:lang w:val="en-GB"/>
        </w:rPr>
        <w:footnoteRef/>
      </w:r>
      <w:r>
        <w:tab/>
      </w:r>
      <w:hyperlink r:id="rId7" w:history="1">
        <w:r>
          <w:rPr>
            <w:rStyle w:val="Hyperlink"/>
          </w:rPr>
          <w:t>Izvješće JRC-a iz 2020. o teritorijalnim ograničenjima opskrbe u maloprodajnom sektoru u EU-u</w:t>
        </w:r>
      </w:hyperlink>
      <w:r>
        <w:t>.</w:t>
      </w:r>
    </w:p>
  </w:footnote>
  <w:footnote w:id="9">
    <w:p w14:paraId="7C297F9F" w14:textId="77777777" w:rsidR="00121674" w:rsidRDefault="009F3E2B">
      <w:pPr>
        <w:pStyle w:val="FootnoteText"/>
      </w:pPr>
      <w:r>
        <w:rPr>
          <w:rStyle w:val="FootnoteReference"/>
          <w:lang w:val="en-GB"/>
        </w:rPr>
        <w:footnoteRef/>
      </w:r>
      <w:r>
        <w:tab/>
        <w:t>„[...] ponovna nacionalizacija nabave i trgovanja u konačnici će najvjerojatnije negativno utjecati na korist koju jedinstveno tržište donosi potrošačima.”</w:t>
      </w:r>
    </w:p>
  </w:footnote>
  <w:footnote w:id="10">
    <w:p w14:paraId="5F11E25B" w14:textId="78F82933" w:rsidR="00121674" w:rsidRDefault="009F3E2B">
      <w:pPr>
        <w:pStyle w:val="FootnoteText"/>
      </w:pPr>
      <w:r>
        <w:rPr>
          <w:rStyle w:val="FootnoteReference"/>
          <w:lang w:val="en-GB"/>
        </w:rPr>
        <w:footnoteRef/>
      </w:r>
      <w:r>
        <w:tab/>
      </w:r>
      <w:hyperlink r:id="rId8" w:history="1">
        <w:r>
          <w:rPr>
            <w:rStyle w:val="Hyperlink"/>
          </w:rPr>
          <w:t>Izvješće JRC-a iz 2020. o teritorijalnim ograničenjima opskrbe u maloprodajnom sektoru u EU-u</w:t>
        </w:r>
      </w:hyperlink>
      <w:r>
        <w:t>.</w:t>
      </w:r>
    </w:p>
  </w:footnote>
  <w:footnote w:id="11">
    <w:p w14:paraId="4C25B6F7" w14:textId="77777777" w:rsidR="00121674" w:rsidRDefault="009F3E2B">
      <w:pPr>
        <w:pStyle w:val="FootnoteText"/>
      </w:pPr>
      <w:r>
        <w:rPr>
          <w:rStyle w:val="FootnoteReference"/>
          <w:lang w:val="en-GB"/>
        </w:rPr>
        <w:footnoteRef/>
      </w:r>
      <w:r>
        <w:tab/>
        <w:t xml:space="preserve">Početkom ove godine brojni akteri jasno su ukazali na hitnost situacije: </w:t>
      </w:r>
      <w:hyperlink r:id="rId9" w:tgtFrame="_self" w:history="1">
        <w:r>
          <w:rPr>
            <w:color w:val="0000FF"/>
            <w:u w:val="single"/>
            <w:shd w:val="clear" w:color="auto" w:fill="FFFFFF"/>
          </w:rPr>
          <w:t>BEUC – Europska organizacija za zaštitu potrošača</w:t>
        </w:r>
      </w:hyperlink>
      <w:r>
        <w:t xml:space="preserve">, </w:t>
      </w:r>
      <w:hyperlink r:id="rId10" w:tgtFrame="_self" w:history="1">
        <w:r>
          <w:rPr>
            <w:color w:val="0000FF"/>
            <w:u w:val="single"/>
            <w:shd w:val="clear" w:color="auto" w:fill="FFFFFF"/>
          </w:rPr>
          <w:t>Europska komisija</w:t>
        </w:r>
      </w:hyperlink>
      <w:r>
        <w:t xml:space="preserve">, </w:t>
      </w:r>
      <w:hyperlink r:id="rId11" w:tgtFrame="_self" w:history="1">
        <w:r>
          <w:rPr>
            <w:color w:val="0000FF"/>
            <w:u w:val="single"/>
            <w:shd w:val="clear" w:color="auto" w:fill="FFFFFF"/>
          </w:rPr>
          <w:t>organizacija MEDEF – Pokret poduzeća Francuske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121674" w:rsidRDefault="009B1E8D">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2D8DC794" w:rsidR="00121674" w:rsidRDefault="00324E00">
    <w:pPr>
      <w:pStyle w:val="Header"/>
    </w:pPr>
    <w:r>
      <w:rPr>
        <w:noProof/>
      </w:rPr>
      <w:drawing>
        <wp:anchor distT="0" distB="0" distL="114300" distR="114300" simplePos="0" relativeHeight="251675648" behindDoc="0" locked="0" layoutInCell="1" allowOverlap="1" wp14:anchorId="507E0B31" wp14:editId="450D62A2">
          <wp:simplePos x="0" y="0"/>
          <wp:positionH relativeFrom="page">
            <wp:align>center</wp:align>
          </wp:positionH>
          <wp:positionV relativeFrom="page">
            <wp:posOffset>288290</wp:posOffset>
          </wp:positionV>
          <wp:extent cx="6944360" cy="3343275"/>
          <wp:effectExtent l="0" t="0" r="8890" b="9525"/>
          <wp:wrapNone/>
          <wp:docPr id="1" name="Picture 1" title="EESCLogo2021_HR"/>
          <wp:cNvGraphicFramePr/>
          <a:graphic xmlns:a="http://schemas.openxmlformats.org/drawingml/2006/main">
            <a:graphicData uri="http://schemas.openxmlformats.org/drawingml/2006/picture">
              <pic:pic xmlns:pic="http://schemas.openxmlformats.org/drawingml/2006/picture">
                <pic:nvPicPr>
                  <pic:cNvPr id="1" name="Picture 1" title="EESCLogo2021_HR"/>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9B1E8D">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121674" w:rsidRDefault="009B1E8D">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121674" w:rsidRDefault="009B1E8D">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121674" w:rsidRDefault="009B1E8D">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711C54">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121674" w:rsidRDefault="009B1E8D">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121674" w:rsidRDefault="009B1E8D">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121674" w:rsidRDefault="009B1E8D">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121674" w:rsidRDefault="009B1E8D">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289AF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4512240"/>
    <w:multiLevelType w:val="hybridMultilevel"/>
    <w:tmpl w:val="78CA496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69E0A23"/>
    <w:multiLevelType w:val="hybridMultilevel"/>
    <w:tmpl w:val="6F80DBE4"/>
    <w:lvl w:ilvl="0" w:tplc="7032C28E">
      <w:start w:val="1"/>
      <w:numFmt w:val="lowerLetter"/>
      <w:lvlText w:val="%1)"/>
      <w:lvlJc w:val="left"/>
      <w:pPr>
        <w:ind w:left="720" w:hanging="360"/>
      </w:pPr>
      <w:rPr>
        <w:b/>
        <w:bCs/>
        <w:i/>
        <w:i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C201AD"/>
    <w:multiLevelType w:val="hybridMultilevel"/>
    <w:tmpl w:val="CE14640E"/>
    <w:lvl w:ilvl="0" w:tplc="B5F6552E">
      <w:start w:val="1"/>
      <w:numFmt w:val="bullet"/>
      <w:lvlText w:val=""/>
      <w:lvlJc w:val="left"/>
      <w:pPr>
        <w:ind w:left="720" w:hanging="360"/>
      </w:pPr>
      <w:rPr>
        <w:rFonts w:ascii="Symbol" w:hAnsi="Symbol" w:hint="default"/>
        <w:caps w:val="0"/>
        <w:strike w:val="0"/>
        <w:dstrike w:val="0"/>
        <w:vanish w:val="0"/>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lvlOverride w:ilvl="0">
      <w:startOverride w:val="1"/>
    </w:lvlOverride>
    <w:lvlOverride w:ilvl="1">
      <w:startOverride w:val="10"/>
    </w:lvlOverride>
  </w:num>
  <w:num w:numId="7">
    <w:abstractNumId w:val="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0886"/>
    <w:rsid w:val="0001180E"/>
    <w:rsid w:val="00020389"/>
    <w:rsid w:val="0003285F"/>
    <w:rsid w:val="00053D00"/>
    <w:rsid w:val="00062E96"/>
    <w:rsid w:val="00091C58"/>
    <w:rsid w:val="000A0F3B"/>
    <w:rsid w:val="000D01E0"/>
    <w:rsid w:val="000D71AB"/>
    <w:rsid w:val="00121674"/>
    <w:rsid w:val="0014428A"/>
    <w:rsid w:val="001667B8"/>
    <w:rsid w:val="00191106"/>
    <w:rsid w:val="0019231D"/>
    <w:rsid w:val="001955B6"/>
    <w:rsid w:val="001C6458"/>
    <w:rsid w:val="001D3CE0"/>
    <w:rsid w:val="001D61AC"/>
    <w:rsid w:val="001E15AA"/>
    <w:rsid w:val="001E3FA1"/>
    <w:rsid w:val="001F0C72"/>
    <w:rsid w:val="001F3F3D"/>
    <w:rsid w:val="00200E87"/>
    <w:rsid w:val="00206D14"/>
    <w:rsid w:val="00214BDC"/>
    <w:rsid w:val="00215E81"/>
    <w:rsid w:val="00241D7A"/>
    <w:rsid w:val="0024727F"/>
    <w:rsid w:val="00294589"/>
    <w:rsid w:val="002B6A7B"/>
    <w:rsid w:val="002E09EF"/>
    <w:rsid w:val="00324E00"/>
    <w:rsid w:val="003353D7"/>
    <w:rsid w:val="00351868"/>
    <w:rsid w:val="003659F9"/>
    <w:rsid w:val="003973BA"/>
    <w:rsid w:val="003C78AA"/>
    <w:rsid w:val="003D3BD1"/>
    <w:rsid w:val="003E7264"/>
    <w:rsid w:val="00401DE5"/>
    <w:rsid w:val="004871B8"/>
    <w:rsid w:val="004B7AFD"/>
    <w:rsid w:val="00505C3C"/>
    <w:rsid w:val="00574C9B"/>
    <w:rsid w:val="0058411F"/>
    <w:rsid w:val="005961A4"/>
    <w:rsid w:val="005D48C6"/>
    <w:rsid w:val="005E4D0D"/>
    <w:rsid w:val="006125A1"/>
    <w:rsid w:val="00653E7D"/>
    <w:rsid w:val="00662207"/>
    <w:rsid w:val="00667F09"/>
    <w:rsid w:val="00684093"/>
    <w:rsid w:val="006B57A6"/>
    <w:rsid w:val="006D53A6"/>
    <w:rsid w:val="006F7A52"/>
    <w:rsid w:val="00701217"/>
    <w:rsid w:val="00711C54"/>
    <w:rsid w:val="00763AFA"/>
    <w:rsid w:val="00787837"/>
    <w:rsid w:val="00787ABB"/>
    <w:rsid w:val="007B0AEA"/>
    <w:rsid w:val="007B6C64"/>
    <w:rsid w:val="007D1087"/>
    <w:rsid w:val="00822952"/>
    <w:rsid w:val="00833DB1"/>
    <w:rsid w:val="00835CDD"/>
    <w:rsid w:val="00836505"/>
    <w:rsid w:val="0083749A"/>
    <w:rsid w:val="00844B87"/>
    <w:rsid w:val="0084646D"/>
    <w:rsid w:val="0089251B"/>
    <w:rsid w:val="008A6DD4"/>
    <w:rsid w:val="008F74D7"/>
    <w:rsid w:val="00904C42"/>
    <w:rsid w:val="00914683"/>
    <w:rsid w:val="0092483D"/>
    <w:rsid w:val="00924C05"/>
    <w:rsid w:val="00937CF2"/>
    <w:rsid w:val="00976645"/>
    <w:rsid w:val="00976F77"/>
    <w:rsid w:val="00980EAC"/>
    <w:rsid w:val="0098228C"/>
    <w:rsid w:val="009836CA"/>
    <w:rsid w:val="009857AE"/>
    <w:rsid w:val="009B1E8D"/>
    <w:rsid w:val="009E2100"/>
    <w:rsid w:val="009F3E2B"/>
    <w:rsid w:val="00A128EF"/>
    <w:rsid w:val="00A310E1"/>
    <w:rsid w:val="00A36AB0"/>
    <w:rsid w:val="00AB37A3"/>
    <w:rsid w:val="00AC5114"/>
    <w:rsid w:val="00AE22E7"/>
    <w:rsid w:val="00AE75C2"/>
    <w:rsid w:val="00B16FAE"/>
    <w:rsid w:val="00B25683"/>
    <w:rsid w:val="00B25FCC"/>
    <w:rsid w:val="00B51901"/>
    <w:rsid w:val="00B96B47"/>
    <w:rsid w:val="00B970C8"/>
    <w:rsid w:val="00BD357E"/>
    <w:rsid w:val="00BD50F6"/>
    <w:rsid w:val="00C073E1"/>
    <w:rsid w:val="00C11038"/>
    <w:rsid w:val="00C25647"/>
    <w:rsid w:val="00C66AEA"/>
    <w:rsid w:val="00C81E01"/>
    <w:rsid w:val="00C9040A"/>
    <w:rsid w:val="00C91E4D"/>
    <w:rsid w:val="00CB110A"/>
    <w:rsid w:val="00CB7CD0"/>
    <w:rsid w:val="00D039AF"/>
    <w:rsid w:val="00D56C16"/>
    <w:rsid w:val="00D95232"/>
    <w:rsid w:val="00DB7F50"/>
    <w:rsid w:val="00DE30C7"/>
    <w:rsid w:val="00DF400F"/>
    <w:rsid w:val="00E15BF4"/>
    <w:rsid w:val="00E2376B"/>
    <w:rsid w:val="00E26935"/>
    <w:rsid w:val="00E27707"/>
    <w:rsid w:val="00E52B04"/>
    <w:rsid w:val="00E661B7"/>
    <w:rsid w:val="00E7780F"/>
    <w:rsid w:val="00E822FC"/>
    <w:rsid w:val="00E8286B"/>
    <w:rsid w:val="00E95D6B"/>
    <w:rsid w:val="00EA2B66"/>
    <w:rsid w:val="00EE79AC"/>
    <w:rsid w:val="00F01128"/>
    <w:rsid w:val="00F2069F"/>
    <w:rsid w:val="00F53370"/>
    <w:rsid w:val="00F72C1B"/>
    <w:rsid w:val="00F90BE2"/>
    <w:rsid w:val="00F9619E"/>
    <w:rsid w:val="00FC0CEA"/>
    <w:rsid w:val="00FC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92483D"/>
    <w:pPr>
      <w:spacing w:after="160" w:line="259" w:lineRule="auto"/>
      <w:ind w:left="720"/>
      <w:contextualSpacing/>
      <w:jc w:val="left"/>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F72C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lex.europa.eu/legal-content/hr/TXT/?uri=CELEX%3A52024PC0576&amp;qid=1743596037818" TargetMode="External"/><Relationship Id="rId26" Type="http://schemas.openxmlformats.org/officeDocument/2006/relationships/footer" Target="footer4.xml"/><Relationship Id="rId21" Type="http://schemas.openxmlformats.org/officeDocument/2006/relationships/hyperlink" Target="https://unric.org/en/sdg-8/" TargetMode="External"/><Relationship Id="rId34"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aw-tracker.europa.eu/joint-legislative-portal/homepage?lang=en" TargetMode="External"/><Relationship Id="rId25" Type="http://schemas.openxmlformats.org/officeDocument/2006/relationships/header" Target="header5.xml"/><Relationship Id="rId33" Type="http://schemas.openxmlformats.org/officeDocument/2006/relationships/theme" Target="theme/theme1.xml"/><Relationship Id="rId16" Type="http://schemas.openxmlformats.org/officeDocument/2006/relationships/footer" Target="footer3.xml"/><Relationship Id="rId20" Type="http://schemas.openxmlformats.org/officeDocument/2006/relationships/hyperlink" Target="https://unric.org/en/sdg-2/" TargetMode="External"/><Relationship Id="rId29" Type="http://schemas.openxmlformats.org/officeDocument/2006/relationships/header" Target="header8.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unric.org/en/sdg-12/" TargetMode="External"/><Relationship Id="rId28" Type="http://schemas.openxmlformats.org/officeDocument/2006/relationships/header" Target="header7.xml"/><Relationship Id="rId36"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yperlink" Target="https://ec.europa.eu/commission/presscorner/detail/hr/ip_24_6321" TargetMode="External"/><Relationship Id="rId31" Type="http://schemas.openxmlformats.org/officeDocument/2006/relationships/header" Target="header9.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unric.org/en/sdg-10/" TargetMode="Externa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customXml" Target="../customXml/item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hr/publication-detail/-/publication/831c7de4-2a1e-11eb-9d7e-01aa75ed71a1" TargetMode="External"/><Relationship Id="rId3" Type="http://schemas.openxmlformats.org/officeDocument/2006/relationships/hyperlink" Target="https://www.consilium.europa.eu/media/ny3j24sm/much-more-than-a-market-report-by-enrico-letta.pdf" TargetMode="External"/><Relationship Id="rId7" Type="http://schemas.openxmlformats.org/officeDocument/2006/relationships/hyperlink" Target="https://op.europa.eu/hr/publication-detail/-/publication/831c7de4-2a1e-11eb-9d7e-01aa75ed71a1" TargetMode="External"/><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eur-lex.europa.eu/legal-content/HR/TXT/?uri=CELEX%3A52021AE0048" TargetMode="External"/><Relationship Id="rId6" Type="http://schemas.openxmlformats.org/officeDocument/2006/relationships/hyperlink" Target="https://eur-lex.europa.eu/legal-content/HR/TXT/?uri=COM:2024:176:FIN" TargetMode="External"/><Relationship Id="rId11" Type="http://schemas.openxmlformats.org/officeDocument/2006/relationships/hyperlink" Target="https://www.linkedin.com/company/medef/" TargetMode="External"/><Relationship Id="rId5" Type="http://schemas.openxmlformats.org/officeDocument/2006/relationships/hyperlink" Target="https://eur-lex.europa.eu/legal-content/HR/TXT/?uri=COM:2024:176:FIN" TargetMode="External"/><Relationship Id="rId10" Type="http://schemas.openxmlformats.org/officeDocument/2006/relationships/hyperlink" Target="https://www.linkedin.com/company/european-commission/" TargetMode="External"/><Relationship Id="rId4" Type="http://schemas.openxmlformats.org/officeDocument/2006/relationships/hyperlink" Target="https://commission.europa.eu/topics/eu-competitiveness_hr" TargetMode="External"/><Relationship Id="rId9" Type="http://schemas.openxmlformats.org/officeDocument/2006/relationships/hyperlink" Target="https://www.linkedin.com/company/beuc-the-european-consumer-organ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F7M6YNZUATRX-1659962339-6382</_dlc_DocId>
    <_dlc_DocIdUrl xmlns="59ace41b-6786-4ce3-be71-52c27066c6ef">
      <Url>http://dm/eesc/2024/_layouts/15/DocIdRedir.aspx?ID=F7M6YNZUATRX-1659962339-6382</Url>
      <Description>F7M6YNZUATRX-1659962339-6382</Description>
    </_dlc_DocIdUrl>
    <Procedure xmlns="59ace41b-6786-4ce3-be71-52c27066c6ef">2024/0318(COD)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2025-04-02T12:00:00+00:00</ProductionDate>
    <DocumentNumber xmlns="91e51ac0-4aa1-4d5e-9a67-017d481be00b">4652</DocumentNumber>
    <FicheYear xmlns="59ace41b-6786-4ce3-be71-52c27066c6ef" xsi:nil="true"/>
    <DossierNumber xmlns="59ace41b-6786-4ce3-be71-52c27066c6ef">945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72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Rapporteur xmlns="59ace41b-6786-4ce3-be71-52c27066c6ef">PROUZET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3514</FicheNumber>
    <OriginalSender xmlns="59ace41b-6786-4ce3-be71-52c27066c6ef">
      <UserInfo>
        <DisplayName>Briski Petra</DisplayName>
        <AccountId>1523</AccountId>
        <AccountType/>
      </UserInfo>
    </OriginalSender>
    <DocumentPart xmlns="59ace41b-6786-4ce3-be71-52c27066c6ef">0</DocumentPart>
    <AdoptionDate xmlns="59ace41b-6786-4ce3-be71-52c27066c6ef">2025-03-27T12:00:00+00:00</AdoptionDate>
    <RequestingService xmlns="59ace41b-6786-4ce3-be71-52c27066c6ef">Systèmes alimentaires durables, environnement, dév. rural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FE0AD3-650B-44F6-B8F6-871F4962445E}"/>
</file>

<file path=customXml/itemProps2.xml><?xml version="1.0" encoding="utf-8"?>
<ds:datastoreItem xmlns:ds="http://schemas.openxmlformats.org/officeDocument/2006/customXml" ds:itemID="{15BF8F8C-2B9F-4A7C-82BD-2F7A39346D36}"/>
</file>

<file path=customXml/itemProps3.xml><?xml version="1.0" encoding="utf-8"?>
<ds:datastoreItem xmlns:ds="http://schemas.openxmlformats.org/officeDocument/2006/customXml" ds:itemID="{756CCA88-869C-4B3B-B69C-94C2EA401A82}"/>
</file>

<file path=customXml/itemProps4.xml><?xml version="1.0" encoding="utf-8"?>
<ds:datastoreItem xmlns:ds="http://schemas.openxmlformats.org/officeDocument/2006/customXml" ds:itemID="{4B3ED303-5838-4B7F-A86E-EB284F06810B}"/>
</file>

<file path=docProps/app.xml><?xml version="1.0" encoding="utf-8"?>
<Properties xmlns="http://schemas.openxmlformats.org/officeDocument/2006/extended-properties" xmlns:vt="http://schemas.openxmlformats.org/officeDocument/2006/docPropsVTypes">
  <Template>Normal</Template>
  <TotalTime>3</TotalTime>
  <Pages>3</Pages>
  <Words>2555</Words>
  <Characters>14055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New rules on cross-border enforcement against unfair trading practices</vt:lpstr>
    </vt:vector>
  </TitlesOfParts>
  <Company>CESE-CdR</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pravila o prekograničnoj provedbi propisa protiv nepoštenih trgovačkih praksi</dc:title>
  <dc:subject>AC</dc:subject>
  <dc:creator>Francois Aude</dc:creator>
  <cp:keywords>EESC-2024-04652-00-01-AC-TRA-EN</cp:keywords>
  <dc:description>Rapporteur: PROUZET - Original language: EN - Date of document: 02/04/2025 - Date of meeting:  - External documents: COM(2024)576- final - Administrator:  KOLYVA Myrto</dc:description>
  <cp:lastModifiedBy>Briski Petra</cp:lastModifiedBy>
  <cp:revision>8</cp:revision>
  <dcterms:created xsi:type="dcterms:W3CDTF">2025-04-02T12:40:00Z</dcterms:created>
  <dcterms:modified xsi:type="dcterms:W3CDTF">2025-04-02T14:22:00Z</dcterms:modified>
  <cp:category>NAT/945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02/04/2025, 31/03/2025, 17/04/2024, 12/04/2024, 03/04/2024, 03/04/2024, 17/05/2022</vt:lpwstr>
  </property>
  <property fmtid="{D5CDD505-2E9C-101B-9397-08002B2CF9AE}" pid="4" name="Pref_Time">
    <vt:lpwstr>14:39:16, 09:30:06, 09:39:06, 11:34:42, 09:22:37, 08:53:52, 14:58:36</vt:lpwstr>
  </property>
  <property fmtid="{D5CDD505-2E9C-101B-9397-08002B2CF9AE}" pid="5" name="Pref_User">
    <vt:lpwstr>jhvi, jhvi, enied, enied, enied, enied, enied</vt:lpwstr>
  </property>
  <property fmtid="{D5CDD505-2E9C-101B-9397-08002B2CF9AE}" pid="6" name="Pref_FileName">
    <vt:lpwstr>EESC-2024-04652-00-01-AC-ORI.docx, EESC-2024-04652-00-00-AC-TRA-EN-CRR.docx, COR-EESC-2024-01326-11-00-ADMIN-TRA-EN.docx, COR-EESC-2024-01326-11-00-ADMIN-ORI.docx, giusta AC-LEGIS-EN_check list DT.docx, AC-LEGIS-EN.docx, COR-EESC-2022-02592-00-00-ADMIN-OR</vt:lpwstr>
  </property>
  <property fmtid="{D5CDD505-2E9C-101B-9397-08002B2CF9AE}" pid="7" name="ContentTypeId">
    <vt:lpwstr>0x010100EA97B91038054C99906057A708A1480A0034DD74551733C243A24AB255EE6A94DB</vt:lpwstr>
  </property>
  <property fmtid="{D5CDD505-2E9C-101B-9397-08002B2CF9AE}" pid="8" name="_dlc_DocIdItemGuid">
    <vt:lpwstr>76652de7-ff10-4c7b-b510-24e22ff94dbf</vt:lpwstr>
  </property>
  <property fmtid="{D5CDD505-2E9C-101B-9397-08002B2CF9AE}" pid="9" name="Procedure">
    <vt:lpwstr>2024/0318(COD)</vt:lpwstr>
  </property>
  <property fmtid="{D5CDD505-2E9C-101B-9397-08002B2CF9AE}" pid="10" name="AvailableTranslations">
    <vt:lpwstr>35;#FI|87606a43-d45f-42d6-b8c9-e1a3457db5b7;#34;#LT|a7ff5ce7-6123-4f68-865a-a57c31810414;#29;#EL|6d4f4d51-af9b-4650-94b4-4276bee85c91;#30;#HR|2f555653-ed1a-4fe6-8362-9082d95989e5;#23;#MT|7df99101-6854-4a26-b53a-b88c0da02c26;#21;#SV|c2ed69e7-a339-43d7-8f22-d93680a92aa0;#43;#CS|72f9705b-0217-4fd3-bea2-cbc7ed80e26e;#22;#BG|1a1b3951-7821-4e6a-85f5-5673fc08bd2c;#36;#PT|50ccc04a-eadd-42ae-a0cb-acaf45f812ba;#33;#ET|ff6c3f4c-b02c-4c3c-ab07-2c37995a7a0a;#16;#DA|5d49c027-8956-412b-aa16-e85a0f96ad0e;#12;#IT|0774613c-01ed-4e5d-a25d-11d2388de825;#14;#FR|d2afafd3-4c81-4f60-8f52-ee33f2f54ff3;#5;#EN|f2175f21-25d7-44a3-96da-d6a61b075e1b;#27;#SL|98a412ae-eb01-49e9-ae3d-585a81724cfc;#31;#NL|55c6556c-b4f4-441d-9acf-c498d4f838bd;#28;#LV|46f7e311-5d9f-4663-b433-18aeccb7ace7;#32;#HU|6b229040-c589-4408-b4c1-4285663d20a8;#26;#SK|46d9fce0-ef79-4f71-b89b-cd6aa82426b8;#24;#ES|e7a6b05b-ae16-40c8-add9-68b64b03aeba;#17;#PL|1e03da61-4678-4e07-b136-b5024ca9197b;#18;#GA|762d2456-c427-4ecb-b312-af3dad8e258c;#25;#DE|f6b31e5a-26fa-4935-b661-318e46daf27e;#37;#RO|feb747a2-64cd-4299-af12-4833ddc30497</vt:lpwstr>
  </property>
  <property fmtid="{D5CDD505-2E9C-101B-9397-08002B2CF9AE}" pid="11" name="DocumentType_0">
    <vt:lpwstr>AC|a4cc1d15-fb08-4679-ad46-e4e0cba5fe92</vt:lpwstr>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4652</vt:i4>
  </property>
  <property fmtid="{D5CDD505-2E9C-101B-9397-08002B2CF9AE}" pid="15" name="DocumentVersion">
    <vt:i4>1</vt:i4>
  </property>
  <property fmtid="{D5CDD505-2E9C-101B-9397-08002B2CF9AE}" pid="16" name="DossierNumber">
    <vt:i4>945</vt:i4>
  </property>
  <property fmtid="{D5CDD505-2E9C-101B-9397-08002B2CF9AE}" pid="17" name="DocumentStatus">
    <vt:lpwstr>3;#TRA|150d2a88-1431-44e6-a8ca-0bb753ab8672</vt:lpwstr>
  </property>
  <property fmtid="{D5CDD505-2E9C-101B-9397-08002B2CF9AE}" pid="18" name="DossierName">
    <vt:lpwstr>2;#NAT|b263ab5d-0564-42a8-87bf-1cc57d938922</vt:lpwstr>
  </property>
  <property fmtid="{D5CDD505-2E9C-101B-9397-08002B2CF9AE}" pid="19" name="RequestingService">
    <vt:lpwstr>Systèmes alimentaires durables, environnement, dév. rural</vt:lpwstr>
  </property>
  <property fmtid="{D5CDD505-2E9C-101B-9397-08002B2CF9AE}" pid="20" name="Confidentiality">
    <vt:lpwstr>6;#Unrestricted|826e22d7-d029-4ec0-a450-0c28ff673572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FI|87606a43-d45f-42d6-b8c9-e1a3457db5b7;LT|a7ff5ce7-6123-4f68-865a-a57c31810414;MT|7df99101-6854-4a26-b53a-b88c0da02c26;PT|50ccc04a-eadd-42ae-a0cb-acaf45f812ba;IT|0774613c-01ed-4e5d-a25d-11d2388de825;FR|d2afafd3-4c81-4f60-8f52-ee33f2f54ff3;EN|f2175f21-25d7-44a3-96da-d6a61b075e1b;SK|46d9fce0-ef79-4f71-b89b-cd6aa82426b8;PL|1e03da61-4678-4e07-b136-b5024ca9197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72;#AC|a4cc1d15-fb08-4679-ad46-e4e0cba5fe92;#35;#FI|87606a43-d45f-42d6-b8c9-e1a3457db5b7;#34;#LT|a7ff5ce7-6123-4f68-865a-a57c31810414;#26;#SK|46d9fce0-ef79-4f71-b89b-cd6aa82426b8;#23;#MT|7df99101-6854-4a26-b53a-b88c0da02c26;#17;#PL|1e03da61-4678-4e07-b136-b5024ca9197b;#14;#FR|d2afafd3-4c81-4f60-8f52-ee33f2f54ff3;#12;#IT|0774613c-01ed-4e5d-a25d-11d2388de825;#8;#Final|ea5e6674-7b27-4bac-b091-73adbb394efe;#6;#Unrestricted|826e22d7-d029-4ec0-a450-0c28ff673572;#5;#EN|f2175f21-25d7-44a3-96da-d6a61b075e1b;#3;#TRA|150d2a88-1431-44e6-a8ca-0bb753ab8672;#2;#NAT|b263ab5d-0564-42a8-87bf-1cc57d938922;#1;#EESC|422833ec-8d7e-4e65-8e4e-8bed07ffb729;#36;#PT|50ccc04a-eadd-42ae-a0cb-acaf45f812ba</vt:lpwstr>
  </property>
  <property fmtid="{D5CDD505-2E9C-101B-9397-08002B2CF9AE}" pid="30" name="Rapporteur">
    <vt:lpwstr>PROUZET</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3514</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2025-03-27T12:00:00Z</vt:filetime>
  </property>
  <property fmtid="{D5CDD505-2E9C-101B-9397-08002B2CF9AE}" pid="38" name="DocumentType">
    <vt:lpwstr>72;#AC|a4cc1d15-fb08-4679-ad46-e4e0cba5fe92</vt:lpwstr>
  </property>
  <property fmtid="{D5CDD505-2E9C-101B-9397-08002B2CF9AE}" pid="39" name="DocumentLanguage">
    <vt:lpwstr>30;#HR|2f555653-ed1a-4fe6-8362-9082d95989e5</vt:lpwstr>
  </property>
</Properties>
</file>