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Pr="00316606" w:rsidR="00574C9B" w:rsidTr="008E4CC5" w14:paraId="4B18B74B" w14:textId="77777777">
        <w:trPr>
          <w:jc w:val="center"/>
        </w:trPr>
        <w:tc>
          <w:tcPr>
            <w:tcW w:w="5000" w:type="pct"/>
            <w:vAlign w:val="center"/>
          </w:tcPr>
          <w:p w:rsidRPr="00316606" w:rsidR="00574C9B" w:rsidP="006125A1" w:rsidRDefault="00574C9B" w14:paraId="4B8F14AB" w14:textId="77777777">
            <w:pPr>
              <w:jc w:val="center"/>
              <w:rPr>
                <w:b/>
                <w:sz w:val="72"/>
                <w:szCs w:val="72"/>
              </w:rPr>
            </w:pPr>
            <w:r>
              <w:rPr>
                <w:b/>
                <w:sz w:val="72"/>
              </w:rPr>
              <w:t>NUOMONĖ</w:t>
            </w:r>
          </w:p>
        </w:tc>
      </w:tr>
      <w:tr w:rsidRPr="00316606" w:rsidR="00574C9B" w:rsidTr="008E4CC5" w14:paraId="428F80C1" w14:textId="77777777">
        <w:trPr>
          <w:trHeight w:val="567"/>
          <w:jc w:val="center"/>
        </w:trPr>
        <w:tc>
          <w:tcPr>
            <w:tcW w:w="5000" w:type="pct"/>
            <w:vAlign w:val="center"/>
          </w:tcPr>
          <w:p w:rsidRPr="00316606" w:rsidR="00574C9B" w:rsidP="006125A1" w:rsidRDefault="00574C9B" w14:paraId="0E3C838D" w14:textId="2E0F4618">
            <w:pPr>
              <w:jc w:val="center"/>
              <w:rPr>
                <w:sz w:val="24"/>
                <w:szCs w:val="24"/>
              </w:rPr>
            </w:pPr>
            <w:r>
              <w:rPr>
                <w:sz w:val="24"/>
              </w:rPr>
              <w:t>Europos ekonomikos ir socialinių reikalų komitetas</w:t>
            </w:r>
          </w:p>
        </w:tc>
      </w:tr>
      <w:tr w:rsidRPr="00316606" w:rsidR="00574C9B" w:rsidTr="008E4CC5" w14:paraId="5FCA7EB1" w14:textId="77777777">
        <w:trPr>
          <w:jc w:val="center"/>
        </w:trPr>
        <w:tc>
          <w:tcPr>
            <w:tcW w:w="5000" w:type="pct"/>
            <w:vAlign w:val="center"/>
          </w:tcPr>
          <w:p w:rsidRPr="00316606" w:rsidR="00574C9B" w:rsidP="006125A1" w:rsidRDefault="00403E6E" w14:paraId="164B3F5D" w14:textId="144479AE">
            <w:pPr>
              <w:jc w:val="center"/>
              <w:rPr>
                <w:b/>
                <w:sz w:val="44"/>
                <w:szCs w:val="44"/>
              </w:rPr>
            </w:pPr>
            <w:r>
              <w:rPr>
                <w:b/>
                <w:sz w:val="44"/>
              </w:rPr>
              <w:t>Priemonės atspariai, darniai ir įtraukiai Europos ekonomikai kurti</w:t>
            </w:r>
          </w:p>
        </w:tc>
      </w:tr>
      <w:tr w:rsidRPr="00316606" w:rsidR="00574C9B" w:rsidTr="008E4CC5" w14:paraId="0A2CA787" w14:textId="77777777">
        <w:trPr>
          <w:jc w:val="center"/>
        </w:trPr>
        <w:tc>
          <w:tcPr>
            <w:tcW w:w="5000" w:type="pct"/>
            <w:vAlign w:val="center"/>
          </w:tcPr>
          <w:p w:rsidRPr="00476FF9"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w:t>
            </w:r>
          </w:p>
        </w:tc>
      </w:tr>
      <w:tr w:rsidRPr="00316606" w:rsidR="00574C9B" w:rsidTr="008E4CC5" w14:paraId="651BE820" w14:textId="77777777">
        <w:trPr>
          <w:jc w:val="center"/>
        </w:trPr>
        <w:tc>
          <w:tcPr>
            <w:tcW w:w="5000" w:type="pct"/>
            <w:vAlign w:val="center"/>
          </w:tcPr>
          <w:p w:rsidR="00476FF9" w:rsidP="00C567AF" w:rsidRDefault="00403E6E" w14:paraId="299B7EE6" w14:textId="77777777">
            <w:pPr>
              <w:ind w:left="567" w:right="567"/>
              <w:jc w:val="center"/>
              <w:rPr>
                <w:sz w:val="24"/>
                <w:szCs w:val="24"/>
              </w:rPr>
            </w:pPr>
            <w:r>
              <w:rPr>
                <w:sz w:val="24"/>
              </w:rPr>
              <w:t>Krizių įveikimas. Ekonomikos priemonės atspariai, darniai ir įtraukiai Europai kurti</w:t>
            </w:r>
          </w:p>
          <w:p w:rsidRPr="00476FF9" w:rsidR="00574C9B" w:rsidP="00C567AF" w:rsidRDefault="00914683" w14:paraId="6E238E6D" w14:textId="7597F060">
            <w:pPr>
              <w:ind w:left="567" w:right="567"/>
              <w:jc w:val="center"/>
              <w:rPr>
                <w:sz w:val="24"/>
                <w:szCs w:val="24"/>
              </w:rPr>
            </w:pPr>
            <w:r>
              <w:rPr>
                <w:b/>
                <w:sz w:val="24"/>
              </w:rPr>
              <w:t>(nuomonė savo iniciatyva)</w:t>
            </w:r>
          </w:p>
        </w:tc>
      </w:tr>
      <w:tr w:rsidRPr="00316606" w:rsidR="00574C9B" w:rsidTr="008E4CC5" w14:paraId="295584EE" w14:textId="77777777">
        <w:trPr>
          <w:jc w:val="center"/>
        </w:trPr>
        <w:tc>
          <w:tcPr>
            <w:tcW w:w="5000" w:type="pct"/>
            <w:vAlign w:val="center"/>
          </w:tcPr>
          <w:p w:rsidRPr="00476FF9" w:rsidR="00574C9B" w:rsidP="006125A1" w:rsidRDefault="00574C9B" w14:paraId="7AA50FA1" w14:textId="77777777">
            <w:pPr>
              <w:jc w:val="center"/>
              <w:rPr>
                <w:sz w:val="24"/>
                <w:szCs w:val="24"/>
                <w:lang w:val="en-GB"/>
              </w:rPr>
            </w:pPr>
          </w:p>
        </w:tc>
      </w:tr>
      <w:tr w:rsidRPr="00316606" w:rsidR="00574C9B" w:rsidTr="008E4CC5" w14:paraId="41F47321" w14:textId="77777777">
        <w:trPr>
          <w:jc w:val="center"/>
        </w:trPr>
        <w:tc>
          <w:tcPr>
            <w:tcW w:w="5000" w:type="pct"/>
            <w:vAlign w:val="center"/>
          </w:tcPr>
          <w:p w:rsidRPr="00476FF9" w:rsidR="00574C9B" w:rsidP="006125A1" w:rsidRDefault="00403E6E" w14:paraId="50D97899" w14:textId="138EEDC1">
            <w:pPr>
              <w:jc w:val="center"/>
              <w:rPr>
                <w:b/>
                <w:sz w:val="24"/>
                <w:szCs w:val="24"/>
              </w:rPr>
            </w:pPr>
            <w:r>
              <w:rPr>
                <w:b/>
                <w:sz w:val="24"/>
              </w:rPr>
              <w:t>ECO/661</w:t>
            </w:r>
          </w:p>
        </w:tc>
      </w:tr>
      <w:tr w:rsidRPr="00316606" w:rsidR="00574C9B" w:rsidTr="008E4CC5" w14:paraId="2110FDEB" w14:textId="77777777">
        <w:trPr>
          <w:jc w:val="center"/>
        </w:trPr>
        <w:tc>
          <w:tcPr>
            <w:tcW w:w="5000" w:type="pct"/>
            <w:vAlign w:val="center"/>
          </w:tcPr>
          <w:p w:rsidRPr="00476FF9" w:rsidR="00574C9B" w:rsidP="006125A1" w:rsidRDefault="00574C9B" w14:paraId="59F181E4" w14:textId="77777777">
            <w:pPr>
              <w:jc w:val="center"/>
              <w:rPr>
                <w:sz w:val="24"/>
                <w:szCs w:val="24"/>
                <w:lang w:val="en-GB"/>
              </w:rPr>
            </w:pPr>
          </w:p>
        </w:tc>
      </w:tr>
      <w:tr w:rsidRPr="00316606" w:rsidR="00574C9B" w:rsidTr="008E4CC5" w14:paraId="5DF7EBEA" w14:textId="77777777">
        <w:trPr>
          <w:jc w:val="center"/>
        </w:trPr>
        <w:tc>
          <w:tcPr>
            <w:tcW w:w="5000" w:type="pct"/>
            <w:vAlign w:val="center"/>
          </w:tcPr>
          <w:p w:rsidRPr="00476FF9" w:rsidR="00574C9B" w:rsidP="006125A1" w:rsidRDefault="00574C9B" w14:paraId="23E9DE0A" w14:textId="7471B4FB">
            <w:pPr>
              <w:jc w:val="center"/>
              <w:rPr>
                <w:sz w:val="24"/>
                <w:szCs w:val="24"/>
              </w:rPr>
            </w:pPr>
            <w:r>
              <w:rPr>
                <w:sz w:val="24"/>
              </w:rPr>
              <w:t xml:space="preserve">Pranešėja </w:t>
            </w:r>
            <w:r>
              <w:rPr>
                <w:b/>
                <w:sz w:val="24"/>
              </w:rPr>
              <w:t>Elena-Alexandra CALISTRU</w:t>
            </w:r>
          </w:p>
        </w:tc>
      </w:tr>
      <w:tr w:rsidRPr="00316606" w:rsidR="00CB7CD0" w:rsidTr="008E4CC5" w14:paraId="1AE590E4" w14:textId="77777777">
        <w:trPr>
          <w:jc w:val="center"/>
        </w:trPr>
        <w:tc>
          <w:tcPr>
            <w:tcW w:w="5000" w:type="pct"/>
            <w:vAlign w:val="center"/>
          </w:tcPr>
          <w:p w:rsidRPr="00476FF9" w:rsidR="00CB7CD0" w:rsidP="006125A1" w:rsidRDefault="00CB7CD0" w14:paraId="3CA82D7B" w14:textId="3F6D495D">
            <w:pPr>
              <w:jc w:val="center"/>
              <w:rPr>
                <w:sz w:val="24"/>
                <w:szCs w:val="24"/>
                <w:lang w:val="en-GB"/>
              </w:rPr>
            </w:pPr>
          </w:p>
        </w:tc>
      </w:tr>
    </w:tbl>
    <w:p w:rsidR="00476FF9" w:rsidP="00574C9B" w:rsidRDefault="00476FF9" w14:paraId="3C4A490A" w14:textId="0952F3DA">
      <w:r>
        <w:rPr>
          <w:noProof/>
          <w:sz w:val="20"/>
        </w:rPr>
        <mc:AlternateContent>
          <mc:Choice Requires="wps">
            <w:drawing>
              <wp:anchor distT="0" distB="0" distL="114300" distR="114300" simplePos="0" relativeHeight="251659264" behindDoc="1" locked="0" layoutInCell="0" allowOverlap="1" wp14:editId="05276F97" wp14:anchorId="3735E109">
                <wp:simplePos x="0" y="0"/>
                <wp:positionH relativeFrom="rightMargin">
                  <wp:posOffset>-203200</wp:posOffset>
                </wp:positionH>
                <wp:positionV relativeFrom="page">
                  <wp:posOffset>9486900</wp:posOffset>
                </wp:positionV>
                <wp:extent cx="741045" cy="4318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6pt;margin-top:747pt;width:58.35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nM8wEAAMcDAAAOAAAAZHJzL2Uyb0RvYy54bWysU9tu2zAMfR+wfxD0vtjO3LUz4hRdiw4D&#10;ugvQ7gMYWY6F2aJGKbGzrx8lp1m2vQ17ESSSOjrnkFpdT0Mv9pq8QVvLYpFLoa3CxthtLb8+3b+6&#10;ksIHsA30aHUtD9rL6/XLF6vRVXqJHfaNJsEg1lejq2UXgquyzKtOD+AX6LTlZIs0QOAjbbOGYGT0&#10;oc+Wef4mG5EaR6i09xy9m5NynfDbVqvwuW29DqKvJXMLaaW0buKarVdQbQlcZ9SRBvwDiwGM5UdP&#10;UHcQQOzI/AU1GEXosQ0LhUOGbWuUThpYTZH/oeaxA6eTFjbHu5NN/v/Bqk/7LyRMU8sl22Nh4B49&#10;6SmIdziJ4jL6Mzpfcdmj48IwcZz7nLR694DqmxcWbzuwW31DhGOnoWF+RbyZnV2dcXwE2YwfseF3&#10;YBcwAU0tDdE8tkMwOhM5nHoTuSgOXpZFXl5IoThVvi6u8tS7DKrny458eK9xEHFTS+LWJ3DYP/gQ&#10;yUD1XBLfsnhv+j61v7e/BbgwRhL5yHdmHqbNdDRjg82BZRDO08TTz5sO6YcUI09SLf33HZCWov9g&#10;2Yq3RVnG0UuH8uIyGk3nmc15BqxiqFoGKebtbZjHdefIbDt+aTbf4g3b15okLfo8szry5mlJio+T&#10;Hcfx/Jyqfv2/9U8AAAD//wMAUEsDBBQABgAIAAAAIQD7AoAQ3wAAAAwBAAAPAAAAZHJzL2Rvd25y&#10;ZXYueG1sTI9PT8MwDMXvSHyHyEjcNofRja00nRCIK4jxR+KWNV5b0ThVk63l22NOcLP9e3p+r9hO&#10;vlMnGmIb2MDVXIMiroJruTbw9vo4W4OKybKzXWAy8E0RtuX5WWFzF0Z+odMu1UpMOObWQJNSnyPG&#10;qiFv4zz0xMIOYfA2yTrU6AY7irnvcKH1Cr1tWT40tqf7hqqv3dEbeH86fH5k+rl+8Mt+DJNG9hs0&#10;5vJiursFlWhKf2L4jS/RoZRM+3BkF1VnYHa9kC5JQLbJZBLJOrsBtZfLciUMywL/lyh/AAAA//8D&#10;AFBLAQItABQABgAIAAAAIQC2gziS/gAAAOEBAAATAAAAAAAAAAAAAAAAAAAAAABbQ29udGVudF9U&#10;eXBlc10ueG1sUEsBAi0AFAAGAAgAAAAhADj9If/WAAAAlAEAAAsAAAAAAAAAAAAAAAAALwEAAF9y&#10;ZWxzLy5yZWxzUEsBAi0AFAAGAAgAAAAhAKlliczzAQAAxwMAAA4AAAAAAAAAAAAAAAAALgIAAGRy&#10;cy9lMm9Eb2MueG1sUEsBAi0AFAAGAAgAAAAhAPsCgBDfAAAADAEAAA8AAAAAAAAAAAAAAAAATQQA&#10;AGRycy9kb3ducmV2LnhtbFBLBQYAAAAABAAEAPMAAABZBQAAAAA=&#10;">
                <v:textbox>
                  <w:txbxContent>
                    <w:p w:rsidR="00574C9B" w:rsidP="00574C9B" w:rsidRDefault="00574C9B" w14:paraId="03B00903" w14:textId="77777777">
                      <w:pPr>
                        <w:jc w:val="center"/>
                      </w:pPr>
                      <w:r>
                        <w:rPr>
                          <w:rFonts w:ascii="Arial" w:hAnsi="Arial"/>
                          <w:b/>
                          <w:sz w:val="48"/>
                        </w:rPr>
                        <w:t>LT</w:t>
                      </w:r>
                    </w:p>
                  </w:txbxContent>
                </v:textbox>
                <w10:wrap anchorx="margin" anchory="page"/>
              </v:shape>
            </w:pict>
          </mc:Fallback>
        </mc:AlternateContent>
      </w:r>
    </w:p>
    <w:p w:rsidRPr="00316606" w:rsidR="00574C9B" w:rsidP="00574C9B" w:rsidRDefault="00574C9B" w14:paraId="0B225863" w14:textId="1231533D">
      <w:pPr>
        <w:rPr>
          <w:lang w:val="en-GB"/>
        </w:rPr>
      </w:pPr>
    </w:p>
    <w:p w:rsidRPr="00316606" w:rsidR="00574C9B" w:rsidP="00574C9B" w:rsidRDefault="00574C9B" w14:paraId="4B88FC0A" w14:textId="77777777">
      <w:pPr>
        <w:rPr>
          <w:lang w:val="en-GB"/>
        </w:rPr>
        <w:sectPr w:rsidRPr="00316606" w:rsidR="00574C9B" w:rsidSect="00476FF9">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316606" w:rsidR="00914683" w:rsidTr="00E15BF4" w14:paraId="21AF33F1" w14:textId="77777777">
        <w:tc>
          <w:tcPr>
            <w:tcW w:w="3085" w:type="dxa"/>
          </w:tcPr>
          <w:p w:rsidRPr="00316606" w:rsidR="00914683" w:rsidP="0058411F" w:rsidRDefault="00914683" w14:paraId="7B26A8E7" w14:textId="568CF9D2">
            <w:pPr>
              <w:autoSpaceDE w:val="0"/>
              <w:autoSpaceDN w:val="0"/>
              <w:jc w:val="left"/>
              <w:rPr>
                <w:szCs w:val="20"/>
              </w:rPr>
            </w:pPr>
            <w:r>
              <w:lastRenderedPageBreak/>
              <w:t>Plenarinės asamblėjos sprendimas</w:t>
            </w:r>
          </w:p>
        </w:tc>
        <w:tc>
          <w:tcPr>
            <w:tcW w:w="6204" w:type="dxa"/>
            <w:vAlign w:val="bottom"/>
          </w:tcPr>
          <w:p w:rsidRPr="00316606" w:rsidR="00914683" w:rsidP="0058411F" w:rsidRDefault="00403E6E" w14:paraId="152AB004" w14:textId="5E4CE47F">
            <w:pPr>
              <w:autoSpaceDE w:val="0"/>
              <w:autoSpaceDN w:val="0"/>
              <w:jc w:val="left"/>
            </w:pPr>
            <w:r>
              <w:t>5/12/2024</w:t>
            </w:r>
          </w:p>
        </w:tc>
      </w:tr>
      <w:tr w:rsidRPr="00316606" w:rsidR="00914683" w:rsidTr="00E15BF4" w14:paraId="3E385435" w14:textId="77777777">
        <w:tc>
          <w:tcPr>
            <w:tcW w:w="3085" w:type="dxa"/>
          </w:tcPr>
          <w:p w:rsidRPr="00316606" w:rsidR="00914683" w:rsidP="0058411F" w:rsidRDefault="00914683" w14:paraId="3054D729" w14:textId="5D5B5FF6">
            <w:pPr>
              <w:autoSpaceDE w:val="0"/>
              <w:autoSpaceDN w:val="0"/>
              <w:jc w:val="left"/>
              <w:rPr>
                <w:szCs w:val="20"/>
              </w:rPr>
            </w:pPr>
            <w:r>
              <w:t>Teisinis pagrindas</w:t>
            </w:r>
          </w:p>
        </w:tc>
        <w:tc>
          <w:tcPr>
            <w:tcW w:w="6204" w:type="dxa"/>
            <w:vAlign w:val="bottom"/>
          </w:tcPr>
          <w:p w:rsidRPr="00316606" w:rsidR="00914683" w:rsidP="0058411F" w:rsidRDefault="00914683" w14:paraId="41CF067A" w14:textId="3B6396C1">
            <w:pPr>
              <w:autoSpaceDE w:val="0"/>
              <w:autoSpaceDN w:val="0"/>
              <w:jc w:val="left"/>
            </w:pPr>
            <w:r>
              <w:t>Darbo tvarkos taisyklių 52 straipsnis 2 dalis</w:t>
            </w:r>
          </w:p>
        </w:tc>
      </w:tr>
      <w:tr w:rsidRPr="00316606" w:rsidR="00AC5114" w:rsidTr="00E15BF4" w14:paraId="0E2099A6" w14:textId="77777777">
        <w:tc>
          <w:tcPr>
            <w:tcW w:w="3085" w:type="dxa"/>
          </w:tcPr>
          <w:p w:rsidRPr="00316606" w:rsidR="00AC5114" w:rsidP="0058411F" w:rsidRDefault="00AC5114" w14:paraId="0BC68BA5" w14:textId="77777777">
            <w:pPr>
              <w:autoSpaceDE w:val="0"/>
              <w:autoSpaceDN w:val="0"/>
              <w:jc w:val="left"/>
            </w:pPr>
            <w:r>
              <w:t>Atsakingas skyrius</w:t>
            </w:r>
          </w:p>
        </w:tc>
        <w:tc>
          <w:tcPr>
            <w:tcW w:w="6204" w:type="dxa"/>
            <w:vAlign w:val="bottom"/>
          </w:tcPr>
          <w:p w:rsidRPr="00316606" w:rsidR="00AC5114" w:rsidP="0058411F" w:rsidRDefault="00403E6E" w14:paraId="5AE7EA9E" w14:textId="7D5C6E44">
            <w:pPr>
              <w:autoSpaceDE w:val="0"/>
              <w:autoSpaceDN w:val="0"/>
              <w:jc w:val="left"/>
            </w:pPr>
            <w:r>
              <w:t>Ekonominės ir pinigų sąjungos, ekonominės ir socialinės sanglaudos skyrius</w:t>
            </w:r>
          </w:p>
        </w:tc>
      </w:tr>
      <w:tr w:rsidRPr="00316606" w:rsidR="00AC5114" w:rsidTr="00E15BF4" w14:paraId="53972E32" w14:textId="77777777">
        <w:tc>
          <w:tcPr>
            <w:tcW w:w="3085" w:type="dxa"/>
          </w:tcPr>
          <w:p w:rsidRPr="00316606" w:rsidR="00AC5114" w:rsidP="0058411F" w:rsidRDefault="00AC5114" w14:paraId="13B33E83" w14:textId="77777777">
            <w:pPr>
              <w:autoSpaceDE w:val="0"/>
              <w:autoSpaceDN w:val="0"/>
              <w:jc w:val="left"/>
            </w:pPr>
            <w:r>
              <w:t>Priimta skyriuje</w:t>
            </w:r>
          </w:p>
        </w:tc>
        <w:tc>
          <w:tcPr>
            <w:tcW w:w="6204" w:type="dxa"/>
            <w:vAlign w:val="bottom"/>
          </w:tcPr>
          <w:p w:rsidRPr="00316606" w:rsidR="00AC5114" w:rsidP="0058411F" w:rsidRDefault="00403E6E" w14:paraId="5E71ECD2" w14:textId="5BF53F11">
            <w:pPr>
              <w:autoSpaceDE w:val="0"/>
              <w:autoSpaceDN w:val="0"/>
              <w:jc w:val="left"/>
            </w:pPr>
            <w:r>
              <w:t>15/4/2025</w:t>
            </w:r>
          </w:p>
        </w:tc>
      </w:tr>
      <w:tr w:rsidRPr="00316606" w:rsidR="0058411F" w:rsidTr="00E15BF4" w14:paraId="7AE47B93" w14:textId="77777777">
        <w:tc>
          <w:tcPr>
            <w:tcW w:w="3085" w:type="dxa"/>
          </w:tcPr>
          <w:p w:rsidRPr="00316606" w:rsidR="0058411F" w:rsidP="0058411F" w:rsidRDefault="0058411F" w14:paraId="26DE3092" w14:textId="5B7F7C13">
            <w:pPr>
              <w:autoSpaceDE w:val="0"/>
              <w:autoSpaceDN w:val="0"/>
              <w:jc w:val="left"/>
            </w:pPr>
            <w:r>
              <w:t>Priimta plenarinėje sesijoje</w:t>
            </w:r>
          </w:p>
        </w:tc>
        <w:tc>
          <w:tcPr>
            <w:tcW w:w="6204" w:type="dxa"/>
            <w:vAlign w:val="bottom"/>
          </w:tcPr>
          <w:p w:rsidRPr="00316606" w:rsidR="0058411F" w:rsidP="0058411F" w:rsidRDefault="000124B6" w14:paraId="34FA2183" w14:textId="5EDAD2BD">
            <w:pPr>
              <w:autoSpaceDE w:val="0"/>
              <w:autoSpaceDN w:val="0"/>
              <w:jc w:val="left"/>
            </w:pPr>
            <w:r>
              <w:t>30/4/2025</w:t>
            </w:r>
          </w:p>
        </w:tc>
      </w:tr>
      <w:tr w:rsidRPr="00316606" w:rsidR="0058411F" w:rsidTr="00E15BF4" w14:paraId="2FE8AE44" w14:textId="77777777">
        <w:tc>
          <w:tcPr>
            <w:tcW w:w="3085" w:type="dxa"/>
          </w:tcPr>
          <w:p w:rsidRPr="00316606" w:rsidR="0058411F" w:rsidP="0058411F" w:rsidRDefault="0058411F" w14:paraId="2A65A034" w14:textId="77777777">
            <w:pPr>
              <w:autoSpaceDE w:val="0"/>
              <w:autoSpaceDN w:val="0"/>
              <w:jc w:val="left"/>
            </w:pPr>
            <w:r>
              <w:t>Plenarinė sesija Nr.</w:t>
            </w:r>
          </w:p>
        </w:tc>
        <w:tc>
          <w:tcPr>
            <w:tcW w:w="6204" w:type="dxa"/>
            <w:vAlign w:val="bottom"/>
          </w:tcPr>
          <w:p w:rsidRPr="00316606" w:rsidR="0058411F" w:rsidP="0058411F" w:rsidRDefault="000124B6" w14:paraId="17BFB0A7" w14:textId="0BD38663">
            <w:pPr>
              <w:autoSpaceDE w:val="0"/>
              <w:autoSpaceDN w:val="0"/>
              <w:jc w:val="left"/>
            </w:pPr>
            <w:r>
              <w:t>596</w:t>
            </w:r>
          </w:p>
        </w:tc>
      </w:tr>
      <w:tr w:rsidRPr="00316606" w:rsidR="0058411F" w:rsidTr="00E15BF4" w14:paraId="3889B17A" w14:textId="77777777">
        <w:tc>
          <w:tcPr>
            <w:tcW w:w="3085" w:type="dxa"/>
          </w:tcPr>
          <w:p w:rsidRPr="00316606" w:rsidR="0058411F" w:rsidP="0058411F" w:rsidRDefault="0058411F" w14:paraId="0C723801" w14:textId="77777777">
            <w:pPr>
              <w:autoSpaceDE w:val="0"/>
              <w:autoSpaceDN w:val="0"/>
              <w:jc w:val="left"/>
            </w:pPr>
            <w:r>
              <w:t>Balsavimo rezultatai</w:t>
            </w:r>
            <w:r>
              <w:br/>
              <w:t>(už / prieš / susilaikė)</w:t>
            </w:r>
          </w:p>
        </w:tc>
        <w:tc>
          <w:tcPr>
            <w:tcW w:w="6204" w:type="dxa"/>
            <w:vAlign w:val="bottom"/>
          </w:tcPr>
          <w:p w:rsidRPr="00316606" w:rsidR="0058411F" w:rsidP="0058411F" w:rsidRDefault="0015649F" w14:paraId="14DB34EA" w14:textId="2C94F717">
            <w:pPr>
              <w:autoSpaceDE w:val="0"/>
              <w:autoSpaceDN w:val="0"/>
              <w:jc w:val="left"/>
            </w:pPr>
            <w:r>
              <w:t>176 / 2 / 3</w:t>
            </w:r>
          </w:p>
        </w:tc>
      </w:tr>
    </w:tbl>
    <w:p w:rsidRPr="00316606" w:rsidR="00AC5114" w:rsidP="00574C9B" w:rsidRDefault="00AC5114" w14:paraId="156A5F34" w14:textId="77777777">
      <w:pPr>
        <w:rPr>
          <w:lang w:val="en-GB"/>
        </w:rPr>
      </w:pPr>
    </w:p>
    <w:p w:rsidRPr="00316606" w:rsidR="00AC5114" w:rsidP="00574C9B" w:rsidRDefault="00AC5114" w14:paraId="2CD3051D" w14:textId="77777777">
      <w:pPr>
        <w:rPr>
          <w:lang w:val="en-GB"/>
        </w:rPr>
        <w:sectPr w:rsidRPr="00316606" w:rsidR="00AC5114" w:rsidSect="00476FF9">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316606" w:rsidR="00403E6E" w:rsidP="00403E6E" w:rsidRDefault="00403E6E" w14:paraId="6C0A7DAA" w14:textId="77777777">
      <w:pPr>
        <w:rPr>
          <w:b/>
          <w:i/>
        </w:rPr>
      </w:pPr>
      <w:r>
        <w:rPr>
          <w:b/>
          <w:i/>
        </w:rPr>
        <w:lastRenderedPageBreak/>
        <w:t>Preambulė</w:t>
      </w:r>
    </w:p>
    <w:p w:rsidRPr="00316606" w:rsidR="00403E6E" w:rsidP="00403E6E" w:rsidRDefault="00403E6E" w14:paraId="6983DF83" w14:textId="77777777">
      <w:pPr>
        <w:rPr>
          <w:i/>
          <w:lang w:val="en-GB"/>
        </w:rPr>
      </w:pPr>
    </w:p>
    <w:p w:rsidRPr="00316606" w:rsidR="00403E6E" w:rsidP="00403E6E" w:rsidRDefault="00403E6E" w14:paraId="03228F11" w14:textId="77777777">
      <w:pPr>
        <w:rPr>
          <w:i/>
          <w:iCs/>
        </w:rPr>
      </w:pPr>
      <w:r>
        <w:rPr>
          <w:i/>
        </w:rPr>
        <w:t>Ši nuomonė yra platesnio EESRK nuomonių dėl pragyvenimo išlaidų krizės rinkinio dalis. Į rinkinį įtrauktose nuomonėse EESRK nagrinėja įvairius šio politinio iššūkio aspektus ir pateikia išsamias ir plačios aprėpties rekomendacijas Europos ir nacionalinės politikos formuotojams, pilietinės visuomenės organizacijoms ir kitiems suinteresuotiesiems subjektams. Rinkinį sudaro septynios sektorinės nuomonės</w:t>
      </w:r>
      <w:r w:rsidRPr="00316606">
        <w:rPr>
          <w:rStyle w:val="FootnoteReference"/>
          <w:i/>
          <w:iCs/>
          <w:lang w:val="en-GB"/>
        </w:rPr>
        <w:footnoteReference w:id="1"/>
      </w:r>
      <w:r>
        <w:rPr>
          <w:i/>
        </w:rPr>
        <w:t>, kurių kiekviena skirta konkretiems nagrinėjamos politikos srities klausimams. Be to, bendrojoje nuomonėje</w:t>
      </w:r>
      <w:r w:rsidRPr="00316606">
        <w:rPr>
          <w:rStyle w:val="FootnoteReference"/>
          <w:i/>
          <w:iCs/>
          <w:lang w:val="en-GB"/>
        </w:rPr>
        <w:footnoteReference w:id="2"/>
      </w:r>
      <w:r>
        <w:rPr>
          <w:i/>
        </w:rPr>
        <w:t xml:space="preserve"> pateikiamos visa apimančios politikos rekomendacijos, kaip apskritai šalinti pragyvenimo išlaidų krizę ir didinti atsparumą būsimoms krizėms.</w:t>
      </w:r>
    </w:p>
    <w:p w:rsidRPr="00B04463" w:rsidR="00403E6E" w:rsidP="00403E6E" w:rsidRDefault="00403E6E" w14:paraId="5FD736EC" w14:textId="77777777">
      <w:pPr>
        <w:pStyle w:val="Heading1"/>
        <w:keepNext/>
        <w:numPr>
          <w:ilvl w:val="0"/>
          <w:numId w:val="0"/>
        </w:numPr>
      </w:pPr>
    </w:p>
    <w:p w:rsidRPr="00316606" w:rsidR="00403E6E" w:rsidP="00403E6E" w:rsidRDefault="00403E6E" w14:paraId="5E62DAF8" w14:textId="77777777">
      <w:pPr>
        <w:pStyle w:val="Heading1"/>
        <w:keepNext/>
        <w:rPr>
          <w:b/>
          <w:bCs/>
        </w:rPr>
      </w:pPr>
      <w:r>
        <w:rPr>
          <w:b/>
        </w:rPr>
        <w:t>Išvados ir rekomendacijos</w:t>
      </w:r>
    </w:p>
    <w:p w:rsidRPr="00316606" w:rsidR="00403E6E" w:rsidP="00403E6E" w:rsidRDefault="00403E6E" w14:paraId="117747C5" w14:textId="77777777">
      <w:pPr>
        <w:keepNext/>
        <w:rPr>
          <w:lang w:val="en-GB"/>
        </w:rPr>
      </w:pPr>
    </w:p>
    <w:p w:rsidRPr="00316606" w:rsidR="00403E6E" w:rsidP="00403E6E" w:rsidRDefault="00403E6E" w14:paraId="280904B8" w14:textId="77777777">
      <w:pPr>
        <w:pStyle w:val="Heading2"/>
      </w:pPr>
      <w:r>
        <w:t>Europos Sąjunga yra atsidūrusi kritiniame taške. Per pastaruosius penkerius metus patirtos įvairios tarpusavyje persipynusios krizės – nuo pandemijos sukelto geoekonominio susiskaidymo iki sukrėtimo energetikos sektoriuje ir infliacijos – atskleidė struktūrinį pažeidžiamumą ir padidino ekonominius skirtumus tarp regionų ir pajamų grupių. Nepaisant to, kad bendroji infliacija mažėja, kumuliacinis poveikis ir toliau nevienodai slegia namų ūkius ir įmones. Kylant milžiniškiems geopolitiniams iššūkiams, būtina skubiai pasimokyti iš paskutiniosios krizės, kad per ją padarytos klaidos nebepasikartotų ateityje.</w:t>
      </w:r>
    </w:p>
    <w:p w:rsidRPr="00B04463" w:rsidR="00403E6E" w:rsidP="00403E6E" w:rsidRDefault="00403E6E" w14:paraId="7D06CA80" w14:textId="77777777"/>
    <w:p w:rsidRPr="00316606" w:rsidR="00403E6E" w:rsidP="00403E6E" w:rsidRDefault="00403E6E" w14:paraId="08939188" w14:textId="77777777">
      <w:pPr>
        <w:pStyle w:val="Heading2"/>
      </w:pPr>
      <w:r>
        <w:t>EESRK akcentuoja, kad Europos Sąjunga privalo į šiuos iššūkius reaguoti ryžtingai, o ne nuolankiai. ES tebėra sėkmingiausias pasaulyje tarpvalstybinio valdymo eksperimentas, per kurį pasiekta neprilygstamų rezultatų gerovės, socialinės sanglaudos, teisės viršenybės ir žmogaus raidos srityse. Mūsų šalių gerovės sistemos, įsipareigojimas gerbti žmogaus teises ir socialinių investicijų strategija, apimanti visus gyvenimo etapus, yra mūsų išskirtiniai privalumai, o ne našta. Žengdami į priekį, turime remtis šiais esminiais pranašumais ir spręsti nustatytas pažeidžiamumo problemas.</w:t>
      </w:r>
    </w:p>
    <w:p w:rsidRPr="00B04463" w:rsidR="00403E6E" w:rsidP="00403E6E" w:rsidRDefault="00403E6E" w14:paraId="2042B9CB" w14:textId="77777777"/>
    <w:p w:rsidRPr="00316606" w:rsidR="00403E6E" w:rsidP="00403E6E" w:rsidRDefault="00403E6E" w14:paraId="3ADE5ABE" w14:textId="77777777">
      <w:pPr>
        <w:pStyle w:val="Heading2"/>
      </w:pPr>
      <w:r>
        <w:t>Šie iššūkiai reikalauja ne laipsniško prisitaikymo, o esminės transformacijos, keičiant požiūrį į ekonominį atsparumą, strateginį savarankiškumą ir integracinį augimą. Kad šios krizės liktų užmarštyje ir būtų pasirengta būsimiems sukrėtimams, rekomenduojame pradėti oficialų, nuolatinį ir struktūruotą konsultacijų procesą, per kurį šalių vyriausybės per visą politikos ciklą – nuo rengimo ir įgyvendinimo iki stebėsenos ir vertinimo – glaudžiai bendradarbiautų su visų lygmenų valdžios institucijomis ir palaikytų partnerystės ryšius su profesinėmis sąjungomis, darbdaviais, pilietinės visuomenės organizacijomis ir kitomis atsakingomis įstaigomis.</w:t>
      </w:r>
    </w:p>
    <w:p w:rsidRPr="00B04463" w:rsidR="00403E6E" w:rsidP="00403E6E" w:rsidRDefault="00403E6E" w14:paraId="7F4BF520" w14:textId="77777777">
      <w:pPr>
        <w:pStyle w:val="Heading2"/>
        <w:numPr>
          <w:ilvl w:val="0"/>
          <w:numId w:val="0"/>
        </w:numPr>
        <w:ind w:left="567" w:hanging="567"/>
      </w:pPr>
    </w:p>
    <w:p w:rsidRPr="00316606" w:rsidR="00403E6E" w:rsidP="00403E6E" w:rsidRDefault="00403E6E" w14:paraId="2007BF1E" w14:textId="77777777">
      <w:pPr>
        <w:pStyle w:val="Heading2"/>
      </w:pPr>
      <w:r>
        <w:t xml:space="preserve">Reikia sukurti išsamią ES ekonominio atsparumo stebėsenos sistemą, pagal kurią realiuoju laiku būtų stebimos sistemiškai reikšmingos kainos, pažeidžiamos tiekimo grandinės ir rinkos </w:t>
      </w:r>
      <w:r>
        <w:lastRenderedPageBreak/>
        <w:t>veikimas. Ši išankstinio įspėjimo sistema padėtų imtis tikslinių, laikinų intervencinių priemonių prieš sukrėtimams išplintant visoje ekonomikoje, naudojant išsamius Eurostato, Europos teritorijų planavimo ir sanglaudos stebėsenos tinklo (ESPON) ar Europos Centrinio Banko (ECB) duomenų portalo duomenis.</w:t>
      </w:r>
    </w:p>
    <w:p w:rsidRPr="00B04463" w:rsidR="00403E6E" w:rsidP="00403E6E" w:rsidRDefault="00403E6E" w14:paraId="643BAA5A" w14:textId="77777777">
      <w:pPr>
        <w:pStyle w:val="Heading2"/>
        <w:numPr>
          <w:ilvl w:val="0"/>
          <w:numId w:val="0"/>
        </w:numPr>
        <w:ind w:left="567" w:hanging="567"/>
      </w:pPr>
    </w:p>
    <w:p w:rsidRPr="00316606" w:rsidR="00403E6E" w:rsidP="00403E6E" w:rsidRDefault="00403E6E" w14:paraId="60033155" w14:textId="77777777">
      <w:pPr>
        <w:pStyle w:val="Heading2"/>
      </w:pPr>
      <w:r>
        <w:t>ES turi skubiai pereiti nuo gynybinės prie puolamosios konkurencingumo strategijos, pagal kurią ekonomikos dinamiškumas būtų suderinamas su Europos vertybėmis. Šiuo tikslu reikia racionalizuoti reglamentus, tačiau išlaikyti aukštus standartus, paspartinti strateginių investicijų patvirtinimą ir suderinti įgyvendinimą visose valstybėse narėse. Kartu privalome užbaigti kurti bendrąją rinką ir ją toliau stiprinti. Šias pastangas turi paremti išskirtiniai Europos privalumai: aukštos kokybės žmogiškasis kapitalas, teisine valstybe grindžiamas institucinis stabilumas ir socialinės rinkos ekonomikos modelis.</w:t>
      </w:r>
    </w:p>
    <w:p w:rsidRPr="00B04463" w:rsidR="00403E6E" w:rsidP="00403E6E" w:rsidRDefault="00403E6E" w14:paraId="758886A2" w14:textId="77777777"/>
    <w:p w:rsidRPr="00316606" w:rsidR="00403E6E" w:rsidP="00403E6E" w:rsidRDefault="00403E6E" w14:paraId="11A1DF41" w14:textId="77777777">
      <w:pPr>
        <w:pStyle w:val="Heading2"/>
      </w:pPr>
      <w:r>
        <w:t xml:space="preserve">Reikia sukurti tobulesnę ES infliacijos valdymo sistemą, kuri būtų skirta tiesiogiai spręsti „infliacinio šoko“ (angl. – </w:t>
      </w:r>
      <w:r>
        <w:rPr>
          <w:i/>
        </w:rPr>
        <w:t>shockflation</w:t>
      </w:r>
      <w:r>
        <w:t>) problemą, koordinuojant pinigų politikos veiksmus ir tikslines sektorines priemones. Dėl pinigų politikos apribojimų kovojant su pasiūlos nulemta infliacija reikia rafinuotų priemonių, kuriomis būtų galima spręsti pagrindines kainų spaudimo problemas, neslopinant augimo. Tokios priemonės turėtų būti laikinos ir orientuojamos į nukentėjusius gyventojus, išvengiant griežtos kainų kontrolės, kuri iškraipytų rinkos signalus.</w:t>
      </w:r>
    </w:p>
    <w:p w:rsidRPr="00B04463" w:rsidR="00403E6E" w:rsidP="00403E6E" w:rsidRDefault="00403E6E" w14:paraId="09FE7165" w14:textId="77777777">
      <w:pPr>
        <w:pStyle w:val="Heading2"/>
        <w:numPr>
          <w:ilvl w:val="0"/>
          <w:numId w:val="0"/>
        </w:numPr>
        <w:ind w:left="567" w:hanging="567"/>
      </w:pPr>
    </w:p>
    <w:p w:rsidRPr="00316606" w:rsidR="00403E6E" w:rsidP="00403E6E" w:rsidRDefault="00403E6E" w14:paraId="0150ECB0" w14:textId="77777777">
      <w:pPr>
        <w:pStyle w:val="Heading2"/>
      </w:pPr>
      <w:r>
        <w:t>Reikia sukurti nuolatinius ES lygmens fiskalinio stabilizavimo pajėgumus, remiantis priemonės „NextGenerationEU“ patirtimi, numatant automatinius stabilizavimo mechanizmus, kurie įsijungtų pagal objektyvius ekonominius rodiklius, ir skiriant finansavimą iš tikslinių ES pajamų srautų kitoje daugiametėje finansinėje programoje (DFP). Tai būtų itin svarbi parama asimetrinių sukrėtimų metu ir kartu suteiktų diferencijuotą finansavimą strateginėms investicijoms.</w:t>
      </w:r>
    </w:p>
    <w:p w:rsidRPr="00B04463" w:rsidR="00403E6E" w:rsidP="00403E6E" w:rsidRDefault="00403E6E" w14:paraId="1894C9DF" w14:textId="77777777">
      <w:pPr>
        <w:pStyle w:val="Heading2"/>
        <w:numPr>
          <w:ilvl w:val="0"/>
          <w:numId w:val="0"/>
        </w:numPr>
        <w:ind w:left="567" w:hanging="567"/>
      </w:pPr>
    </w:p>
    <w:p w:rsidRPr="00316606" w:rsidR="00403E6E" w:rsidP="00403E6E" w:rsidRDefault="00403E6E" w14:paraId="1F1130C1" w14:textId="77777777">
      <w:pPr>
        <w:pStyle w:val="Heading2"/>
      </w:pPr>
      <w:r>
        <w:t>Turime nustatyti 20 kritinės svarbos pažeidžiamų vietų ES tiekimo grandinėse ir jas pašalinti, strategiškai susigrąžindami svarbiausių rūšių gamybą arba ją perkeldami į draugiškas šalis, taip pat panaudodami ES lygmens strateginius svarbiausių prekių rezervus ir taikydami viešojo ir privačiojo sektorių investicijų į strateginius gamybos pajėgumus priemones.</w:t>
      </w:r>
    </w:p>
    <w:p w:rsidRPr="00B04463" w:rsidR="00403E6E" w:rsidP="00403E6E" w:rsidRDefault="00403E6E" w14:paraId="718818B1" w14:textId="77777777">
      <w:pPr>
        <w:pStyle w:val="Heading2"/>
        <w:numPr>
          <w:ilvl w:val="0"/>
          <w:numId w:val="0"/>
        </w:numPr>
        <w:ind w:left="567" w:hanging="567"/>
      </w:pPr>
    </w:p>
    <w:p w:rsidRPr="00316606" w:rsidR="00403E6E" w:rsidP="00403E6E" w:rsidRDefault="00403E6E" w14:paraId="0D2825D1" w14:textId="77777777">
      <w:pPr>
        <w:pStyle w:val="Heading2"/>
      </w:pPr>
      <w:r>
        <w:t>Visoms ES finansavimo ir viešųjų pirkimų formoms reikia nustatyti griežtesnes socialines sąlygas, siekiant užtikrinti, kad 2 trln. EUR metinių viešųjų išlaidų</w:t>
      </w:r>
      <w:r w:rsidRPr="00316606">
        <w:rPr>
          <w:rStyle w:val="FootnoteReference"/>
          <w:lang w:val="en-GB"/>
        </w:rPr>
        <w:footnoteReference w:id="3"/>
      </w:r>
      <w:r>
        <w:t xml:space="preserve"> aktyviai skatintų kokybiškų darbo vietų kūrimą, kolektyvines derybas ir tinkamas darbo sąlygas, ypač tuose regionuose, kuriuose vyksta pertvarka.</w:t>
      </w:r>
    </w:p>
    <w:p w:rsidRPr="00B04463" w:rsidR="00403E6E" w:rsidP="00403E6E" w:rsidRDefault="00403E6E" w14:paraId="583F872F" w14:textId="77777777">
      <w:pPr>
        <w:pStyle w:val="Heading2"/>
        <w:numPr>
          <w:ilvl w:val="0"/>
          <w:numId w:val="0"/>
        </w:numPr>
        <w:ind w:left="567" w:hanging="567"/>
      </w:pPr>
    </w:p>
    <w:p w:rsidRPr="00316606" w:rsidR="00403E6E" w:rsidP="00403E6E" w:rsidRDefault="00403E6E" w14:paraId="18320220" w14:textId="77777777">
      <w:pPr>
        <w:pStyle w:val="Heading2"/>
      </w:pPr>
      <w:r>
        <w:t>Turime didinti investicijas į žmogiškąjį kapitalą, itin daug dėmesio skirdami skaitmeninių įgūdžių tobulinimui ir dirbtinio intelekto integravimui, kaip esminiams būsimos darbo jėgos pasirengimo elementams, taip pat šalinti regioninius našumo ir darbo užmokesčio skirtumus įgyvendinant tikslines švietimo ir mokymo iniciatyvas.</w:t>
      </w:r>
    </w:p>
    <w:p w:rsidRPr="00B04463" w:rsidR="00403E6E" w:rsidP="00403E6E" w:rsidRDefault="00403E6E" w14:paraId="51883641" w14:textId="77777777">
      <w:pPr>
        <w:pStyle w:val="Heading2"/>
        <w:numPr>
          <w:ilvl w:val="0"/>
          <w:numId w:val="0"/>
        </w:numPr>
        <w:ind w:left="567"/>
      </w:pPr>
    </w:p>
    <w:p w:rsidRPr="00316606" w:rsidR="00403E6E" w:rsidP="00403E6E" w:rsidRDefault="00403E6E" w14:paraId="71963107" w14:textId="77777777">
      <w:pPr>
        <w:pStyle w:val="Heading2"/>
      </w:pPr>
      <w:r>
        <w:lastRenderedPageBreak/>
        <w:t>Reikia įsteigti ES investicijų fondą, kuris sudarytų ne mažiau kaip 1 proc. ES BVP, kad būtų pašalintas 700 mlrd. EUR metinių investicijų strateginiams prioritetams trūkumas</w:t>
      </w:r>
      <w:r w:rsidRPr="00316606">
        <w:rPr>
          <w:rStyle w:val="FootnoteReference"/>
          <w:lang w:val="en-GB"/>
        </w:rPr>
        <w:footnoteReference w:id="4"/>
      </w:r>
      <w:r>
        <w:t>, daugiausia dėmesio skiriant tarpvalstybinei infrastruktūrai, energijos rinkos integracijai ir ypatingos svarbos technologijoms, kurios padėtų sumažinti beveik dvigubai didesnes Europos energijos sąnaudas, palyginti su pasauliniais konkurentais.</w:t>
      </w:r>
    </w:p>
    <w:p w:rsidRPr="00B04463" w:rsidR="00403E6E" w:rsidP="00403E6E" w:rsidRDefault="00403E6E" w14:paraId="29E3DC72" w14:textId="77777777"/>
    <w:p w:rsidRPr="00316606" w:rsidR="00403E6E" w:rsidP="00403E6E" w:rsidRDefault="00403E6E" w14:paraId="258CC17B" w14:textId="77777777">
      <w:pPr>
        <w:pStyle w:val="Heading2"/>
      </w:pPr>
      <w:r>
        <w:t>Taip pat turime sukurti tikslinę paramos pažeidžiamoms grupėms sistemą, naudojantis ES masto pažeidžiamumo nustatymo priemone su išsamiais namų ūkių duomenimis</w:t>
      </w:r>
      <w:r w:rsidRPr="00316606">
        <w:rPr>
          <w:rStyle w:val="FootnoteReference"/>
          <w:lang w:val="en-GB"/>
        </w:rPr>
        <w:footnoteReference w:id="5"/>
      </w:r>
      <w:r>
        <w:t>, siekiant užtikrinti, kad reaguojant į krizes būtų apsaugoti tie, kuriems kyla didžiausia rizika. Taip pripažįstama, kad mažesnes pajamas gaunantiems namų ūkiams per pastarąsias krizes teko neproporcingai didelė našta, ir kartu atsižvelgiama į valstybių narių pirminę atsakomybę socialinės politikos srityje.</w:t>
      </w:r>
    </w:p>
    <w:p w:rsidRPr="00B04463" w:rsidR="00403E6E" w:rsidP="00403E6E" w:rsidRDefault="00403E6E" w14:paraId="23E74AC6" w14:textId="77777777">
      <w:pPr>
        <w:pStyle w:val="Heading2"/>
        <w:numPr>
          <w:ilvl w:val="0"/>
          <w:numId w:val="0"/>
        </w:numPr>
        <w:ind w:left="567" w:hanging="567"/>
      </w:pPr>
    </w:p>
    <w:p w:rsidRPr="00316606" w:rsidR="00403E6E" w:rsidP="00403E6E" w:rsidRDefault="00403E6E" w14:paraId="7B2C6584" w14:textId="77777777">
      <w:pPr>
        <w:pStyle w:val="Heading2"/>
      </w:pPr>
      <w:r>
        <w:t>EESRK nuomone, svarbu gynybos išlaidas derinti su kitais strateginiais prioritetais ir į gynybos apibrėžtį įtraukti kitus ES egzistavimui būtinus elementus, kaip antai demokratiją, teisinę valstybę ir socialines vertybes. Suprasdami, kad reikia stiprinti gynybos pajėgumus, taip pat turime pripažinti galimą infliacijos poveikį ir užtikrinti, kad investicijos į gynybą papildytų būtinas investicijas į žmogiškąjį kapitalą, inovacijas ir socialinę sanglaudą, o ne jas išstumtų.</w:t>
      </w:r>
    </w:p>
    <w:p w:rsidRPr="00B04463" w:rsidR="00403E6E" w:rsidP="00403E6E" w:rsidRDefault="00403E6E" w14:paraId="713F861E" w14:textId="77777777"/>
    <w:p w:rsidRPr="00316606" w:rsidR="00403E6E" w:rsidP="00403E6E" w:rsidRDefault="00403E6E" w14:paraId="2D090ED5" w14:textId="77777777">
      <w:pPr>
        <w:pStyle w:val="Heading2"/>
      </w:pPr>
      <w:r>
        <w:t>Taikant priemones reikėtų pereiti nuo reaktyvaus krizių valdymo prie proaktyvaus atsparumo didinimo. Europa turi nustoti visų pirma kliautis paklausos valdymo priemonėmis ir pereiti prie visapusiško požiūrio, kuriuo tiesiogiai sprendžiami tiekimo grandinių pažeidžiamų vietų, rinkos nepakankamumo ir paskirstymo disbalanso klausimai.</w:t>
      </w:r>
    </w:p>
    <w:p w:rsidRPr="00B04463" w:rsidR="00403E6E" w:rsidP="00403E6E" w:rsidRDefault="00403E6E" w14:paraId="4F8AC470" w14:textId="77777777">
      <w:pPr>
        <w:pStyle w:val="Heading2"/>
        <w:numPr>
          <w:ilvl w:val="0"/>
          <w:numId w:val="0"/>
        </w:numPr>
        <w:ind w:left="567" w:hanging="567"/>
      </w:pPr>
    </w:p>
    <w:p w:rsidRPr="00316606" w:rsidR="00403E6E" w:rsidP="00403E6E" w:rsidRDefault="00403E6E" w14:paraId="199EEC55" w14:textId="77777777">
      <w:pPr>
        <w:pStyle w:val="Heading2"/>
      </w:pPr>
      <w:r>
        <w:t>Šia sistema, kurioje ekonominis atsparumas derinamas su socialine įtrauktimi ir strateginiu savarankiškumu, siūlomas būdas, kaip Europos ekonomiką paversti pajėgia įveikti būsimus sukrėtimus, kartu apsaugant pažeidžiamiausius jos narius ir išsaugant jai būdingą socialinės rinkos ekonomikos modelį.</w:t>
      </w:r>
    </w:p>
    <w:p w:rsidRPr="00B04463" w:rsidR="00403E6E" w:rsidP="00403E6E" w:rsidRDefault="00403E6E" w14:paraId="00DD4516" w14:textId="77777777"/>
    <w:p w:rsidRPr="00316606" w:rsidR="00403E6E" w:rsidP="00403E6E" w:rsidRDefault="00403E6E" w14:paraId="43B0060E" w14:textId="77777777">
      <w:pPr>
        <w:pStyle w:val="Heading2"/>
      </w:pPr>
      <w:r>
        <w:t>EESRK pabrėžia, kad siekiant spręsti ES ekonomikai kylančios sisteminės rizikos problemą, reikia didesnės politikos formuotojų atskaitomybės visais lygmenimis ir tvirtesnio visų suinteresuotųjų subjektų bendradarbiavimo, kad būtų užtikrinta tvari ir atspari ekonomikos ateitis. Siekdamos įveikti laukiančius nepaprastai didelius iššūkius, visos kompetentingos ir atsakingos šalys turės aktyviau nei bet kada anksčiau įsitraukti į dialogą bei bendradarbiavimą ir drauge siekti, kad ES ekonomika vystytųsi tvariai, stabiliai ir atspariai.</w:t>
      </w:r>
    </w:p>
    <w:p w:rsidRPr="00B04463" w:rsidR="00403E6E" w:rsidP="00403E6E" w:rsidRDefault="00403E6E" w14:paraId="52E50F3E" w14:textId="77777777"/>
    <w:p w:rsidRPr="00316606" w:rsidR="00403E6E" w:rsidP="00403E6E" w:rsidRDefault="00403E6E" w14:paraId="38869FC1" w14:textId="77777777">
      <w:pPr>
        <w:pStyle w:val="Heading1"/>
        <w:keepNext/>
        <w:rPr>
          <w:b/>
          <w:bCs/>
        </w:rPr>
      </w:pPr>
      <w:r>
        <w:rPr>
          <w:b/>
        </w:rPr>
        <w:t>Bendrosios pastabos</w:t>
      </w:r>
    </w:p>
    <w:p w:rsidRPr="00316606" w:rsidR="00403E6E" w:rsidP="00403E6E" w:rsidRDefault="00403E6E" w14:paraId="1FAB8DFA" w14:textId="77777777">
      <w:pPr>
        <w:keepNext/>
        <w:rPr>
          <w:lang w:val="en-GB"/>
        </w:rPr>
      </w:pPr>
    </w:p>
    <w:p w:rsidRPr="00316606" w:rsidR="00403E6E" w:rsidP="00403E6E" w:rsidRDefault="00403E6E" w14:paraId="137261A7" w14:textId="77777777">
      <w:pPr>
        <w:keepNext/>
      </w:pPr>
      <w:r>
        <w:rPr>
          <w:b/>
          <w:i/>
        </w:rPr>
        <w:t>Dabartinė padėtis: nevienodas ekonominių sukrėtimų poveikis</w:t>
      </w:r>
    </w:p>
    <w:p w:rsidRPr="00316606" w:rsidR="00403E6E" w:rsidP="00403E6E" w:rsidRDefault="00403E6E" w14:paraId="2618EF21" w14:textId="77777777">
      <w:pPr>
        <w:keepNext/>
        <w:rPr>
          <w:lang w:val="en-GB"/>
        </w:rPr>
      </w:pPr>
    </w:p>
    <w:p w:rsidRPr="00316606" w:rsidR="00403E6E" w:rsidP="00403E6E" w:rsidRDefault="00403E6E" w14:paraId="259A85F4" w14:textId="77777777">
      <w:pPr>
        <w:pStyle w:val="Heading2"/>
      </w:pPr>
      <w:r>
        <w:t xml:space="preserve">Nepaisant to, kad bendroji infliacija 2024 m. sumažėjo iki 2,6 proc., bazinė infliacija vis dar viršija tikslinį lygį, o kumuliacinis kainų augimas toliau nevienodai slegia namų ūkių finansus ir verslo konkurencingumą įvairiuose regionuose bei pajamų grupėse. Neproporcingai didelė našta </w:t>
      </w:r>
      <w:r>
        <w:lastRenderedPageBreak/>
        <w:t>tenka mažesnes pajamas gaunantiems namų ūkiams ir pažeidžiamiems regionams. Dėl šio „infliacinio šoko“ – infliacijos, kylančios dėl sukrėtimų, darančių poveikį sistemiškai reikšmingoms kainoms – reikia tikslinių valdymo struktūrų, o ne tiesiog pasikliauti pinigų politika.</w:t>
      </w:r>
    </w:p>
    <w:p w:rsidRPr="00B04463" w:rsidR="00403E6E" w:rsidP="00403E6E" w:rsidRDefault="00403E6E" w14:paraId="3411A7A0" w14:textId="77777777"/>
    <w:p w:rsidRPr="00316606" w:rsidR="00403E6E" w:rsidP="00403E6E" w:rsidRDefault="00403E6E" w14:paraId="245871A1" w14:textId="77777777">
      <w:pPr>
        <w:pStyle w:val="Heading2"/>
      </w:pPr>
      <w:r>
        <w:t>Europos pramonė už energiją moka beveik dvigubai brangiau nei įmonės JAV ir Kinijoje, todėl kyla esminis konkurencingumo iššūkis, kuris neigiamai veikia pramonės konkurencingumą ir tikrąją namų ūkių perkamąją galią, taip pat atskleidžia reikšmingus regioninius skirtumus ekonominio atsparumo srityje. 2024 m. atliktos ECB analizės duomenimis, 2022 m., kai infliacija buvo pati didžiausia, realusis darbo užmokestis Europoje, palyginti su ankstesniais metais, sumažėjo rekordiškai – 5,1 proc.</w:t>
      </w:r>
      <w:r w:rsidRPr="00316606">
        <w:rPr>
          <w:rStyle w:val="FootnoteReference"/>
          <w:lang w:val="en-GB"/>
        </w:rPr>
        <w:footnoteReference w:id="6"/>
      </w:r>
      <w:r>
        <w:t>, tačiau kai kuriuose sektoriuose, veikiančiuose mažos konkurencijos rinkose arba suskaidytose reguliuojamose rinkose, padidėjo įmonių pelno maržos, o tai rodo, kaip netolygiai pasiskirstė infliacijos našta.</w:t>
      </w:r>
    </w:p>
    <w:p w:rsidRPr="00B04463" w:rsidR="00403E6E" w:rsidP="00403E6E" w:rsidRDefault="00403E6E" w14:paraId="700BF26B" w14:textId="77777777"/>
    <w:p w:rsidRPr="00316606" w:rsidR="00403E6E" w:rsidP="00403E6E" w:rsidRDefault="00403E6E" w14:paraId="155FF746" w14:textId="77777777">
      <w:pPr>
        <w:pStyle w:val="Heading2"/>
      </w:pPr>
      <w:r>
        <w:t>Konkurencingumo iššūkis turi daug aspektų:</w:t>
      </w:r>
    </w:p>
    <w:p w:rsidRPr="00316606" w:rsidR="00403E6E" w:rsidP="00403E6E" w:rsidRDefault="00403E6E" w14:paraId="1D9DEA69" w14:textId="77777777">
      <w:pPr>
        <w:numPr>
          <w:ilvl w:val="0"/>
          <w:numId w:val="11"/>
        </w:numPr>
        <w:tabs>
          <w:tab w:val="clear" w:pos="720"/>
        </w:tabs>
        <w:ind w:left="1134" w:hanging="567"/>
      </w:pPr>
      <w:r>
        <w:t>nuolatinis produktyvumo augimo ir investicijų atotrūkis nuo pagrindinių konkurentų;</w:t>
      </w:r>
    </w:p>
    <w:p w:rsidRPr="00316606" w:rsidR="00403E6E" w:rsidP="00403E6E" w:rsidRDefault="00403E6E" w14:paraId="4E36778A" w14:textId="77777777">
      <w:pPr>
        <w:numPr>
          <w:ilvl w:val="0"/>
          <w:numId w:val="11"/>
        </w:numPr>
        <w:tabs>
          <w:tab w:val="clear" w:pos="720"/>
        </w:tabs>
        <w:ind w:left="1134" w:hanging="567"/>
      </w:pPr>
      <w:r>
        <w:t>didesnės energijos sąnaudos, darančios poveikį pramonės konkurencingumui;</w:t>
      </w:r>
    </w:p>
    <w:p w:rsidRPr="00316606" w:rsidR="00403E6E" w:rsidP="00403E6E" w:rsidRDefault="00403E6E" w14:paraId="1A94C838" w14:textId="77777777">
      <w:pPr>
        <w:numPr>
          <w:ilvl w:val="0"/>
          <w:numId w:val="11"/>
        </w:numPr>
        <w:tabs>
          <w:tab w:val="clear" w:pos="720"/>
        </w:tabs>
        <w:ind w:left="1134" w:hanging="567"/>
      </w:pPr>
      <w:r>
        <w:t>lėtesnis skaitmeninių technologijų ir dirbtinio intelekto diegimas;</w:t>
      </w:r>
    </w:p>
    <w:p w:rsidRPr="00316606" w:rsidR="00403E6E" w:rsidP="00403E6E" w:rsidRDefault="00403E6E" w14:paraId="58D1D313" w14:textId="77777777">
      <w:pPr>
        <w:numPr>
          <w:ilvl w:val="0"/>
          <w:numId w:val="11"/>
        </w:numPr>
        <w:tabs>
          <w:tab w:val="clear" w:pos="720"/>
        </w:tabs>
        <w:ind w:left="1134" w:hanging="567"/>
      </w:pPr>
      <w:r>
        <w:t>reguliavimo sudėtingumas, kuris gali trukdyti verslo dinamiškumui ir plėtrai;</w:t>
      </w:r>
    </w:p>
    <w:p w:rsidRPr="00316606" w:rsidR="00403E6E" w:rsidP="00403E6E" w:rsidRDefault="00403E6E" w14:paraId="049B6BBA" w14:textId="77777777">
      <w:pPr>
        <w:numPr>
          <w:ilvl w:val="0"/>
          <w:numId w:val="11"/>
        </w:numPr>
        <w:tabs>
          <w:tab w:val="clear" w:pos="720"/>
        </w:tabs>
        <w:ind w:left="1134" w:hanging="567"/>
      </w:pPr>
      <w:r>
        <w:t>suskaidytos paslaugų ir kapitalo rinkos, kurios riboja augimo potencialą. M. Draghi pranešime pažymima, kad euro zonos namų ūkių turto augimo tempas 2009–2023 m. laikotarpiu siekė tik trečdalį JAV namų ūkių turto augimo tempo, nepaisant to, kad europiečiai sukaupė daugiau santaupų.</w:t>
      </w:r>
    </w:p>
    <w:p w:rsidRPr="00B04463" w:rsidR="00403E6E" w:rsidP="00403E6E" w:rsidRDefault="00403E6E" w14:paraId="598080A8" w14:textId="77777777"/>
    <w:p w:rsidRPr="00316606" w:rsidR="00403E6E" w:rsidP="00403E6E" w:rsidRDefault="00403E6E" w14:paraId="31D48ED0" w14:textId="77777777">
      <w:pPr>
        <w:pStyle w:val="Heading2"/>
      </w:pPr>
      <w:r>
        <w:t>Sprendimų šiems neatidėliotiniems iššūkiams ES turi ieškoti valdydama tris didžiąsias permainas:</w:t>
      </w:r>
    </w:p>
    <w:p w:rsidRPr="00316606" w:rsidR="00403E6E" w:rsidP="00403E6E" w:rsidRDefault="00403E6E" w14:paraId="42779CFA" w14:textId="77777777">
      <w:pPr>
        <w:numPr>
          <w:ilvl w:val="0"/>
          <w:numId w:val="12"/>
        </w:numPr>
        <w:tabs>
          <w:tab w:val="clear" w:pos="720"/>
        </w:tabs>
        <w:ind w:left="1134" w:hanging="567"/>
      </w:pPr>
      <w:r>
        <w:t>žaliąją pertvarką, kuri reikalauja milžiniškų investicijų, tačiau taip pat suteikia pramoninio pirmavimo galimybių;</w:t>
      </w:r>
    </w:p>
    <w:p w:rsidRPr="00316606" w:rsidR="00403E6E" w:rsidP="00403E6E" w:rsidRDefault="00403E6E" w14:paraId="01CDED61" w14:textId="77777777">
      <w:pPr>
        <w:numPr>
          <w:ilvl w:val="0"/>
          <w:numId w:val="12"/>
        </w:numPr>
        <w:tabs>
          <w:tab w:val="clear" w:pos="720"/>
        </w:tabs>
        <w:ind w:left="1134" w:hanging="567"/>
      </w:pPr>
      <w:r>
        <w:t>skaitmeninę revoliuciją, kuriai reikia greito prisitaikymo ir kuri kelia esminių klausimų dėl poveikio darbo jėgai;</w:t>
      </w:r>
    </w:p>
    <w:p w:rsidRPr="00316606" w:rsidR="00403E6E" w:rsidP="00403E6E" w:rsidRDefault="00403E6E" w14:paraId="54184B73" w14:textId="77777777">
      <w:pPr>
        <w:numPr>
          <w:ilvl w:val="0"/>
          <w:numId w:val="12"/>
        </w:numPr>
        <w:tabs>
          <w:tab w:val="clear" w:pos="720"/>
        </w:tabs>
        <w:ind w:left="1134" w:hanging="567"/>
      </w:pPr>
      <w:r>
        <w:t>geopolitinius pokyčius, dėl kurių reikia didesnio strateginio savarankiškumo, kartu išlaikant naudingus tarptautinius ryšius.</w:t>
      </w:r>
    </w:p>
    <w:p w:rsidRPr="00B04463" w:rsidR="00403E6E" w:rsidP="00403E6E" w:rsidRDefault="00403E6E" w14:paraId="431350DF" w14:textId="77777777"/>
    <w:p w:rsidRPr="00316606" w:rsidR="00403E6E" w:rsidP="00403E6E" w:rsidRDefault="00403E6E" w14:paraId="5712608A" w14:textId="77777777">
      <w:pPr>
        <w:pStyle w:val="Heading2"/>
      </w:pPr>
      <w:r>
        <w:t>Geoekonominis susiskaidymas kelia didelę riziką ES ekonomikos atsparumui. Jeigu pasaulio ekonomika būtų suskaidyta ir įvestos prekybos kliūtys, mažėtų augimas ir dar labiau didėtų infliacija. Didesnė, negu tikėtasi, infliacija paskatintų vykdyti griežtesnę pinigų politiką ir gali lemti staigius kainų pokyčius finansų rinkose.</w:t>
      </w:r>
    </w:p>
    <w:p w:rsidRPr="00B04463" w:rsidR="00403E6E" w:rsidP="00403E6E" w:rsidRDefault="00403E6E" w14:paraId="770E6CB0" w14:textId="77777777"/>
    <w:p w:rsidRPr="00316606" w:rsidR="00403E6E" w:rsidP="00403E6E" w:rsidRDefault="00403E6E" w14:paraId="7F6CA4FA" w14:textId="77777777">
      <w:pPr>
        <w:pStyle w:val="Heading2"/>
      </w:pPr>
      <w:r>
        <w:t>Regioniniai ekonominiai skirtumai kelia grėsmę socialinei sanglaudai, nes:</w:t>
      </w:r>
    </w:p>
    <w:p w:rsidRPr="00316606" w:rsidR="00403E6E" w:rsidP="00403E6E" w:rsidRDefault="00403E6E" w14:paraId="06021391" w14:textId="77777777">
      <w:pPr>
        <w:numPr>
          <w:ilvl w:val="0"/>
          <w:numId w:val="13"/>
        </w:numPr>
        <w:tabs>
          <w:tab w:val="clear" w:pos="720"/>
        </w:tabs>
        <w:ind w:left="1134" w:hanging="567"/>
      </w:pPr>
      <w:r>
        <w:t>skiriasi regionų ekonominės galimybės;</w:t>
      </w:r>
    </w:p>
    <w:p w:rsidRPr="00316606" w:rsidR="00403E6E" w:rsidP="00403E6E" w:rsidRDefault="00403E6E" w14:paraId="18B56830" w14:textId="77777777">
      <w:pPr>
        <w:numPr>
          <w:ilvl w:val="0"/>
          <w:numId w:val="13"/>
        </w:numPr>
        <w:tabs>
          <w:tab w:val="clear" w:pos="720"/>
        </w:tabs>
        <w:ind w:left="1134" w:hanging="567"/>
      </w:pPr>
      <w:r>
        <w:t>sparčiai kintančioje darbo rinkoje neatitinka įgūdžių pasiūla ir paklausa;</w:t>
      </w:r>
    </w:p>
    <w:p w:rsidRPr="00316606" w:rsidR="00403E6E" w:rsidP="00403E6E" w:rsidRDefault="00403E6E" w14:paraId="026AA9FF" w14:textId="77777777">
      <w:pPr>
        <w:numPr>
          <w:ilvl w:val="0"/>
          <w:numId w:val="13"/>
        </w:numPr>
        <w:tabs>
          <w:tab w:val="clear" w:pos="720"/>
        </w:tabs>
        <w:ind w:left="1134" w:hanging="567"/>
      </w:pPr>
      <w:r>
        <w:t>dvejopa žalioji ir skaitmeninė pertvarka daro poveikį pasiskirstymui;</w:t>
      </w:r>
    </w:p>
    <w:p w:rsidRPr="00316606" w:rsidR="00403E6E" w:rsidP="00403E6E" w:rsidRDefault="00403E6E" w14:paraId="510843B9" w14:textId="77777777">
      <w:pPr>
        <w:numPr>
          <w:ilvl w:val="0"/>
          <w:numId w:val="13"/>
        </w:numPr>
        <w:tabs>
          <w:tab w:val="clear" w:pos="720"/>
        </w:tabs>
        <w:ind w:left="1134" w:hanging="567"/>
      </w:pPr>
      <w:r>
        <w:t>vyksta demografiniai pokyčiai, kurie apsunkina gerovės sistemas.</w:t>
      </w:r>
    </w:p>
    <w:p w:rsidRPr="00B04463" w:rsidR="00403E6E" w:rsidP="00403E6E" w:rsidRDefault="00403E6E" w14:paraId="451AF0DE" w14:textId="77777777">
      <w:pPr>
        <w:pStyle w:val="Heading2"/>
        <w:numPr>
          <w:ilvl w:val="0"/>
          <w:numId w:val="0"/>
        </w:numPr>
      </w:pPr>
    </w:p>
    <w:p w:rsidRPr="00316606" w:rsidR="00403E6E" w:rsidP="00403E6E" w:rsidRDefault="00403E6E" w14:paraId="35974B44" w14:textId="77777777">
      <w:pPr>
        <w:keepNext/>
        <w:keepLines/>
      </w:pPr>
      <w:r>
        <w:rPr>
          <w:b/>
          <w:i/>
        </w:rPr>
        <w:lastRenderedPageBreak/>
        <w:t>Reagavimo į krizes priemonių vertinimas</w:t>
      </w:r>
    </w:p>
    <w:p w:rsidRPr="00316606" w:rsidR="00403E6E" w:rsidP="00403E6E" w:rsidRDefault="00403E6E" w14:paraId="082F48A6" w14:textId="77777777">
      <w:pPr>
        <w:keepNext/>
        <w:keepLines/>
        <w:rPr>
          <w:lang w:val="en-GB"/>
        </w:rPr>
      </w:pPr>
    </w:p>
    <w:p w:rsidRPr="00316606" w:rsidR="00403E6E" w:rsidP="00403E6E" w:rsidRDefault="00403E6E" w14:paraId="1902ACB9" w14:textId="77777777">
      <w:pPr>
        <w:pStyle w:val="Heading2"/>
      </w:pPr>
      <w:r>
        <w:t>Valstybės narės, siekdamos įveikti energetikos ir infliacijos krizę, pritaikė įvairius metodus, kurie buvo nevienodai sėkmingi. Pavyzdžiui, Vokietijos energetikos politikos atsako tyrimai rodo, kad kainų stabilizavimo politika labai prisidėjo prie infliacijos mažinimo</w:t>
      </w:r>
      <w:r w:rsidRPr="00316606">
        <w:rPr>
          <w:rStyle w:val="FootnoteReference"/>
          <w:lang w:val="en-GB"/>
        </w:rPr>
        <w:footnoteReference w:id="7"/>
      </w:r>
      <w:r>
        <w:t>. Palyginus skirtingus nacionalinius metodus, galima daryti išvadą, kad tikslinis ir laikinas kainų lubų nustatymas gali – artimiausioje perspektyvoje – būti veiksmingesnis nei vien tik kompensacinės priemonės, o geresnių rezultatų duoda ankstyvas įsikišimas. Tačiau bet kokios kainų lubos iškraipys sprendimus rinkos ekonomikoje ir turės neigiamų pasekmių.</w:t>
      </w:r>
    </w:p>
    <w:p w:rsidRPr="00B04463" w:rsidR="00403E6E" w:rsidP="00403E6E" w:rsidRDefault="00403E6E" w14:paraId="16A8F353" w14:textId="77777777"/>
    <w:p w:rsidRPr="00316606" w:rsidR="00403E6E" w:rsidP="00403E6E" w:rsidRDefault="00403E6E" w14:paraId="6A8B80E1" w14:textId="77777777">
      <w:pPr>
        <w:pStyle w:val="Heading2"/>
      </w:pPr>
      <w:r>
        <w:t>Nors koordinuotas ES masto atsakas į sukrėtimą energetikos sektoriuje leido išvengti sunkiausių padarinių (nepaisant to, kad įgyvendinimo terminai lėmė skirtingą priemonių efektyvumą), šiuo metu ES trūksta tinkamų valdymo struktūrų, skirtų „infliaciniam šokui“ mažinti, o dėl to atsiranda atotrūkis tarp sektorių kainų politikos ir pinigų politikos.</w:t>
      </w:r>
    </w:p>
    <w:p w:rsidRPr="00B04463" w:rsidR="00403E6E" w:rsidP="00403E6E" w:rsidRDefault="00403E6E" w14:paraId="04DC2DC1" w14:textId="77777777"/>
    <w:p w:rsidRPr="00316606" w:rsidR="00403E6E" w:rsidP="00403E6E" w:rsidRDefault="00403E6E" w14:paraId="0DD3FBD0" w14:textId="77777777">
      <w:pPr>
        <w:pStyle w:val="Heading2"/>
      </w:pPr>
      <w:r>
        <w:t>Nors makroekonominiai rodikliai rodo, kad krizė traukiasi, ji tebedaro poveikį namų ūkių turtui, santaupoms, disponuojamosioms pajamoms, taip pat asimetriškai veikia amžiaus grupes ir lemia regioninius skirtumus. Vis dėlto svarbiausia – užtikrinti tvarų fiskalinės politikos plėtojimą.</w:t>
      </w:r>
    </w:p>
    <w:p w:rsidRPr="00316606" w:rsidR="00403E6E" w:rsidP="00403E6E" w:rsidRDefault="00403E6E" w14:paraId="187024F8" w14:textId="77777777">
      <w:pPr>
        <w:rPr>
          <w:lang w:val="en-GB"/>
        </w:rPr>
      </w:pPr>
    </w:p>
    <w:p w:rsidRPr="00316606" w:rsidR="00403E6E" w:rsidP="00403E6E" w:rsidRDefault="00403E6E" w14:paraId="2146FFBC" w14:textId="77777777">
      <w:pPr>
        <w:pStyle w:val="Heading2"/>
      </w:pPr>
      <w:r>
        <w:t>Pradėjus mažinti palūkanų normas ES lygmeniu (tendencijos valstybėse narėse nėra vienodos), kyla naujų iššūkių. Nors pinigų politika ir toliau turi būti orientuota į kainų stabilumą, kaip pavedė ECB, vykdant fiskalinę politiką reikia ieškoti sudėtingų kompromisų tarp paramos pažeidžiamoms grupėms ir skolos tvarumo išlaikymo. Šiose politikos srityse vienu metu reikia siekti kelių tikslų: viešųjų gėrybių paskirstymo, perskirstymo siekiant didesnio teisingumo ir ekonomikos stabilizavimo.</w:t>
      </w:r>
    </w:p>
    <w:p w:rsidRPr="00B04463" w:rsidR="00403E6E" w:rsidP="00403E6E" w:rsidRDefault="00403E6E" w14:paraId="3BCD8745" w14:textId="77777777"/>
    <w:p w:rsidRPr="00316606" w:rsidR="00403E6E" w:rsidP="00403E6E" w:rsidRDefault="00403E6E" w14:paraId="56CB2FD7" w14:textId="77777777">
      <w:pPr>
        <w:pStyle w:val="Heading1"/>
        <w:keepNext/>
        <w:rPr>
          <w:b/>
          <w:bCs/>
        </w:rPr>
      </w:pPr>
      <w:r>
        <w:rPr>
          <w:b/>
        </w:rPr>
        <w:t>Bendrosios pastabos ir rekomendacijos</w:t>
      </w:r>
    </w:p>
    <w:p w:rsidRPr="00316606" w:rsidR="00403E6E" w:rsidP="00403E6E" w:rsidRDefault="00403E6E" w14:paraId="4BF739C6" w14:textId="77777777">
      <w:pPr>
        <w:keepNext/>
        <w:rPr>
          <w:lang w:val="en-GB"/>
        </w:rPr>
      </w:pPr>
    </w:p>
    <w:p w:rsidRPr="00316606" w:rsidR="00403E6E" w:rsidP="00403E6E" w:rsidRDefault="00403E6E" w14:paraId="667045A2" w14:textId="77777777">
      <w:pPr>
        <w:pStyle w:val="Heading2"/>
      </w:pPr>
      <w:r>
        <w:t>Pagrindinės rekomendacijos apima:</w:t>
      </w:r>
    </w:p>
    <w:p w:rsidRPr="00316606" w:rsidR="00403E6E" w:rsidP="00403E6E" w:rsidRDefault="00403E6E" w14:paraId="7C2C367C" w14:textId="09ACC367">
      <w:pPr>
        <w:pStyle w:val="ListParagraph"/>
        <w:numPr>
          <w:ilvl w:val="0"/>
          <w:numId w:val="20"/>
        </w:numPr>
        <w:ind w:left="1134" w:hanging="567"/>
      </w:pPr>
      <w:r>
        <w:t>geresnį politikos koordinavimą, kuriam reikia: i) struktūruoto biudžeto ir pinigų politikos institucijų dialogo tiek ES, tiek nacionaliniu lygmenimis; ii) aiškesn</w:t>
      </w:r>
      <w:r w:rsidR="00B04463">
        <w:t>i</w:t>
      </w:r>
      <w:r>
        <w:t>ų gairių dėl reagavimo į asimetrinius sukrėtimus; iii) nuolatinio ES lygmens mechanizmo, skirto koordinuoti atsaką į dideles ekonomikos krizes;</w:t>
      </w:r>
    </w:p>
    <w:p w:rsidRPr="00316606" w:rsidR="00403E6E" w:rsidP="00403E6E" w:rsidRDefault="00403E6E" w14:paraId="47331CB2" w14:textId="55B99E22">
      <w:pPr>
        <w:pStyle w:val="ListParagraph"/>
        <w:numPr>
          <w:ilvl w:val="0"/>
          <w:numId w:val="20"/>
        </w:numPr>
        <w:ind w:left="1134" w:hanging="567"/>
      </w:pPr>
      <w:r>
        <w:t>ekonominio ir fiskalinio valdymo požiūrį, įskaitant: i) veiksmingą naujos ekonominio valdymo sistemos įgyvendinimą, derinant investicijų poreikius ir skolos tvarumą; ii)</w:t>
      </w:r>
      <w:r w:rsidR="00F7447E">
        <w:t> </w:t>
      </w:r>
      <w:r>
        <w:t>kompleksiškesnę konkrečios šalies fiskalinės erdvės ir skolos tvarumo analizę; iii)</w:t>
      </w:r>
      <w:r w:rsidR="00F7447E">
        <w:t> </w:t>
      </w:r>
      <w:r>
        <w:t>specialų ES fiskalinį pajėgumą, skirtą asimetriniams sukrėtimams įveikti.</w:t>
      </w:r>
    </w:p>
    <w:p w:rsidRPr="00B04463" w:rsidR="00403E6E" w:rsidP="00403E6E" w:rsidRDefault="00403E6E" w14:paraId="0EE0B701" w14:textId="77777777"/>
    <w:p w:rsidRPr="00316606" w:rsidR="00403E6E" w:rsidP="00403E6E" w:rsidRDefault="00403E6E" w14:paraId="5DD948C6" w14:textId="77777777">
      <w:pPr>
        <w:pStyle w:val="Heading2"/>
      </w:pPr>
      <w:r>
        <w:t>Siekiant gerų rezultatų, reikia vienu metu dirbti dėl įvairių aspektų, be kita ko:</w:t>
      </w:r>
    </w:p>
    <w:p w:rsidRPr="00316606" w:rsidR="00403E6E" w:rsidP="00403E6E" w:rsidRDefault="00403E6E" w14:paraId="73C9C299" w14:textId="77777777">
      <w:pPr>
        <w:numPr>
          <w:ilvl w:val="0"/>
          <w:numId w:val="10"/>
        </w:numPr>
        <w:tabs>
          <w:tab w:val="clear" w:pos="720"/>
        </w:tabs>
        <w:ind w:left="1134" w:hanging="567"/>
      </w:pPr>
      <w:r>
        <w:t>užbaigti kurti pagrindinius ekonominės integracijos ramsčius, visų pirma stiprinti bendrąją rinką, kartu tobulinant kapitalo rinkų sąjungą;</w:t>
      </w:r>
    </w:p>
    <w:p w:rsidRPr="00316606" w:rsidR="00403E6E" w:rsidP="00403E6E" w:rsidRDefault="00403E6E" w14:paraId="1E3B4C4A" w14:textId="77777777">
      <w:pPr>
        <w:numPr>
          <w:ilvl w:val="0"/>
          <w:numId w:val="10"/>
        </w:numPr>
        <w:tabs>
          <w:tab w:val="clear" w:pos="720"/>
        </w:tabs>
        <w:ind w:left="1134" w:hanging="567"/>
      </w:pPr>
      <w:r>
        <w:t>didinti strateginį savarankiškumą ypatingos svarbos sektoriuose, kartu išlaikant naudingą tarptautinę tarpusavio priklausomybę;</w:t>
      </w:r>
    </w:p>
    <w:p w:rsidRPr="00316606" w:rsidR="00403E6E" w:rsidP="00403E6E" w:rsidRDefault="00403E6E" w14:paraId="63EA6B27" w14:textId="77777777">
      <w:pPr>
        <w:numPr>
          <w:ilvl w:val="0"/>
          <w:numId w:val="10"/>
        </w:numPr>
        <w:tabs>
          <w:tab w:val="clear" w:pos="720"/>
        </w:tabs>
        <w:ind w:left="1134" w:hanging="567"/>
      </w:pPr>
      <w:r>
        <w:t>stiprinti socialinį atsparumą modernizuojant apsaugos priemones ir švietimo sistemas;</w:t>
      </w:r>
    </w:p>
    <w:p w:rsidRPr="00316606" w:rsidR="00403E6E" w:rsidP="00403E6E" w:rsidRDefault="00403E6E" w14:paraId="331DA0D1" w14:textId="77777777">
      <w:pPr>
        <w:numPr>
          <w:ilvl w:val="0"/>
          <w:numId w:val="10"/>
        </w:numPr>
        <w:tabs>
          <w:tab w:val="clear" w:pos="720"/>
        </w:tabs>
        <w:ind w:left="1134" w:hanging="567"/>
      </w:pPr>
      <w:r>
        <w:lastRenderedPageBreak/>
        <w:t>spartinti žaliąją ir skaitmeninę pertvarką taip, kad būtų didinamas, o ne mažinamas konkurencingumas.</w:t>
      </w:r>
    </w:p>
    <w:p w:rsidRPr="00B04463" w:rsidR="00403E6E" w:rsidP="00403E6E" w:rsidRDefault="00403E6E" w14:paraId="12AF501D" w14:textId="77777777"/>
    <w:p w:rsidRPr="00316606" w:rsidR="00403E6E" w:rsidP="00403E6E" w:rsidRDefault="00403E6E" w14:paraId="6AA1285F" w14:textId="77777777">
      <w:pPr>
        <w:pStyle w:val="Heading2"/>
      </w:pPr>
      <w:r>
        <w:t>ES privalo skubiai spręsti savo konkurencingumo klausimus, kartu išsaugodama savo išskirtinį socialinės rinkos ekonomikos modelį. Šiuo tikslu reikia kruopščiai subalansuoti:</w:t>
      </w:r>
    </w:p>
    <w:p w:rsidRPr="00316606" w:rsidR="00403E6E" w:rsidP="00403E6E" w:rsidRDefault="00403E6E" w14:paraId="4396BB6C" w14:textId="77777777">
      <w:pPr>
        <w:numPr>
          <w:ilvl w:val="0"/>
          <w:numId w:val="9"/>
        </w:numPr>
        <w:tabs>
          <w:tab w:val="clear" w:pos="720"/>
        </w:tabs>
        <w:ind w:left="1134" w:hanging="567"/>
      </w:pPr>
      <w:r>
        <w:t>reguliavimo reformų spartinimą ir administracinės naštos mažinimą, kad būtų pagerinta verslo aplinka;</w:t>
      </w:r>
    </w:p>
    <w:p w:rsidRPr="00316606" w:rsidR="00403E6E" w:rsidP="00403E6E" w:rsidRDefault="00403E6E" w14:paraId="08A10231" w14:textId="77777777">
      <w:pPr>
        <w:numPr>
          <w:ilvl w:val="0"/>
          <w:numId w:val="9"/>
        </w:numPr>
        <w:tabs>
          <w:tab w:val="clear" w:pos="720"/>
        </w:tabs>
        <w:ind w:left="1134" w:hanging="567"/>
      </w:pPr>
      <w:r>
        <w:t>esminių aplinkos ir socialinių standartų, kuriais grindžiamas ilgalaikis atsparumas, išlaikymą;</w:t>
      </w:r>
    </w:p>
    <w:p w:rsidRPr="00316606" w:rsidR="00403E6E" w:rsidP="00403E6E" w:rsidRDefault="00403E6E" w14:paraId="23DDD11E" w14:textId="77777777">
      <w:pPr>
        <w:numPr>
          <w:ilvl w:val="0"/>
          <w:numId w:val="9"/>
        </w:numPr>
        <w:tabs>
          <w:tab w:val="clear" w:pos="720"/>
        </w:tabs>
        <w:ind w:left="1134" w:hanging="567"/>
      </w:pPr>
      <w:r>
        <w:t>strategines investicijas į pagrindinius į ateitį orientuotus sektorius, išvengiant išteklių švaistymą lemiančių „subsidijų lenktynių“.</w:t>
      </w:r>
    </w:p>
    <w:p w:rsidRPr="00B04463" w:rsidR="00403E6E" w:rsidP="00403E6E" w:rsidRDefault="00403E6E" w14:paraId="0FAC3209" w14:textId="77777777"/>
    <w:p w:rsidRPr="00316606" w:rsidR="00403E6E" w:rsidP="00403E6E" w:rsidRDefault="00403E6E" w14:paraId="5C083758" w14:textId="77777777">
      <w:pPr>
        <w:pStyle w:val="Heading2"/>
      </w:pPr>
      <w:r>
        <w:t>Pažangus reguliavimas – svarbiausias prioritetas. ES turi pereiti prie puolamosios konkurencingumo strategijos. Užuot lenktyniavę subsidijomis ar mažinę esminius standartus, turėtume:</w:t>
      </w:r>
    </w:p>
    <w:p w:rsidRPr="00316606" w:rsidR="00403E6E" w:rsidP="00403E6E" w:rsidRDefault="00403E6E" w14:paraId="42400E06" w14:textId="77777777">
      <w:pPr>
        <w:pStyle w:val="ListParagraph"/>
        <w:numPr>
          <w:ilvl w:val="1"/>
          <w:numId w:val="14"/>
        </w:numPr>
        <w:ind w:left="1134" w:hanging="567"/>
      </w:pPr>
      <w:r>
        <w:t>sumažinti reglamentavimo sudėtingumą, kartu išlaikant aukštus standartus, šiuo tikslu supaprastinant patvirtinimo procesus (ypač strateginių investicijų atžvilgiu), suderinant įgyvendinimą ir kuriant apribotą bandomąją reglamentavimo aplinką inovatyviam verslui;</w:t>
      </w:r>
    </w:p>
    <w:p w:rsidRPr="00316606" w:rsidR="00403E6E" w:rsidP="00403E6E" w:rsidRDefault="00403E6E" w14:paraId="2E66DAF7" w14:textId="77777777">
      <w:pPr>
        <w:pStyle w:val="ListParagraph"/>
        <w:numPr>
          <w:ilvl w:val="1"/>
          <w:numId w:val="14"/>
        </w:numPr>
        <w:ind w:left="1134" w:hanging="567"/>
      </w:pPr>
      <w:r>
        <w:t>toliau stiprinti bendrąją rinką šalinant kliūtis paslaugų teikimui, integruojant energijos rinkas, kad būtų sumažintas konkurencinis trūkumas dėl sąnaudų, sukuriant tikrą bendrąją skaitmeninę rinką ir paspartinant kapitalo rinkų sąjungos sukūrimą;</w:t>
      </w:r>
    </w:p>
    <w:p w:rsidRPr="00316606" w:rsidR="00403E6E" w:rsidP="00403E6E" w:rsidRDefault="00403E6E" w14:paraId="3AEB06F4" w14:textId="77777777">
      <w:pPr>
        <w:pStyle w:val="ListParagraph"/>
        <w:numPr>
          <w:ilvl w:val="1"/>
          <w:numId w:val="14"/>
        </w:numPr>
        <w:ind w:left="1134" w:hanging="567"/>
      </w:pPr>
      <w:r>
        <w:t>išnaudoti Europos pranašumus remiantis aukštos kokybės žmogiškuoju kapitalu (ypač STEM srityse) ir mokslinių tyrimų institucijomis, tvirta teisine valstybe, stabiliomis institucijomis ir tvaria lyderyste.</w:t>
      </w:r>
    </w:p>
    <w:p w:rsidRPr="00B04463" w:rsidR="00403E6E" w:rsidP="00403E6E" w:rsidRDefault="00403E6E" w14:paraId="65769495" w14:textId="77777777"/>
    <w:p w:rsidRPr="00316606" w:rsidR="00403E6E" w:rsidP="00403E6E" w:rsidRDefault="00403E6E" w14:paraId="112EFF15" w14:textId="77777777">
      <w:pPr>
        <w:pStyle w:val="Heading2"/>
      </w:pPr>
      <w:r>
        <w:t>Rinkos nepakankamumo atvejais turėtų būti taikomi konkurencijos teisės principai, siekiant užkirsti kelią atskirų rinkos dalyvių ar jų grupių veiklai, kai jie nepagrįstai naudojasi pasiūlos ir paklausos disbalansu (ir, jei reikia, nubausti). Laisva konkurencija turėtų vartotojams užtikrinti geresnius sandorius. Priemonės turėtų būti skirtos pažeidžiamiausiems asmenims ir taikomos ne ilgiau nei būtina, kad būtų atkurta normalų rinkų veikimą atspindinti pasiūlos ir paklausos pusiausvyra.</w:t>
      </w:r>
    </w:p>
    <w:p w:rsidRPr="00B04463" w:rsidR="00403E6E" w:rsidP="00403E6E" w:rsidRDefault="00403E6E" w14:paraId="52FC9222" w14:textId="77777777">
      <w:pPr>
        <w:pStyle w:val="Heading2"/>
        <w:numPr>
          <w:ilvl w:val="0"/>
          <w:numId w:val="0"/>
        </w:numPr>
        <w:ind w:left="567"/>
      </w:pPr>
    </w:p>
    <w:p w:rsidRPr="00316606" w:rsidR="00403E6E" w:rsidP="00403E6E" w:rsidRDefault="00403E6E" w14:paraId="3E7F0376" w14:textId="77777777">
      <w:pPr>
        <w:pStyle w:val="Heading2"/>
      </w:pPr>
      <w:r>
        <w:t>Siekiant strateginių investicijų ir inovacijų, reikia:</w:t>
      </w:r>
    </w:p>
    <w:p w:rsidRPr="00316606" w:rsidR="00403E6E" w:rsidP="00403E6E" w:rsidRDefault="00403E6E" w14:paraId="29B488EE" w14:textId="77777777">
      <w:pPr>
        <w:pStyle w:val="ListParagraph"/>
        <w:numPr>
          <w:ilvl w:val="1"/>
          <w:numId w:val="15"/>
        </w:numPr>
        <w:ind w:left="1134" w:hanging="567"/>
      </w:pPr>
      <w:r>
        <w:t>didinti investicijų efektyvumą koordinuojant ES ir nacionalines priemones, pritraukiant privatųjį kapitalą ir supaprastinant strateginių projektų procedūras;</w:t>
      </w:r>
    </w:p>
    <w:p w:rsidRPr="00316606" w:rsidR="00403E6E" w:rsidP="00403E6E" w:rsidRDefault="00403E6E" w14:paraId="0DF5DBBF" w14:textId="77777777">
      <w:pPr>
        <w:pStyle w:val="ListParagraph"/>
        <w:numPr>
          <w:ilvl w:val="1"/>
          <w:numId w:val="15"/>
        </w:numPr>
        <w:ind w:left="1134" w:hanging="567"/>
      </w:pPr>
      <w:r>
        <w:t>sutelkti dėmesį į Europos viešąsias gėrybes, pavyzdžiui, tarpvalstybinę infrastruktūrą (ypač energetikos ir skaitmeninėje srityse), bendras mokslinių tyrimų ir inovacijų iniciatyvas ir strategines technologijas;</w:t>
      </w:r>
    </w:p>
    <w:p w:rsidRPr="00316606" w:rsidR="00403E6E" w:rsidP="00403E6E" w:rsidRDefault="00403E6E" w14:paraId="2BFBD43A" w14:textId="77777777">
      <w:pPr>
        <w:pStyle w:val="ListParagraph"/>
        <w:numPr>
          <w:ilvl w:val="1"/>
          <w:numId w:val="15"/>
        </w:numPr>
        <w:ind w:left="1134" w:hanging="567"/>
      </w:pPr>
      <w:r>
        <w:t>taikyti rinkos veikimą skatinančius modelius, įskaitant technologiškai neutralius paramos mechanizmus, konkurenciją saugančias bendradarbiavimo sistemas ir rinka grindžiamas paskatas.</w:t>
      </w:r>
    </w:p>
    <w:p w:rsidRPr="00B04463" w:rsidR="00403E6E" w:rsidP="00403E6E" w:rsidRDefault="00403E6E" w14:paraId="7709847E" w14:textId="77777777"/>
    <w:p w:rsidRPr="00316606" w:rsidR="00403E6E" w:rsidP="00403E6E" w:rsidRDefault="00403E6E" w14:paraId="432CC44B" w14:textId="77777777">
      <w:pPr>
        <w:pStyle w:val="Heading2"/>
      </w:pPr>
      <w:r>
        <w:t>Socialiniam atsparumui ir įtraukčiai užtikrinti būtinos modernios sistemos. Šiuo tikslu turime:</w:t>
      </w:r>
    </w:p>
    <w:p w:rsidRPr="00316606" w:rsidR="00403E6E" w:rsidP="00403E6E" w:rsidRDefault="00403E6E" w14:paraId="27734817" w14:textId="77777777">
      <w:pPr>
        <w:pStyle w:val="ListParagraph"/>
        <w:numPr>
          <w:ilvl w:val="1"/>
          <w:numId w:val="16"/>
        </w:numPr>
        <w:ind w:left="1134" w:hanging="567"/>
      </w:pPr>
      <w:r>
        <w:t>užtikrinti įgalėjimą, didinant investicijas į švietimą ir įgūdžius, remiant statuso keitimus darbo rinkoje, modernizuojant socialinės apsaugos sistemas ir teikiant veiksmingesnes viešąsias paslaugas;</w:t>
      </w:r>
    </w:p>
    <w:p w:rsidRPr="00316606" w:rsidR="00403E6E" w:rsidP="00403E6E" w:rsidRDefault="00403E6E" w14:paraId="0CA161D7" w14:textId="77777777">
      <w:pPr>
        <w:pStyle w:val="ListParagraph"/>
        <w:numPr>
          <w:ilvl w:val="1"/>
          <w:numId w:val="16"/>
        </w:numPr>
        <w:ind w:left="1134" w:hanging="567"/>
      </w:pPr>
      <w:r>
        <w:lastRenderedPageBreak/>
        <w:t>spręsti paskirstymo problemas: teikti tikslinę paramą pažeidžiamoms grupėms, taikyti teisingos pertvarkos mechanizmus ir regioninės plėtros iniciatyvas;</w:t>
      </w:r>
    </w:p>
    <w:p w:rsidRPr="00316606" w:rsidR="00403E6E" w:rsidP="00403E6E" w:rsidRDefault="00403E6E" w14:paraId="26333386" w14:textId="77777777">
      <w:pPr>
        <w:pStyle w:val="ListParagraph"/>
        <w:numPr>
          <w:ilvl w:val="1"/>
          <w:numId w:val="16"/>
        </w:numPr>
        <w:ind w:left="1134" w:hanging="567"/>
      </w:pPr>
      <w:r>
        <w:t>užtikrinti investicijas į žmogiškąjį kapitalą, akcentuojant skaitmeninius įgūdžius bei dirbtinio intelekto integraciją ir šalinant regioninius produktyvumo ir darbo užmokesčio skirtumus;</w:t>
      </w:r>
    </w:p>
    <w:p w:rsidRPr="00316606" w:rsidR="00403E6E" w:rsidP="00403E6E" w:rsidRDefault="00403E6E" w14:paraId="154C5AEC" w14:textId="77777777">
      <w:pPr>
        <w:pStyle w:val="ListParagraph"/>
        <w:numPr>
          <w:ilvl w:val="1"/>
          <w:numId w:val="16"/>
        </w:numPr>
        <w:ind w:left="1134" w:hanging="567"/>
      </w:pPr>
      <w:r>
        <w:t>teikti paramą asmenims keičiant statusą darbo rinkoje, be kita ko, sprendžiant didelio jaunimo nedarbo problemą, ypač įgyvendinant aktyvią darbo rinkos politiką;</w:t>
      </w:r>
    </w:p>
    <w:p w:rsidRPr="00316606" w:rsidR="00403E6E" w:rsidP="00403E6E" w:rsidRDefault="00403E6E" w14:paraId="2D48CEE7" w14:textId="77777777">
      <w:pPr>
        <w:pStyle w:val="ListParagraph"/>
        <w:numPr>
          <w:ilvl w:val="1"/>
          <w:numId w:val="16"/>
        </w:numPr>
        <w:ind w:left="1134" w:hanging="567"/>
      </w:pPr>
      <w:r>
        <w:t>pripažinti būsto įperkamumo problemas ir jų poveikį finansiniam atsparumui nuo būsimų ekonominių sukrėtimų.</w:t>
      </w:r>
    </w:p>
    <w:p w:rsidRPr="00B04463" w:rsidR="00403E6E" w:rsidP="00403E6E" w:rsidRDefault="00403E6E" w14:paraId="5D362C1D" w14:textId="77777777"/>
    <w:p w:rsidRPr="00316606" w:rsidR="00403E6E" w:rsidP="00403E6E" w:rsidRDefault="00403E6E" w14:paraId="02473738" w14:textId="77777777">
      <w:pPr>
        <w:pStyle w:val="Heading2"/>
      </w:pPr>
      <w:r>
        <w:t>Įgyvendinimo etape, kuris turi būti pakankamai drąsus, kad atitiktų laikmečio reikalavimus, turi būti atsižvelgiama į fiskalinius ir politinius suvaržymus. Todėl būtina:</w:t>
      </w:r>
    </w:p>
    <w:p w:rsidRPr="00316606" w:rsidR="00403E6E" w:rsidP="00403E6E" w:rsidRDefault="00403E6E" w14:paraId="011E1B4A" w14:textId="77777777">
      <w:pPr>
        <w:pStyle w:val="ListParagraph"/>
        <w:numPr>
          <w:ilvl w:val="0"/>
          <w:numId w:val="21"/>
        </w:numPr>
        <w:ind w:left="1134" w:hanging="567"/>
      </w:pPr>
      <w:r>
        <w:t>teikti pirmenybę didelio poveikio reformoms, kurioms nereikia didelio naujo finansavimo, ir kartu užtikrinti, kad būtų apsvarstyti visi galimai veiksmingi sprendimai;</w:t>
      </w:r>
    </w:p>
    <w:p w:rsidRPr="00316606" w:rsidR="00403E6E" w:rsidP="00403E6E" w:rsidRDefault="00403E6E" w14:paraId="7B09A559" w14:textId="77777777">
      <w:pPr>
        <w:pStyle w:val="ListParagraph"/>
        <w:numPr>
          <w:ilvl w:val="0"/>
          <w:numId w:val="21"/>
        </w:numPr>
        <w:ind w:left="1134" w:hanging="567"/>
      </w:pPr>
      <w:r>
        <w:t>veiksmingiau naudoti esamas priemones prieš kuriant naujas priemones;</w:t>
      </w:r>
    </w:p>
    <w:p w:rsidRPr="00316606" w:rsidR="00403E6E" w:rsidP="00403E6E" w:rsidRDefault="00403E6E" w14:paraId="3C193266" w14:textId="77777777">
      <w:pPr>
        <w:pStyle w:val="ListParagraph"/>
        <w:numPr>
          <w:ilvl w:val="0"/>
          <w:numId w:val="21"/>
        </w:numPr>
        <w:ind w:left="1134" w:hanging="567"/>
      </w:pPr>
      <w:r>
        <w:t>sutelkti dėmesį į Europos viešąsias gėrybes, turinčias aiškią pridėtinę vertę, pavyzdžiui, elektros energijos tinklą ar strateginius gynybos pajėgumus;</w:t>
      </w:r>
    </w:p>
    <w:p w:rsidRPr="00316606" w:rsidR="00403E6E" w:rsidP="00403E6E" w:rsidRDefault="00403E6E" w14:paraId="2DAF4F71" w14:textId="77777777">
      <w:pPr>
        <w:pStyle w:val="ListParagraph"/>
        <w:numPr>
          <w:ilvl w:val="0"/>
          <w:numId w:val="21"/>
        </w:numPr>
        <w:ind w:left="1134" w:hanging="567"/>
      </w:pPr>
      <w:r>
        <w:t>užtikrinti, kad bet kokiomis naujomis iniciatyvomis bendroji rinka būtų stiprinama, o ne skaidoma;</w:t>
      </w:r>
    </w:p>
    <w:p w:rsidRPr="00316606" w:rsidR="00403E6E" w:rsidP="00403E6E" w:rsidRDefault="00403E6E" w14:paraId="39877A78" w14:textId="77777777">
      <w:pPr>
        <w:pStyle w:val="ListParagraph"/>
        <w:numPr>
          <w:ilvl w:val="0"/>
          <w:numId w:val="21"/>
        </w:numPr>
        <w:ind w:left="1134" w:hanging="567"/>
      </w:pPr>
      <w:r>
        <w:t>pripažinti, kad išlaidos gynybai yra būtinos, tačiau suvokti, kad jos neturėtų išstumti investicijų į žmogiškąjį kapitalą, demokratijos gynimą ir socialinę sanglaudą, nes tai turi esminės svarbos ilgalaikiam Europos atsparumui.</w:t>
      </w:r>
    </w:p>
    <w:p w:rsidRPr="00B04463" w:rsidR="00403E6E" w:rsidP="00403E6E" w:rsidRDefault="00403E6E" w14:paraId="1D720DF6" w14:textId="77777777"/>
    <w:p w:rsidRPr="00316606" w:rsidR="00403E6E" w:rsidP="00403E6E" w:rsidRDefault="00403E6E" w14:paraId="3B8E4AF8" w14:textId="77777777">
      <w:pPr>
        <w:pStyle w:val="Heading1"/>
        <w:keepNext/>
        <w:rPr>
          <w:b/>
          <w:bCs/>
        </w:rPr>
      </w:pPr>
      <w:r>
        <w:rPr>
          <w:b/>
        </w:rPr>
        <w:t>Konkrečios pastabos ir rekomendacijos</w:t>
      </w:r>
    </w:p>
    <w:p w:rsidRPr="00316606" w:rsidR="00403E6E" w:rsidP="00403E6E" w:rsidRDefault="00403E6E" w14:paraId="5CDED333" w14:textId="77777777">
      <w:pPr>
        <w:keepNext/>
        <w:rPr>
          <w:lang w:val="en-GB"/>
        </w:rPr>
      </w:pPr>
    </w:p>
    <w:p w:rsidRPr="00316606" w:rsidR="00403E6E" w:rsidP="00403E6E" w:rsidRDefault="00403E6E" w14:paraId="6B5933D3" w14:textId="77777777">
      <w:pPr>
        <w:pStyle w:val="Heading2"/>
      </w:pPr>
      <w:r>
        <w:t>Žengiant į priekį, reikia drąsos, pragmatiškumo ir įsipareigojimo. Nors iššūkiai yra dideli, jie taip pat suteikia galimybių stiprinti Europos konkurencingumą ir sanglaudą. Kad lydėtų sėkmė, reikės kruopštaus prioritetų nustatymo, veiksmingo įgyvendinimo ir nuoseklaus įsipareigojimo siekti tiek rinkos efektyvumo, tiek socialinės įtraukties.</w:t>
      </w:r>
    </w:p>
    <w:p w:rsidRPr="00B04463" w:rsidR="00403E6E" w:rsidP="00403E6E" w:rsidRDefault="00403E6E" w14:paraId="58261FDC" w14:textId="77777777"/>
    <w:p w:rsidRPr="00316606" w:rsidR="00403E6E" w:rsidP="00403E6E" w:rsidRDefault="00403E6E" w14:paraId="49A11EA7" w14:textId="77777777">
      <w:pPr>
        <w:pStyle w:val="Heading2"/>
      </w:pPr>
      <w:r>
        <w:t>Naujausi tyrimai</w:t>
      </w:r>
      <w:r w:rsidRPr="00316606">
        <w:rPr>
          <w:rStyle w:val="FootnoteReference"/>
          <w:lang w:val="en-GB"/>
        </w:rPr>
        <w:footnoteReference w:id="8"/>
      </w:r>
      <w:r>
        <w:t xml:space="preserve"> rodo, kad infliacijos poveikis įvairiose ES pajamų grupėse ir regionuose gerokai skiriasi. Dėl šio nevienodumo reikia labiau diferencijuoto ir tikslingesnio politinio atsako nei tradicinės plataus masto priemonės. Be to, nors makroekonominiai rodikliai leidžia manyti, kad padėtis gerėja, smarkus bendrųjų pragyvenimo išlaidų didėjimas ir išliekanti regioninė nelygybė rodo, kad vis dar susiduriama su sunkumais.</w:t>
      </w:r>
    </w:p>
    <w:p w:rsidRPr="00B04463" w:rsidR="00403E6E" w:rsidP="00403E6E" w:rsidRDefault="00403E6E" w14:paraId="4521BD71" w14:textId="77777777">
      <w:pPr>
        <w:pStyle w:val="Heading2"/>
        <w:numPr>
          <w:ilvl w:val="0"/>
          <w:numId w:val="0"/>
        </w:numPr>
        <w:ind w:left="567" w:hanging="567"/>
      </w:pPr>
    </w:p>
    <w:p w:rsidRPr="00316606" w:rsidR="00403E6E" w:rsidP="00403E6E" w:rsidRDefault="00403E6E" w14:paraId="3A6D6A8C" w14:textId="77777777">
      <w:pPr>
        <w:pStyle w:val="Heading2"/>
      </w:pPr>
      <w:r>
        <w:t>ES turėtų sukurti patobulintą duomenų rinkimo sistemą, kad politikos priemonėmis būtų galima tikslingiau reaguoti į kainų šokus. Tai padėtų panaikinti valdymo spragas tarp pinigų politikos ir sektorinių intervencinių priemonių, tikslingiau ir veiksmingiau reaguoti į tiekimo sukrėtimus, kartu užtikrinant, kad rinkos mechanizmai išliktų pagrindiniu kainų nustatymo metodu.</w:t>
      </w:r>
    </w:p>
    <w:p w:rsidRPr="00B04463" w:rsidR="00403E6E" w:rsidP="00403E6E" w:rsidRDefault="00403E6E" w14:paraId="129D562D" w14:textId="77777777">
      <w:pPr>
        <w:pStyle w:val="Heading2"/>
        <w:numPr>
          <w:ilvl w:val="0"/>
          <w:numId w:val="0"/>
        </w:numPr>
      </w:pPr>
    </w:p>
    <w:p w:rsidRPr="00316606" w:rsidR="00403E6E" w:rsidP="00403E6E" w:rsidRDefault="00403E6E" w14:paraId="38FFC39B" w14:textId="77777777">
      <w:pPr>
        <w:pStyle w:val="Heading2"/>
      </w:pPr>
      <w:r>
        <w:t>Sanglaudos politika turi būti plėtojama taip, kad būtų atsižvelgiama tiek į tradicinius regioninius skirtumus, tiek į naujus iššūkius, kylančius dėl žaliosios ir skaitmeninės pertvarkos. Tam reikia:</w:t>
      </w:r>
    </w:p>
    <w:p w:rsidRPr="00316606" w:rsidR="00403E6E" w:rsidP="00403E6E" w:rsidRDefault="00403E6E" w14:paraId="46FFE12F" w14:textId="77777777">
      <w:pPr>
        <w:pStyle w:val="ListParagraph"/>
        <w:numPr>
          <w:ilvl w:val="1"/>
          <w:numId w:val="17"/>
        </w:numPr>
        <w:ind w:left="1134" w:hanging="567"/>
      </w:pPr>
      <w:r>
        <w:lastRenderedPageBreak/>
        <w:t>sanglaudos priemonių reformos, be kita ko:</w:t>
      </w:r>
    </w:p>
    <w:p w:rsidRPr="00316606" w:rsidR="00403E6E" w:rsidP="00403E6E" w:rsidRDefault="00403E6E" w14:paraId="616E93AD" w14:textId="77777777">
      <w:pPr>
        <w:numPr>
          <w:ilvl w:val="0"/>
          <w:numId w:val="3"/>
        </w:numPr>
        <w:tabs>
          <w:tab w:val="clear" w:pos="720"/>
        </w:tabs>
        <w:ind w:left="1418" w:hanging="284"/>
      </w:pPr>
      <w:r>
        <w:t>didesnio lankstumo, kartu išlaikant ilgalaikį strateginį dėmesį;</w:t>
      </w:r>
    </w:p>
    <w:p w:rsidRPr="00316606" w:rsidR="00403E6E" w:rsidP="00403E6E" w:rsidRDefault="00403E6E" w14:paraId="6A243840" w14:textId="77777777">
      <w:pPr>
        <w:numPr>
          <w:ilvl w:val="0"/>
          <w:numId w:val="3"/>
        </w:numPr>
        <w:tabs>
          <w:tab w:val="clear" w:pos="720"/>
        </w:tabs>
        <w:ind w:left="1418" w:hanging="284"/>
      </w:pPr>
      <w:r>
        <w:t>geriau koordinuoti sanglaudos finansavimą ir kitas ES priemones, ypač EGADP;</w:t>
      </w:r>
    </w:p>
    <w:p w:rsidRPr="00316606" w:rsidR="00403E6E" w:rsidP="00403E6E" w:rsidRDefault="00403E6E" w14:paraId="0A8ED861" w14:textId="77777777">
      <w:pPr>
        <w:numPr>
          <w:ilvl w:val="0"/>
          <w:numId w:val="3"/>
        </w:numPr>
        <w:tabs>
          <w:tab w:val="clear" w:pos="720"/>
        </w:tabs>
        <w:ind w:left="1418" w:hanging="284"/>
      </w:pPr>
      <w:r>
        <w:t>daugiau dėmesio skirti gebėjimų stiprinimui mažiau išsivysčiusiuose regionuose;</w:t>
      </w:r>
    </w:p>
    <w:p w:rsidRPr="00316606" w:rsidR="00403E6E" w:rsidP="00403E6E" w:rsidRDefault="00403E6E" w14:paraId="250FAEA6" w14:textId="77777777">
      <w:pPr>
        <w:pStyle w:val="ListParagraph"/>
        <w:numPr>
          <w:ilvl w:val="1"/>
          <w:numId w:val="17"/>
        </w:numPr>
        <w:ind w:left="1134" w:hanging="567"/>
      </w:pPr>
      <w:r>
        <w:t>naujo požiūrio į teritorinę plėtrą, kaip antai:</w:t>
      </w:r>
    </w:p>
    <w:p w:rsidRPr="00316606" w:rsidR="00403E6E" w:rsidP="00403E6E" w:rsidRDefault="00403E6E" w14:paraId="65ABCCA0" w14:textId="77777777">
      <w:pPr>
        <w:numPr>
          <w:ilvl w:val="0"/>
          <w:numId w:val="4"/>
        </w:numPr>
        <w:tabs>
          <w:tab w:val="clear" w:pos="720"/>
        </w:tabs>
        <w:ind w:left="1418" w:hanging="284"/>
      </w:pPr>
      <w:r>
        <w:t>remti regionines inovacijų ekosistemas;</w:t>
      </w:r>
    </w:p>
    <w:p w:rsidRPr="00316606" w:rsidR="00403E6E" w:rsidP="00403E6E" w:rsidRDefault="00403E6E" w14:paraId="0AD60A6B" w14:textId="77777777">
      <w:pPr>
        <w:numPr>
          <w:ilvl w:val="0"/>
          <w:numId w:val="4"/>
        </w:numPr>
        <w:tabs>
          <w:tab w:val="clear" w:pos="720"/>
        </w:tabs>
        <w:ind w:left="1418" w:hanging="284"/>
      </w:pPr>
      <w:r>
        <w:t>daugiau dėmesio skirti tarpvalstybiniam ir tarpregioniniam bendradarbiavimui;</w:t>
      </w:r>
    </w:p>
    <w:p w:rsidRPr="00316606" w:rsidR="00403E6E" w:rsidP="00403E6E" w:rsidRDefault="00403E6E" w14:paraId="505A5AC0" w14:textId="77777777">
      <w:pPr>
        <w:numPr>
          <w:ilvl w:val="0"/>
          <w:numId w:val="4"/>
        </w:numPr>
        <w:tabs>
          <w:tab w:val="clear" w:pos="720"/>
        </w:tabs>
        <w:ind w:left="1418" w:hanging="284"/>
      </w:pPr>
      <w:r>
        <w:t>integruoti sanglaudos tikslus į platesnį ES ekonomikos valdymą;</w:t>
      </w:r>
    </w:p>
    <w:p w:rsidRPr="00316606" w:rsidR="00403E6E" w:rsidP="00403E6E" w:rsidRDefault="00403E6E" w14:paraId="35585436" w14:textId="77777777">
      <w:pPr>
        <w:pStyle w:val="ListParagraph"/>
        <w:numPr>
          <w:ilvl w:val="1"/>
          <w:numId w:val="17"/>
        </w:numPr>
        <w:ind w:left="1134" w:hanging="567"/>
      </w:pPr>
      <w:r>
        <w:t>stengtis decentralizuoti sprendimų priėmimo procesą, užtikrinant, kad:</w:t>
      </w:r>
    </w:p>
    <w:p w:rsidRPr="00316606" w:rsidR="00403E6E" w:rsidP="00403E6E" w:rsidRDefault="00403E6E" w14:paraId="18A37B01" w14:textId="77777777">
      <w:pPr>
        <w:numPr>
          <w:ilvl w:val="0"/>
          <w:numId w:val="4"/>
        </w:numPr>
        <w:tabs>
          <w:tab w:val="clear" w:pos="720"/>
        </w:tabs>
        <w:ind w:left="1418" w:hanging="284"/>
      </w:pPr>
      <w:r>
        <w:t>vietos ir regionų valdžios institucijoms būtų suteikiama daugiau savarankiškumo įgyvendinti politiką, pritaikytą prie jų konkrečių ekonominių aplinkybių;</w:t>
      </w:r>
    </w:p>
    <w:p w:rsidRPr="00316606" w:rsidR="00403E6E" w:rsidP="00403E6E" w:rsidRDefault="00403E6E" w14:paraId="52B2919B" w14:textId="77777777">
      <w:pPr>
        <w:numPr>
          <w:ilvl w:val="0"/>
          <w:numId w:val="4"/>
        </w:numPr>
        <w:tabs>
          <w:tab w:val="clear" w:pos="720"/>
        </w:tabs>
        <w:ind w:left="1418" w:hanging="284"/>
      </w:pPr>
      <w:r>
        <w:t>į procesą būtų plačiai integruotas partnerystės principas;</w:t>
      </w:r>
    </w:p>
    <w:p w:rsidRPr="00316606" w:rsidR="00403E6E" w:rsidP="00403E6E" w:rsidRDefault="00403E6E" w14:paraId="2788C2A6" w14:textId="77777777">
      <w:pPr>
        <w:numPr>
          <w:ilvl w:val="0"/>
          <w:numId w:val="4"/>
        </w:numPr>
        <w:tabs>
          <w:tab w:val="clear" w:pos="720"/>
        </w:tabs>
        <w:ind w:left="1418" w:hanging="284"/>
      </w:pPr>
      <w:r>
        <w:t>su pilietine visuomene ir socialiniais partneriais būtų konsultuojamasi per visą politikos ciklą – nuo rengimo iki įgyvendinimo ir stebėsenos.</w:t>
      </w:r>
    </w:p>
    <w:p w:rsidRPr="00B04463" w:rsidR="00403E6E" w:rsidP="00403E6E" w:rsidRDefault="00403E6E" w14:paraId="44A01DE4" w14:textId="77777777"/>
    <w:p w:rsidRPr="00316606" w:rsidR="00403E6E" w:rsidP="00403E6E" w:rsidRDefault="00403E6E" w14:paraId="4DA78786" w14:textId="77777777">
      <w:pPr>
        <w:pStyle w:val="Heading2"/>
      </w:pPr>
      <w:r>
        <w:t>Žvelgiant į 2028–2034 m. DFP, ES susiduria su naujais poreikiais, pavyzdžiui, gynybos srityje, tačiau ji vis dar turi atsižvelgti ir į tradicinius prioritetus. Dėl demografinių pokyčių ir darbo jėgos senėjimo vyksta papildoma tyli pertvarka. EESRK rekomenduoja:</w:t>
      </w:r>
    </w:p>
    <w:p w:rsidRPr="00316606" w:rsidR="00403E6E" w:rsidP="00403E6E" w:rsidRDefault="00403E6E" w14:paraId="2F06F566" w14:textId="77777777">
      <w:pPr>
        <w:pStyle w:val="ListParagraph"/>
        <w:numPr>
          <w:ilvl w:val="1"/>
          <w:numId w:val="18"/>
        </w:numPr>
        <w:ind w:left="1134" w:hanging="567"/>
      </w:pPr>
      <w:r>
        <w:t>strateginius finansavimo prioritetus, įskaitant:</w:t>
      </w:r>
    </w:p>
    <w:p w:rsidRPr="00316606" w:rsidR="00403E6E" w:rsidP="00403E6E" w:rsidRDefault="00403E6E" w14:paraId="39011C1A" w14:textId="77777777">
      <w:pPr>
        <w:numPr>
          <w:ilvl w:val="0"/>
          <w:numId w:val="5"/>
        </w:numPr>
        <w:tabs>
          <w:tab w:val="clear" w:pos="720"/>
        </w:tabs>
        <w:ind w:left="1418" w:hanging="284"/>
      </w:pPr>
      <w:r>
        <w:t>naujus gynybos pajėgumų finansavimo mechanizmus, atitinkančius Sutartyje nustatytus apribojimus;</w:t>
      </w:r>
    </w:p>
    <w:p w:rsidRPr="00316606" w:rsidR="00403E6E" w:rsidP="00403E6E" w:rsidRDefault="00403E6E" w14:paraId="7A9FE74F" w14:textId="77777777">
      <w:pPr>
        <w:numPr>
          <w:ilvl w:val="0"/>
          <w:numId w:val="5"/>
        </w:numPr>
        <w:tabs>
          <w:tab w:val="clear" w:pos="720"/>
        </w:tabs>
        <w:ind w:left="1418" w:hanging="284"/>
      </w:pPr>
      <w:r>
        <w:t>geresnį ES gynybos iniciatyvų ir nacionalinių išlaidų koordinavimą;</w:t>
      </w:r>
    </w:p>
    <w:p w:rsidRPr="00316606" w:rsidR="00403E6E" w:rsidP="00403E6E" w:rsidRDefault="00403E6E" w14:paraId="6379C80B" w14:textId="77777777">
      <w:pPr>
        <w:numPr>
          <w:ilvl w:val="0"/>
          <w:numId w:val="5"/>
        </w:numPr>
        <w:tabs>
          <w:tab w:val="clear" w:pos="720"/>
        </w:tabs>
        <w:ind w:left="1418" w:hanging="284"/>
      </w:pPr>
      <w:r>
        <w:t>gynybos pramonės politikos integravimą į platesnius konkurencingumo tikslus;</w:t>
      </w:r>
    </w:p>
    <w:p w:rsidRPr="00316606" w:rsidR="00403E6E" w:rsidP="00403E6E" w:rsidRDefault="00403E6E" w14:paraId="51FC420F" w14:textId="77777777">
      <w:pPr>
        <w:pStyle w:val="ListParagraph"/>
        <w:numPr>
          <w:ilvl w:val="1"/>
          <w:numId w:val="18"/>
        </w:numPr>
        <w:ind w:left="1134" w:hanging="567"/>
      </w:pPr>
      <w:r>
        <w:t>daugiametės finansinės programos reformą, įskaitant:</w:t>
      </w:r>
    </w:p>
    <w:p w:rsidRPr="00316606" w:rsidR="00403E6E" w:rsidP="00403E6E" w:rsidRDefault="00403E6E" w14:paraId="557F2126" w14:textId="77777777">
      <w:pPr>
        <w:numPr>
          <w:ilvl w:val="0"/>
          <w:numId w:val="6"/>
        </w:numPr>
        <w:tabs>
          <w:tab w:val="clear" w:pos="720"/>
          <w:tab w:val="num" w:pos="1418"/>
        </w:tabs>
        <w:ind w:left="1418" w:hanging="284"/>
      </w:pPr>
      <w:r>
        <w:t>lankstesnius mechanizmus naujiems iššūkiams atremti;</w:t>
      </w:r>
    </w:p>
    <w:p w:rsidRPr="00316606" w:rsidR="00403E6E" w:rsidP="00403E6E" w:rsidRDefault="00403E6E" w14:paraId="092797A2" w14:textId="77777777">
      <w:pPr>
        <w:numPr>
          <w:ilvl w:val="0"/>
          <w:numId w:val="6"/>
        </w:numPr>
        <w:tabs>
          <w:tab w:val="clear" w:pos="720"/>
          <w:tab w:val="num" w:pos="1418"/>
        </w:tabs>
        <w:ind w:left="1418" w:hanging="284"/>
      </w:pPr>
      <w:r>
        <w:t>naujus nuosavus išteklius išplėstiems ES lygmens veiksmams remti</w:t>
      </w:r>
      <w:r w:rsidRPr="00316606">
        <w:rPr>
          <w:rStyle w:val="FootnoteReference"/>
          <w:lang w:val="en-GB"/>
        </w:rPr>
        <w:footnoteReference w:id="9"/>
      </w:r>
      <w:r>
        <w:t>;</w:t>
      </w:r>
    </w:p>
    <w:p w:rsidRPr="00316606" w:rsidR="00403E6E" w:rsidP="00403E6E" w:rsidRDefault="00403E6E" w14:paraId="4EF0D9BF" w14:textId="77777777">
      <w:pPr>
        <w:numPr>
          <w:ilvl w:val="0"/>
          <w:numId w:val="6"/>
        </w:numPr>
        <w:tabs>
          <w:tab w:val="clear" w:pos="720"/>
          <w:tab w:val="num" w:pos="1418"/>
        </w:tabs>
        <w:ind w:left="1418" w:hanging="284"/>
      </w:pPr>
      <w:r>
        <w:t>didesnį dėmesį Europos viešosioms gėrybėms, kartu išlaikant esminės reikšmės turinčią sanglaudą ir paramą žemės ūkiui.</w:t>
      </w:r>
    </w:p>
    <w:p w:rsidRPr="00B04463" w:rsidR="00403E6E" w:rsidP="00403E6E" w:rsidRDefault="00403E6E" w14:paraId="08DE6190" w14:textId="77777777"/>
    <w:p w:rsidRPr="00316606" w:rsidR="00403E6E" w:rsidP="00403E6E" w:rsidRDefault="00403E6E" w14:paraId="56517760" w14:textId="77777777">
      <w:pPr>
        <w:pStyle w:val="Heading2"/>
      </w:pPr>
      <w:r>
        <w:t>Norint išlaikyti Europos įmonių konkurencingumą, reikia visapusiško požiūrio, apimančio:</w:t>
      </w:r>
    </w:p>
    <w:p w:rsidRPr="00316606" w:rsidR="00403E6E" w:rsidP="00403E6E" w:rsidRDefault="00403E6E" w14:paraId="0E5D8235" w14:textId="77777777">
      <w:pPr>
        <w:pStyle w:val="ListParagraph"/>
        <w:numPr>
          <w:ilvl w:val="1"/>
          <w:numId w:val="19"/>
        </w:numPr>
        <w:ind w:left="1134" w:hanging="567"/>
      </w:pPr>
      <w:r>
        <w:t>neatidėliotinos paramos priemones, kai antai:</w:t>
      </w:r>
    </w:p>
    <w:p w:rsidRPr="00316606" w:rsidR="00403E6E" w:rsidP="00403E6E" w:rsidRDefault="00403E6E" w14:paraId="3458E70C" w14:textId="77777777">
      <w:pPr>
        <w:numPr>
          <w:ilvl w:val="0"/>
          <w:numId w:val="7"/>
        </w:numPr>
        <w:tabs>
          <w:tab w:val="clear" w:pos="720"/>
        </w:tabs>
        <w:ind w:left="1418" w:hanging="284"/>
      </w:pPr>
      <w:r>
        <w:t>tikslinę paramą daug energijos suvartojantiems pramonės sektoriams, pereinantiems prie švaresnių technologijų;</w:t>
      </w:r>
    </w:p>
    <w:p w:rsidRPr="00316606" w:rsidR="00403E6E" w:rsidP="00403E6E" w:rsidRDefault="00403E6E" w14:paraId="51A48F40" w14:textId="77777777">
      <w:pPr>
        <w:numPr>
          <w:ilvl w:val="0"/>
          <w:numId w:val="7"/>
        </w:numPr>
        <w:tabs>
          <w:tab w:val="clear" w:pos="720"/>
        </w:tabs>
        <w:ind w:left="1418" w:hanging="284"/>
      </w:pPr>
      <w:r>
        <w:t>paramą MVĮ, kad jos galėtų prisitaikyti prie ekonominių pertvarkų;</w:t>
      </w:r>
    </w:p>
    <w:p w:rsidRPr="00316606" w:rsidR="00403E6E" w:rsidP="00403E6E" w:rsidRDefault="00403E6E" w14:paraId="31186690" w14:textId="77777777">
      <w:pPr>
        <w:numPr>
          <w:ilvl w:val="0"/>
          <w:numId w:val="7"/>
        </w:numPr>
        <w:tabs>
          <w:tab w:val="clear" w:pos="720"/>
        </w:tabs>
        <w:ind w:left="1418" w:hanging="284"/>
      </w:pPr>
      <w:r>
        <w:t>didesnę paramą eksportui strateginiuose sektoriuose;</w:t>
      </w:r>
    </w:p>
    <w:p w:rsidRPr="00316606" w:rsidR="00403E6E" w:rsidP="00403E6E" w:rsidRDefault="00403E6E" w14:paraId="102373C3" w14:textId="77777777">
      <w:pPr>
        <w:pStyle w:val="ListParagraph"/>
        <w:numPr>
          <w:ilvl w:val="1"/>
          <w:numId w:val="19"/>
        </w:numPr>
        <w:ind w:left="1134" w:hanging="567"/>
      </w:pPr>
      <w:r>
        <w:t>ilgalaikes konkurencingumo iniciatyvas, kaip antai:</w:t>
      </w:r>
    </w:p>
    <w:p w:rsidRPr="00316606" w:rsidR="00403E6E" w:rsidP="00403E6E" w:rsidRDefault="00403E6E" w14:paraId="3B1CC453" w14:textId="77777777">
      <w:pPr>
        <w:numPr>
          <w:ilvl w:val="0"/>
          <w:numId w:val="8"/>
        </w:numPr>
        <w:tabs>
          <w:tab w:val="clear" w:pos="720"/>
          <w:tab w:val="num" w:pos="1418"/>
        </w:tabs>
        <w:ind w:left="1418" w:hanging="284"/>
      </w:pPr>
      <w:r>
        <w:t>administracinės naštos mažinimą (25 proc., o MVĮ – 35 proc.) pagal Komisijos tikslus;</w:t>
      </w:r>
    </w:p>
    <w:p w:rsidRPr="00316606" w:rsidR="00403E6E" w:rsidP="00403E6E" w:rsidRDefault="00403E6E" w14:paraId="59A47EBD" w14:textId="77777777">
      <w:pPr>
        <w:numPr>
          <w:ilvl w:val="0"/>
          <w:numId w:val="8"/>
        </w:numPr>
        <w:tabs>
          <w:tab w:val="clear" w:pos="720"/>
          <w:tab w:val="num" w:pos="1418"/>
        </w:tabs>
        <w:ind w:left="1418" w:hanging="284"/>
      </w:pPr>
      <w:r>
        <w:t>spartesnę bendrosios rinkos integraciją, ypač paslaugų srityje;</w:t>
      </w:r>
    </w:p>
    <w:p w:rsidRPr="00316606" w:rsidR="00403E6E" w:rsidP="00403E6E" w:rsidRDefault="00403E6E" w14:paraId="169F09A8" w14:textId="77777777">
      <w:pPr>
        <w:numPr>
          <w:ilvl w:val="0"/>
          <w:numId w:val="8"/>
        </w:numPr>
        <w:tabs>
          <w:tab w:val="clear" w:pos="720"/>
          <w:tab w:val="num" w:pos="1418"/>
        </w:tabs>
        <w:ind w:left="1418" w:hanging="284"/>
      </w:pPr>
      <w:r>
        <w:t>Europos pramonės ekosistemas strateginiuose sektoriuose;</w:t>
      </w:r>
    </w:p>
    <w:p w:rsidRPr="00316606" w:rsidR="00403E6E" w:rsidP="00403E6E" w:rsidRDefault="00403E6E" w14:paraId="6E422235" w14:textId="77777777">
      <w:pPr>
        <w:numPr>
          <w:ilvl w:val="0"/>
          <w:numId w:val="8"/>
        </w:numPr>
        <w:tabs>
          <w:tab w:val="clear" w:pos="720"/>
          <w:tab w:val="num" w:pos="1418"/>
        </w:tabs>
        <w:ind w:left="1418" w:hanging="284"/>
      </w:pPr>
      <w:r>
        <w:t>didesnę paramą inovacijoms ir technologijų diegimui.</w:t>
      </w:r>
    </w:p>
    <w:p w:rsidRPr="00316606" w:rsidR="00403E6E" w:rsidP="00403E6E" w:rsidRDefault="00403E6E" w14:paraId="7A274396" w14:textId="77777777">
      <w:pPr>
        <w:rPr>
          <w:lang w:val="en-GB"/>
        </w:rPr>
      </w:pPr>
    </w:p>
    <w:p w:rsidRPr="00316606" w:rsidR="00403E6E" w:rsidP="00403E6E" w:rsidRDefault="00403E6E" w14:paraId="4F58C6E7" w14:textId="77777777">
      <w:pPr>
        <w:pStyle w:val="Heading2"/>
      </w:pPr>
      <w:r>
        <w:t xml:space="preserve">Šiose rekomendacijose pripažįstama, kad šalinant pragyvenimo išlaidų krizę reikia imtis neatidėliotinų veiksmų ir vykdyti ilgalaikes struktūrines reformas. Geri rezultatai priklauso nuo </w:t>
      </w:r>
      <w:r>
        <w:lastRenderedPageBreak/>
        <w:t>kruopštaus įvairių politikos sričių ir valdymo lygmenų koordinavimo, kartu toliau daug dėmesio skiriant tiek veiksmingumui, tiek teisingumui. Siekiant užtikrinti, kad kintant aplinkybėms priemonės ir toliau atitiktų savo paskirtį, būtina jas reguliariai stebėti ir koreguoti. Siekiant šio tikslo būtinos aktyvesnės suinteresuotųjų subjektų konsultacijos su pilietine visuomene ir socialiniais partneriais.</w:t>
      </w:r>
    </w:p>
    <w:p w:rsidRPr="00B04463" w:rsidR="00403E6E" w:rsidP="00403E6E" w:rsidRDefault="00403E6E" w14:paraId="1BD37E09" w14:textId="77777777">
      <w:pPr>
        <w:jc w:val="left"/>
      </w:pPr>
    </w:p>
    <w:p w:rsidRPr="00316606" w:rsidR="00BC22E6" w:rsidP="00403E6E" w:rsidRDefault="00BC22E6" w14:paraId="2B3D8D97" w14:textId="2FBD1A4F">
      <w:r>
        <w:t>Briuselis</w:t>
      </w:r>
      <w:r>
        <w:t xml:space="preserve">, </w:t>
      </w:r>
      <w:r w:rsidR="00403E6E">
        <w:t>2025 m. balandžio 30 d.</w:t>
      </w:r>
    </w:p>
    <w:p w:rsidRPr="00B04463" w:rsidR="00403E6E" w:rsidP="00403E6E" w:rsidRDefault="00403E6E" w14:paraId="07CBB0C6" w14:textId="77777777"/>
    <w:p w:rsidRPr="00B04463" w:rsidR="00403E6E" w:rsidP="00403E6E" w:rsidRDefault="00403E6E" w14:paraId="2C494A16" w14:textId="77777777"/>
    <w:p w:rsidRPr="00B04463" w:rsidR="00403E6E" w:rsidP="00403E6E" w:rsidRDefault="00403E6E" w14:paraId="12AC03A3" w14:textId="77777777"/>
    <w:p w:rsidRPr="00316606" w:rsidR="00403E6E" w:rsidP="00403E6E" w:rsidRDefault="00591E14" w14:paraId="6C144F4A" w14:textId="5A94E2BD">
      <w:pPr>
        <w:rPr>
          <w:i/>
          <w:iCs/>
          <w:szCs w:val="20"/>
        </w:rPr>
      </w:pPr>
      <w:r>
        <w:rPr>
          <w:i/>
        </w:rPr>
        <w:t>Europos ekonomikos ir socialinių reikalų komiteto pirmininkas</w:t>
      </w:r>
    </w:p>
    <w:p w:rsidR="00403E6E" w:rsidP="00403E6E" w:rsidRDefault="00591E14" w14:paraId="6232CA3C" w14:textId="3EFD3B6C">
      <w:pPr>
        <w:jc w:val="left"/>
        <w:rPr>
          <w:szCs w:val="20"/>
        </w:rPr>
      </w:pPr>
      <w:r>
        <w:t>Oliver RÖPKE</w:t>
      </w:r>
    </w:p>
    <w:p w:rsidRPr="00316606" w:rsidR="008B1F31" w:rsidP="00403E6E" w:rsidRDefault="008B1F31" w14:paraId="1474CE5F" w14:textId="77777777">
      <w:pPr>
        <w:jc w:val="left"/>
        <w:rPr>
          <w:lang w:val="en-GB"/>
        </w:rPr>
      </w:pPr>
    </w:p>
    <w:p w:rsidRPr="00316606" w:rsidR="00E2376B" w:rsidP="00100DD3" w:rsidRDefault="00403E6E" w14:paraId="05878CAA" w14:textId="13DD6186">
      <w:pPr>
        <w:jc w:val="center"/>
      </w:pPr>
      <w:r>
        <w:t>_____________</w:t>
      </w:r>
    </w:p>
    <w:p w:rsidRPr="00316606" w:rsidR="00F53370" w:rsidP="00DB7F50" w:rsidRDefault="00F53370" w14:paraId="6BABC1C7" w14:textId="75434F7C">
      <w:pPr>
        <w:jc w:val="center"/>
        <w:rPr>
          <w:lang w:val="en-GB"/>
        </w:rPr>
      </w:pPr>
    </w:p>
    <w:sectPr w:rsidRPr="00316606" w:rsidR="00F53370"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3D53" w14:textId="77777777" w:rsidR="0045106C" w:rsidRDefault="0045106C" w:rsidP="00F53370">
      <w:pPr>
        <w:spacing w:line="240" w:lineRule="auto"/>
      </w:pPr>
      <w:r>
        <w:separator/>
      </w:r>
    </w:p>
  </w:endnote>
  <w:endnote w:type="continuationSeparator" w:id="0">
    <w:p w14:paraId="72A5735F" w14:textId="77777777" w:rsidR="0045106C" w:rsidRDefault="0045106C"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0FCE" w14:textId="77777777" w:rsidR="00C567AF" w:rsidRDefault="00C5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6D19" w14:textId="77777777" w:rsidR="00C567AF" w:rsidRDefault="00C56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07BC" w14:textId="77777777" w:rsidR="00C567AF" w:rsidRDefault="00C56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2FEB575D" w:rsidR="0084105C" w:rsidRPr="003065C9" w:rsidRDefault="00476FF9" w:rsidP="00476FF9">
    <w:pPr>
      <w:pStyle w:val="Footer"/>
      <w:jc w:val="left"/>
    </w:pPr>
    <w:r>
      <w:t xml:space="preserve">ECO/661 – EESC-2024-04534-00-00-AC-TRA (EN) </w:t>
    </w:r>
    <w:r>
      <w:fldChar w:fldCharType="begin"/>
    </w:r>
    <w:r>
      <w:instrText xml:space="preserve"> PAGE  \* Arabic  \* MERGEFORMAT </w:instrText>
    </w:r>
    <w:r>
      <w:fldChar w:fldCharType="separate"/>
    </w:r>
    <w:r>
      <w:t>8</w:t>
    </w:r>
    <w:r>
      <w:fldChar w:fldCharType="end"/>
    </w:r>
    <w:r>
      <w:t>/</w:t>
    </w:r>
    <w:r>
      <w:fldChar w:fldCharType="begin"/>
    </w:r>
    <w:r>
      <w:instrText xml:space="preserve"> = </w:instrText>
    </w:r>
    <w:r w:rsidR="00A839CD">
      <w:fldChar w:fldCharType="begin"/>
    </w:r>
    <w:r w:rsidR="00A839CD">
      <w:instrText xml:space="preserve"> NUMPAGES </w:instrText>
    </w:r>
    <w:r w:rsidR="00A839CD">
      <w:fldChar w:fldCharType="separate"/>
    </w:r>
    <w:r w:rsidR="00575EB6">
      <w:rPr>
        <w:noProof/>
      </w:rPr>
      <w:instrText>11</w:instrText>
    </w:r>
    <w:r w:rsidR="00A839CD">
      <w:fldChar w:fldCharType="end"/>
    </w:r>
    <w:r>
      <w:instrText xml:space="preserve"> - 2 </w:instrText>
    </w:r>
    <w:r>
      <w:fldChar w:fldCharType="separate"/>
    </w:r>
    <w:r w:rsidR="00575EB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1FAB" w14:textId="77777777" w:rsidR="0045106C" w:rsidRDefault="0045106C" w:rsidP="00F53370">
      <w:pPr>
        <w:spacing w:line="240" w:lineRule="auto"/>
      </w:pPr>
      <w:r>
        <w:separator/>
      </w:r>
    </w:p>
  </w:footnote>
  <w:footnote w:type="continuationSeparator" w:id="0">
    <w:p w14:paraId="659A0EB2" w14:textId="77777777" w:rsidR="0045106C" w:rsidRDefault="0045106C" w:rsidP="00F53370">
      <w:pPr>
        <w:spacing w:line="240" w:lineRule="auto"/>
      </w:pPr>
      <w:r>
        <w:continuationSeparator/>
      </w:r>
    </w:p>
  </w:footnote>
  <w:footnote w:id="1">
    <w:p w14:paraId="7FE129CC" w14:textId="2EF30981" w:rsidR="00403E6E" w:rsidRPr="00E46A62" w:rsidRDefault="00403E6E" w:rsidP="00403E6E">
      <w:pPr>
        <w:pStyle w:val="FootnoteText"/>
      </w:pPr>
      <w:r>
        <w:rPr>
          <w:rStyle w:val="FootnoteReference"/>
        </w:rPr>
        <w:footnoteRef/>
      </w:r>
      <w:r>
        <w:tab/>
        <w:t xml:space="preserve">Nuomonė CCMI/239 </w:t>
      </w:r>
      <w:hyperlink r:id="rId1" w:history="1">
        <w:r>
          <w:rPr>
            <w:rStyle w:val="Hyperlink"/>
            <w:i/>
          </w:rPr>
          <w:t>Europos reindustrializacija – galimybė įmonėms, darbuotojams ir piliečiams pragyvenimo išlaidų krizės sąlygomis</w:t>
        </w:r>
      </w:hyperlink>
      <w:r>
        <w:t xml:space="preserve"> (rengiama), EESRK nuomonė </w:t>
      </w:r>
      <w:hyperlink r:id="rId2" w:history="1">
        <w:r>
          <w:rPr>
            <w:rStyle w:val="Hyperlink"/>
            <w:i/>
          </w:rPr>
          <w:t>Krizių įveikimas. Ekonomikos priemonės atspariai, darniai ir įtraukiai Europai kurti</w:t>
        </w:r>
      </w:hyperlink>
      <w:r>
        <w:t xml:space="preserve"> (dar nepaskelbta Oficialiajame leidinyje), EESRK nuomonė </w:t>
      </w:r>
      <w:hyperlink r:id="rId3" w:history="1">
        <w:r>
          <w:rPr>
            <w:rStyle w:val="Hyperlink"/>
            <w:i/>
          </w:rPr>
          <w:t>Kaip bendrosios rinkos sutrikimai prisideda prie didėjančių pragyvenimo išlaidų</w:t>
        </w:r>
      </w:hyperlink>
      <w:r>
        <w:t xml:space="preserve"> (dar nepaskelbta Oficialiajame leidinyje), EESRK nuomonė </w:t>
      </w:r>
      <w:hyperlink r:id="rId4" w:history="1">
        <w:r>
          <w:rPr>
            <w:rStyle w:val="Hyperlink"/>
            <w:i/>
          </w:rPr>
          <w:t>Laipsniškas subsidijų iškastiniam kurui panaikinimas, kartu užtikrinant Europos konkurencingumą, mažinant pragyvenimo išlaidų krizės poveikį ir skatinant teisingą pertvarką</w:t>
        </w:r>
      </w:hyperlink>
      <w:r>
        <w:t xml:space="preserve"> (dar nepaskelbta Oficialiajame leidinyje), </w:t>
      </w:r>
      <w:hyperlink r:id="rId5" w:history="1">
        <w:r>
          <w:rPr>
            <w:rStyle w:val="Hyperlink"/>
            <w:i/>
          </w:rPr>
          <w:t>Tiekimo grandinių susiskaidymas ir poveikis pragyvenimo išlaidoms</w:t>
        </w:r>
      </w:hyperlink>
      <w:r>
        <w:t xml:space="preserve"> (rengiama), </w:t>
      </w:r>
      <w:hyperlink r:id="rId6" w:history="1">
        <w:r>
          <w:rPr>
            <w:rStyle w:val="Hyperlink"/>
            <w:i/>
          </w:rPr>
          <w:t>Kaip spręsti perkamosios galios praradimo ir didėjančios nelygybės, atskirties ir marginalizacijos rizikos problemas</w:t>
        </w:r>
      </w:hyperlink>
      <w:r>
        <w:t xml:space="preserve"> (rengiama), EESRK nuomonė </w:t>
      </w:r>
      <w:hyperlink r:id="rId7" w:history="1">
        <w:r>
          <w:rPr>
            <w:rStyle w:val="Hyperlink"/>
            <w:i/>
          </w:rPr>
          <w:t>Kylančios transporto, energijos ir būsto kainos: kokybiškų viešųjų paslaugų vaidmuo mažinant išaugusias pragyvenimo išlaidas</w:t>
        </w:r>
      </w:hyperlink>
      <w:r>
        <w:t xml:space="preserve"> (dar nepaskelbta Oficialiajame leidinyje).</w:t>
      </w:r>
    </w:p>
  </w:footnote>
  <w:footnote w:id="2">
    <w:p w14:paraId="7C0D6853" w14:textId="3CC059B4" w:rsidR="00403E6E" w:rsidRPr="00E46A62" w:rsidRDefault="00403E6E" w:rsidP="00403E6E">
      <w:pPr>
        <w:pStyle w:val="FootnoteText"/>
      </w:pPr>
      <w:r>
        <w:rPr>
          <w:rStyle w:val="FootnoteReference"/>
        </w:rPr>
        <w:footnoteRef/>
      </w:r>
      <w:r>
        <w:tab/>
        <w:t xml:space="preserve">ECO/660 – </w:t>
      </w:r>
      <w:hyperlink r:id="rId8" w:history="1">
        <w:r>
          <w:rPr>
            <w:rStyle w:val="Hyperlink"/>
            <w:i/>
          </w:rPr>
          <w:t>Organizuotos pilietinės visuomenės rekomendacijos, kaip šalinti pragyvenimo išlaidų krizę</w:t>
        </w:r>
      </w:hyperlink>
      <w:r>
        <w:t xml:space="preserve"> (rengiama).</w:t>
      </w:r>
    </w:p>
  </w:footnote>
  <w:footnote w:id="3">
    <w:p w14:paraId="296823AD" w14:textId="77777777" w:rsidR="00403E6E" w:rsidRDefault="00403E6E" w:rsidP="00403E6E">
      <w:pPr>
        <w:pStyle w:val="FootnoteText"/>
      </w:pPr>
      <w:r>
        <w:rPr>
          <w:rStyle w:val="FootnoteReference"/>
        </w:rPr>
        <w:footnoteRef/>
      </w:r>
      <w:r>
        <w:tab/>
        <w:t xml:space="preserve">2021–2027 m. ES ilgalaikis biudžetas kartu su ekonomikos gaivinimo priemone „NextGenerationEU“ sudaro 2,018 trln. EUR dabartinėmis kainomis, </w:t>
      </w:r>
      <w:hyperlink r:id="rId9" w:history="1">
        <w:r>
          <w:rPr>
            <w:rStyle w:val="Hyperlink"/>
          </w:rPr>
          <w:t>ES biudžetas šiandien</w:t>
        </w:r>
      </w:hyperlink>
      <w:r>
        <w:t>.</w:t>
      </w:r>
    </w:p>
  </w:footnote>
  <w:footnote w:id="4">
    <w:p w14:paraId="1B2D7080" w14:textId="77777777" w:rsidR="00403E6E" w:rsidRPr="00F15059" w:rsidRDefault="00403E6E" w:rsidP="00403E6E">
      <w:pPr>
        <w:pStyle w:val="FootnoteText"/>
      </w:pPr>
      <w:r>
        <w:rPr>
          <w:rStyle w:val="FootnoteReference"/>
        </w:rPr>
        <w:footnoteRef/>
      </w:r>
      <w:r>
        <w:tab/>
        <w:t xml:space="preserve">OL C, C/2024/6862, 2024 11 28, ELI: </w:t>
      </w:r>
      <w:hyperlink r:id="rId10" w:history="1">
        <w:r>
          <w:rPr>
            <w:rStyle w:val="Hyperlink"/>
          </w:rPr>
          <w:t>https://eur-lex.europa.eu/eli/C/2024/6862/oj?eliuri=eli%3AC%3A2024%3A6862%3Aoj&amp;locale=lt</w:t>
        </w:r>
      </w:hyperlink>
      <w:r>
        <w:t xml:space="preserve">. </w:t>
      </w:r>
    </w:p>
  </w:footnote>
  <w:footnote w:id="5">
    <w:p w14:paraId="3941B15F" w14:textId="77777777" w:rsidR="00403E6E" w:rsidRPr="00476FF9" w:rsidRDefault="00403E6E" w:rsidP="00403E6E">
      <w:pPr>
        <w:pStyle w:val="FootnoteText"/>
        <w:spacing w:after="0"/>
      </w:pPr>
      <w:r>
        <w:rPr>
          <w:rStyle w:val="FootnoteReference"/>
        </w:rPr>
        <w:footnoteRef/>
      </w:r>
      <w:r>
        <w:tab/>
        <w:t>Tokius tyrimus jau rengia ir jais leidžia naudotis ESPON.</w:t>
      </w:r>
    </w:p>
  </w:footnote>
  <w:footnote w:id="6">
    <w:p w14:paraId="283E5F4E" w14:textId="77777777" w:rsidR="00403E6E" w:rsidRPr="00AA71A9" w:rsidRDefault="00403E6E" w:rsidP="00403E6E">
      <w:pPr>
        <w:pStyle w:val="FootnoteText"/>
      </w:pPr>
      <w:r>
        <w:rPr>
          <w:rStyle w:val="FootnoteReference"/>
        </w:rPr>
        <w:footnoteRef/>
      </w:r>
      <w:r>
        <w:tab/>
      </w:r>
      <w:hyperlink r:id="rId11" w:history="1">
        <w:r>
          <w:rPr>
            <w:rStyle w:val="Hyperlink"/>
            <w:i/>
          </w:rPr>
          <w:t>Tracking euro area wages in exceptional times</w:t>
        </w:r>
      </w:hyperlink>
      <w:r>
        <w:t>.</w:t>
      </w:r>
    </w:p>
  </w:footnote>
  <w:footnote w:id="7">
    <w:p w14:paraId="7BDB0C59" w14:textId="77777777" w:rsidR="00403E6E" w:rsidRPr="000445F2" w:rsidRDefault="00403E6E" w:rsidP="00403E6E">
      <w:pPr>
        <w:pStyle w:val="FootnoteText"/>
      </w:pPr>
      <w:r>
        <w:rPr>
          <w:rStyle w:val="FootnoteReference"/>
        </w:rPr>
        <w:footnoteRef/>
      </w:r>
      <w:r>
        <w:tab/>
      </w:r>
      <w:hyperlink r:id="rId12" w:history="1">
        <w:r>
          <w:rPr>
            <w:rStyle w:val="Hyperlink"/>
            <w:i/>
            <w:iCs/>
          </w:rPr>
          <w:t>Can Price Controls be Optimal?</w:t>
        </w:r>
      </w:hyperlink>
      <w:hyperlink r:id="rId13" w:history="1">
        <w:r>
          <w:rPr>
            <w:rStyle w:val="Hyperlink"/>
            <w:i/>
            <w:iCs/>
          </w:rPr>
          <w:t>The Economics of the Energy Shock in Germany</w:t>
        </w:r>
        <w:r>
          <w:rPr>
            <w:rStyle w:val="Hyperlink"/>
          </w:rPr>
          <w:t xml:space="preserve">, </w:t>
        </w:r>
        <w:r>
          <w:rPr>
            <w:rStyle w:val="Hyperlink"/>
            <w:i/>
          </w:rPr>
          <w:t>Forum for a New Economy</w:t>
        </w:r>
      </w:hyperlink>
      <w:r>
        <w:t>.</w:t>
      </w:r>
    </w:p>
  </w:footnote>
  <w:footnote w:id="8">
    <w:p w14:paraId="1D75AA72" w14:textId="77777777" w:rsidR="00403E6E" w:rsidRPr="00E81C35" w:rsidRDefault="00403E6E" w:rsidP="00403E6E">
      <w:pPr>
        <w:pStyle w:val="FootnoteText"/>
      </w:pPr>
      <w:r>
        <w:rPr>
          <w:rStyle w:val="FootnoteReference"/>
        </w:rPr>
        <w:footnoteRef/>
      </w:r>
      <w:r>
        <w:tab/>
        <w:t xml:space="preserve">Žr. šias nuorodas: </w:t>
      </w:r>
      <w:hyperlink r:id="rId14" w:history="1">
        <w:r>
          <w:rPr>
            <w:rStyle w:val="Hyperlink"/>
            <w:i/>
          </w:rPr>
          <w:t>Inflation inequality in the European Union and its drivers</w:t>
        </w:r>
      </w:hyperlink>
      <w:r>
        <w:t xml:space="preserve"> (</w:t>
      </w:r>
      <w:r>
        <w:rPr>
          <w:i/>
        </w:rPr>
        <w:t>Bruegel</w:t>
      </w:r>
      <w:r>
        <w:t xml:space="preserve">, 2024 m.); </w:t>
      </w:r>
      <w:hyperlink r:id="rId15" w:history="1">
        <w:r>
          <w:rPr>
            <w:rStyle w:val="Hyperlink"/>
            <w:i/>
          </w:rPr>
          <w:t>The unequal impact of the 2021-22 inflation surge on euro area households</w:t>
        </w:r>
      </w:hyperlink>
      <w:r>
        <w:t xml:space="preserve"> (ECB, 2024 m.); </w:t>
      </w:r>
      <w:hyperlink r:id="rId16" w:history="1">
        <w:r>
          <w:rPr>
            <w:rStyle w:val="Hyperlink"/>
            <w:i/>
          </w:rPr>
          <w:t>The uneven impact of high inflation</w:t>
        </w:r>
      </w:hyperlink>
      <w:r>
        <w:t xml:space="preserve"> (EBPO, 2023 m.).</w:t>
      </w:r>
    </w:p>
  </w:footnote>
  <w:footnote w:id="9">
    <w:p w14:paraId="4618917C" w14:textId="77777777" w:rsidR="00403E6E" w:rsidRPr="00F15059" w:rsidRDefault="00403E6E" w:rsidP="00403E6E">
      <w:pPr>
        <w:pStyle w:val="FootnoteText"/>
      </w:pPr>
      <w:r>
        <w:rPr>
          <w:rStyle w:val="FootnoteReference"/>
        </w:rPr>
        <w:footnoteRef/>
      </w:r>
      <w:r>
        <w:tab/>
        <w:t xml:space="preserve">OL C, C/2024/884, 2024 2 6, ELI: </w:t>
      </w:r>
      <w:hyperlink r:id="rId17" w:history="1">
        <w:r>
          <w:rPr>
            <w:rStyle w:val="Hyperlink"/>
          </w:rPr>
          <w:t>http://data.europa.eu/eli/C/2024/884/oj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A839CD">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7A0B9713" w:rsidR="00574C9B" w:rsidRDefault="00AA733F">
    <w:pPr>
      <w:pStyle w:val="Header"/>
    </w:pPr>
    <w:r>
      <w:rPr>
        <w:noProof/>
      </w:rPr>
      <w:drawing>
        <wp:anchor distT="0" distB="0" distL="114300" distR="114300" simplePos="0" relativeHeight="251675648" behindDoc="0" locked="0" layoutInCell="1" allowOverlap="1" wp14:anchorId="7A0787B0" wp14:editId="02003D4D">
          <wp:simplePos x="0" y="0"/>
          <wp:positionH relativeFrom="page">
            <wp:align>center</wp:align>
          </wp:positionH>
          <wp:positionV relativeFrom="page">
            <wp:posOffset>288290</wp:posOffset>
          </wp:positionV>
          <wp:extent cx="6944360" cy="3343275"/>
          <wp:effectExtent l="0" t="0" r="8890" b="9525"/>
          <wp:wrapNone/>
          <wp:docPr id="3" name="Picture 3" title="EESCLogo2021_LT"/>
          <wp:cNvGraphicFramePr/>
          <a:graphic xmlns:a="http://schemas.openxmlformats.org/drawingml/2006/main">
            <a:graphicData uri="http://schemas.openxmlformats.org/drawingml/2006/picture">
              <pic:pic xmlns:pic="http://schemas.openxmlformats.org/drawingml/2006/picture">
                <pic:nvPicPr>
                  <pic:cNvPr id="3" name="Picture 3" title="EESCLogo2021_LT"/>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A839CD">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A839CD">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A839CD">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A839CD">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AA733F">
      <w:rPr>
        <w:noProof/>
      </w:rPr>
      <w:drawing>
        <wp:anchor distT="0" distB="0" distL="114300" distR="114300" simplePos="0" relativeHeight="25166182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A839CD">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A839CD">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FA08F8" w:rsidRDefault="00A839CD">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A839CD">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162F9F"/>
    <w:multiLevelType w:val="multilevel"/>
    <w:tmpl w:val="2976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C498D"/>
    <w:multiLevelType w:val="hybridMultilevel"/>
    <w:tmpl w:val="EA068B02"/>
    <w:lvl w:ilvl="0" w:tplc="080C0017">
      <w:start w:val="1"/>
      <w:numFmt w:val="lowerLetter"/>
      <w:lvlText w:val="%1)"/>
      <w:lvlJc w:val="left"/>
      <w:pPr>
        <w:ind w:left="927" w:hanging="360"/>
      </w:p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 w15:restartNumberingAfterBreak="0">
    <w:nsid w:val="1BAF3872"/>
    <w:multiLevelType w:val="hybridMultilevel"/>
    <w:tmpl w:val="716A7CDA"/>
    <w:lvl w:ilvl="0" w:tplc="080C0017">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EA14BF1"/>
    <w:multiLevelType w:val="multilevel"/>
    <w:tmpl w:val="A6C6807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25569"/>
    <w:multiLevelType w:val="hybridMultilevel"/>
    <w:tmpl w:val="D5A4803C"/>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AFF46B0"/>
    <w:multiLevelType w:val="multilevel"/>
    <w:tmpl w:val="384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75EC5"/>
    <w:multiLevelType w:val="multilevel"/>
    <w:tmpl w:val="0D3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378F2"/>
    <w:multiLevelType w:val="hybridMultilevel"/>
    <w:tmpl w:val="6D329342"/>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E4D5A7F"/>
    <w:multiLevelType w:val="hybridMultilevel"/>
    <w:tmpl w:val="F1CA8D9A"/>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E550BB9"/>
    <w:multiLevelType w:val="hybridMultilevel"/>
    <w:tmpl w:val="DE6672D6"/>
    <w:lvl w:ilvl="0" w:tplc="04090019">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000009A"/>
    <w:multiLevelType w:val="multilevel"/>
    <w:tmpl w:val="6B5C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67C0E"/>
    <w:multiLevelType w:val="multilevel"/>
    <w:tmpl w:val="FC0E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2D0078"/>
    <w:multiLevelType w:val="multilevel"/>
    <w:tmpl w:val="76A4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91FA6"/>
    <w:multiLevelType w:val="multilevel"/>
    <w:tmpl w:val="C81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07B98"/>
    <w:multiLevelType w:val="multilevel"/>
    <w:tmpl w:val="AE5C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F1379"/>
    <w:multiLevelType w:val="hybridMultilevel"/>
    <w:tmpl w:val="6E5C4D04"/>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5D82489"/>
    <w:multiLevelType w:val="multilevel"/>
    <w:tmpl w:val="AF34D0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214CC"/>
    <w:multiLevelType w:val="multilevel"/>
    <w:tmpl w:val="2BA2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A67CE"/>
    <w:multiLevelType w:val="hybridMultilevel"/>
    <w:tmpl w:val="33FCB774"/>
    <w:lvl w:ilvl="0" w:tplc="080C0017">
      <w:start w:val="1"/>
      <w:numFmt w:val="lowerLetter"/>
      <w:lvlText w:val="%1)"/>
      <w:lvlJc w:val="left"/>
      <w:pPr>
        <w:ind w:left="720" w:hanging="360"/>
      </w:p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11"/>
  </w:num>
  <w:num w:numId="6">
    <w:abstractNumId w:val="15"/>
  </w:num>
  <w:num w:numId="7">
    <w:abstractNumId w:val="1"/>
  </w:num>
  <w:num w:numId="8">
    <w:abstractNumId w:val="14"/>
  </w:num>
  <w:num w:numId="9">
    <w:abstractNumId w:val="17"/>
  </w:num>
  <w:num w:numId="10">
    <w:abstractNumId w:val="7"/>
  </w:num>
  <w:num w:numId="11">
    <w:abstractNumId w:val="18"/>
  </w:num>
  <w:num w:numId="12">
    <w:abstractNumId w:val="12"/>
  </w:num>
  <w:num w:numId="13">
    <w:abstractNumId w:val="4"/>
  </w:num>
  <w:num w:numId="14">
    <w:abstractNumId w:val="10"/>
  </w:num>
  <w:num w:numId="15">
    <w:abstractNumId w:val="8"/>
  </w:num>
  <w:num w:numId="16">
    <w:abstractNumId w:val="16"/>
  </w:num>
  <w:num w:numId="17">
    <w:abstractNumId w:val="9"/>
  </w:num>
  <w:num w:numId="18">
    <w:abstractNumId w:val="5"/>
  </w:num>
  <w:num w:numId="19">
    <w:abstractNumId w:val="19"/>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45CF"/>
    <w:rsid w:val="000124B6"/>
    <w:rsid w:val="00020389"/>
    <w:rsid w:val="00053D00"/>
    <w:rsid w:val="000A0F3B"/>
    <w:rsid w:val="000D4427"/>
    <w:rsid w:val="000E5E03"/>
    <w:rsid w:val="00100DD3"/>
    <w:rsid w:val="001119FD"/>
    <w:rsid w:val="00115651"/>
    <w:rsid w:val="00131A23"/>
    <w:rsid w:val="00153981"/>
    <w:rsid w:val="0015649F"/>
    <w:rsid w:val="00185E99"/>
    <w:rsid w:val="0019231D"/>
    <w:rsid w:val="001955B6"/>
    <w:rsid w:val="001A6116"/>
    <w:rsid w:val="001D61AC"/>
    <w:rsid w:val="001E15AA"/>
    <w:rsid w:val="001E3FA1"/>
    <w:rsid w:val="00200E87"/>
    <w:rsid w:val="00206D14"/>
    <w:rsid w:val="00214BDC"/>
    <w:rsid w:val="00215E81"/>
    <w:rsid w:val="0024727F"/>
    <w:rsid w:val="00260593"/>
    <w:rsid w:val="00282E54"/>
    <w:rsid w:val="002B6A7B"/>
    <w:rsid w:val="003023A7"/>
    <w:rsid w:val="00316606"/>
    <w:rsid w:val="003353D7"/>
    <w:rsid w:val="003659F9"/>
    <w:rsid w:val="00401DE5"/>
    <w:rsid w:val="00403E6E"/>
    <w:rsid w:val="004051F7"/>
    <w:rsid w:val="0045106C"/>
    <w:rsid w:val="00461CAF"/>
    <w:rsid w:val="00476FF9"/>
    <w:rsid w:val="004871B8"/>
    <w:rsid w:val="00492082"/>
    <w:rsid w:val="004D23EE"/>
    <w:rsid w:val="004D4826"/>
    <w:rsid w:val="004F3B80"/>
    <w:rsid w:val="00574C9B"/>
    <w:rsid w:val="00575EB6"/>
    <w:rsid w:val="0058411F"/>
    <w:rsid w:val="00591E14"/>
    <w:rsid w:val="005961A4"/>
    <w:rsid w:val="005C530F"/>
    <w:rsid w:val="006125A1"/>
    <w:rsid w:val="00653E7D"/>
    <w:rsid w:val="00662207"/>
    <w:rsid w:val="00667F09"/>
    <w:rsid w:val="00686424"/>
    <w:rsid w:val="006B2A12"/>
    <w:rsid w:val="006B57A6"/>
    <w:rsid w:val="006C0EAF"/>
    <w:rsid w:val="006D53A6"/>
    <w:rsid w:val="00787837"/>
    <w:rsid w:val="00787ABB"/>
    <w:rsid w:val="007B1355"/>
    <w:rsid w:val="007B6C64"/>
    <w:rsid w:val="00822952"/>
    <w:rsid w:val="00836505"/>
    <w:rsid w:val="00837061"/>
    <w:rsid w:val="00844B87"/>
    <w:rsid w:val="00867C81"/>
    <w:rsid w:val="0089251B"/>
    <w:rsid w:val="008A6DD4"/>
    <w:rsid w:val="008B1F31"/>
    <w:rsid w:val="008F74D7"/>
    <w:rsid w:val="00904C42"/>
    <w:rsid w:val="00914683"/>
    <w:rsid w:val="009177AD"/>
    <w:rsid w:val="00924C05"/>
    <w:rsid w:val="00937CF2"/>
    <w:rsid w:val="00976645"/>
    <w:rsid w:val="00976F77"/>
    <w:rsid w:val="0098228C"/>
    <w:rsid w:val="009832C7"/>
    <w:rsid w:val="009E2100"/>
    <w:rsid w:val="00A21F3B"/>
    <w:rsid w:val="00A220A1"/>
    <w:rsid w:val="00A310E1"/>
    <w:rsid w:val="00A36AB0"/>
    <w:rsid w:val="00A839CD"/>
    <w:rsid w:val="00AA733F"/>
    <w:rsid w:val="00AB37A3"/>
    <w:rsid w:val="00AB6D77"/>
    <w:rsid w:val="00AC5114"/>
    <w:rsid w:val="00B04463"/>
    <w:rsid w:val="00B25683"/>
    <w:rsid w:val="00B35B72"/>
    <w:rsid w:val="00B51901"/>
    <w:rsid w:val="00BC22E6"/>
    <w:rsid w:val="00BC4FD4"/>
    <w:rsid w:val="00BD50F6"/>
    <w:rsid w:val="00C073E1"/>
    <w:rsid w:val="00C25647"/>
    <w:rsid w:val="00C27A3D"/>
    <w:rsid w:val="00C567AF"/>
    <w:rsid w:val="00C66AEA"/>
    <w:rsid w:val="00C76BA9"/>
    <w:rsid w:val="00C9040A"/>
    <w:rsid w:val="00C91E4D"/>
    <w:rsid w:val="00CB110A"/>
    <w:rsid w:val="00CB7CD0"/>
    <w:rsid w:val="00D039AF"/>
    <w:rsid w:val="00D13128"/>
    <w:rsid w:val="00D821E4"/>
    <w:rsid w:val="00D95232"/>
    <w:rsid w:val="00DA2D12"/>
    <w:rsid w:val="00DB7F50"/>
    <w:rsid w:val="00DE30C7"/>
    <w:rsid w:val="00DF400F"/>
    <w:rsid w:val="00DF48E2"/>
    <w:rsid w:val="00E15BF4"/>
    <w:rsid w:val="00E2376B"/>
    <w:rsid w:val="00E26935"/>
    <w:rsid w:val="00E27707"/>
    <w:rsid w:val="00E333C8"/>
    <w:rsid w:val="00E47D68"/>
    <w:rsid w:val="00E52B04"/>
    <w:rsid w:val="00E545CA"/>
    <w:rsid w:val="00E661B7"/>
    <w:rsid w:val="00E90A9D"/>
    <w:rsid w:val="00F2069F"/>
    <w:rsid w:val="00F51EF6"/>
    <w:rsid w:val="00F53370"/>
    <w:rsid w:val="00F62AF8"/>
    <w:rsid w:val="00F73A47"/>
    <w:rsid w:val="00F7447E"/>
    <w:rsid w:val="00F90BE2"/>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403E6E"/>
    <w:pPr>
      <w:ind w:left="720"/>
      <w:contextualSpacing/>
    </w:pPr>
  </w:style>
  <w:style w:type="character" w:styleId="FollowedHyperlink">
    <w:name w:val="FollowedHyperlink"/>
    <w:basedOn w:val="DefaultParagraphFont"/>
    <w:uiPriority w:val="99"/>
    <w:semiHidden/>
    <w:unhideWhenUsed/>
    <w:rsid w:val="00917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lt/our-work/opinions-information-reports/opinions/recommendations-organised-civil-society-address-cost-living-crisis" TargetMode="External"/><Relationship Id="rId13" Type="http://schemas.openxmlformats.org/officeDocument/2006/relationships/hyperlink" Target="https://newforum.org/en/studie/can-price-controls-be-optimal-the-economics-of-the-energy-shock-in-germany/" TargetMode="External"/><Relationship Id="rId3" Type="http://schemas.openxmlformats.org/officeDocument/2006/relationships/hyperlink" Target="https://www.eesc.europa.eu/lt/our-work/opinions-information-reports/opinions/how-single-market-dysfunctionalities-contribute-rising-cost-living" TargetMode="External"/><Relationship Id="rId7" Type="http://schemas.openxmlformats.org/officeDocument/2006/relationships/hyperlink" Target="https://www.eesc.europa.eu/lt/our-work/opinions-information-reports/opinions/price-hikes-transport-energy-and-housing-role-quality-public-services-tackling-high-cost-living" TargetMode="External"/><Relationship Id="rId12" Type="http://schemas.openxmlformats.org/officeDocument/2006/relationships/hyperlink" Target="https://newforum.org/en/studie/can-price-controls-be-optimal-the-economics-of-the-energy-shock-in-germany/" TargetMode="External"/><Relationship Id="rId17" Type="http://schemas.openxmlformats.org/officeDocument/2006/relationships/hyperlink" Target="http://data.europa.eu/eli/C/2024/884/oj" TargetMode="External"/><Relationship Id="rId2" Type="http://schemas.openxmlformats.org/officeDocument/2006/relationships/hyperlink" Target="https://www.eesc.europa.eu/lt/our-work/opinions-information-reports/opinions/leaving-crises-behind-measures-resilient-cohesive-and-inclusive-european-economy" TargetMode="External"/><Relationship Id="rId16" Type="http://schemas.openxmlformats.org/officeDocument/2006/relationships/hyperlink" Target="https://www.oecd-ilibrary.org/social-issues-migration-health/the-uneven-impact-of-high-inflation_59e2b8ae-en" TargetMode="External"/><Relationship Id="rId1" Type="http://schemas.openxmlformats.org/officeDocument/2006/relationships/hyperlink" Target="https://www.eesc.europa.eu/lt/our-work/opinions-information-reports/opinions/reindustrialisation-europe-opportunity-businesses-employees-and-citizens-context-cost-living-crisis" TargetMode="External"/><Relationship Id="rId6" Type="http://schemas.openxmlformats.org/officeDocument/2006/relationships/hyperlink" Target="https://www.eesc.europa.eu/lt/agenda/our-events/events/how-address-loss-purchasing-power-and-risk-rising-inequalities-exclusion-and-marginalization" TargetMode="External"/><Relationship Id="rId11" Type="http://schemas.openxmlformats.org/officeDocument/2006/relationships/hyperlink" Target="https://www.ecb.europa.eu/press/blog/date/2024/html/ecbblog20240523~1964e193b7.en.html" TargetMode="External"/><Relationship Id="rId5" Type="http://schemas.openxmlformats.org/officeDocument/2006/relationships/hyperlink" Target="https://www.eesc.europa.eu/lt/our-work/opinions-information-reports/opinions/fragmentation-supply-chains-and-impact-cost-living" TargetMode="External"/><Relationship Id="rId15" Type="http://schemas.openxmlformats.org/officeDocument/2006/relationships/hyperlink" Target="https://www.ecb.europa.eu/press/research-publications/resbull/2024/html/ecb.rb240220~a77abebe0e.en.html" TargetMode="External"/><Relationship Id="rId10" Type="http://schemas.openxmlformats.org/officeDocument/2006/relationships/hyperlink" Target="https://eur-lex.europa.eu/eli/C/2024/6862/oj?eliuri=eli%3AC%3A2024%3A6862%3Aoj&amp;locale=lt" TargetMode="External"/><Relationship Id="rId4" Type="http://schemas.openxmlformats.org/officeDocument/2006/relationships/hyperlink" Target="https://www.eesc.europa.eu/lt/our-work/opinions-information-reports/opinions/phasing-out-fossil-fuel-subsidies-while-ensuring-european-competitiveness-mitigating-cost-living-crisis-and-promoting" TargetMode="External"/><Relationship Id="rId9" Type="http://schemas.openxmlformats.org/officeDocument/2006/relationships/hyperlink" Target="https://commission.europa.eu/strategy-and-policy/eu-budget/motion/today_lt" TargetMode="External"/><Relationship Id="rId14" Type="http://schemas.openxmlformats.org/officeDocument/2006/relationships/hyperlink" Target="https://www.bruegel.org/dataset/inflation-inequality-european-union-and-its-driv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F7M6YNZUATRX-1659962339-6934</_dlc_DocId>
    <_dlc_DocIdUrl xmlns="59ace41b-6786-4ce3-be71-52c27066c6ef">
      <Url>http://dm/eesc/2024/_layouts/15/DocIdRedir.aspx?ID=F7M6YNZUATRX-1659962339-6934</Url>
      <Description>F7M6YNZUATRX-1659962339-6934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2025-05-05T12:00:00+00:00</ProductionDate>
    <DocumentNumber xmlns="91e51ac0-4aa1-4d5e-9a67-017d481be00b">4534</DocumentNumber>
    <FicheYear xmlns="59ace41b-6786-4ce3-be71-52c27066c6ef" xsi:nil="true"/>
    <DossierNumber xmlns="59ace41b-6786-4ce3-be71-52c27066c6ef">661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72</Value>
      <Value>66</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59ace41b-6786-4ce3-be71-52c27066c6ef">CALISTRU</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3238</FicheNumber>
    <OriginalSender xmlns="59ace41b-6786-4ce3-be71-52c27066c6ef">
      <UserInfo>
        <DisplayName>Siugzdinyte Ruta</DisplayName>
        <AccountId>1562</AccountId>
        <AccountType/>
      </UserInfo>
    </OriginalSender>
    <DocumentPart xmlns="59ace41b-6786-4ce3-be71-52c27066c6ef">0</DocumentPart>
    <AdoptionDate xmlns="59ace41b-6786-4ce3-be71-52c27066c6ef">2025-04-30T12:00:00+00:00</AdoptionDate>
    <RequestingService xmlns="59ace41b-6786-4ce3-be71-52c27066c6ef">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D4130-119B-409F-ACD0-BB2A08487476}"/>
</file>

<file path=customXml/itemProps2.xml><?xml version="1.0" encoding="utf-8"?>
<ds:datastoreItem xmlns:ds="http://schemas.openxmlformats.org/officeDocument/2006/customXml" ds:itemID="{69A3E0DC-1CCB-4362-9EE5-AAFC64281505}"/>
</file>

<file path=customXml/itemProps3.xml><?xml version="1.0" encoding="utf-8"?>
<ds:datastoreItem xmlns:ds="http://schemas.openxmlformats.org/officeDocument/2006/customXml" ds:itemID="{7C173701-633D-481A-97FB-40612A41D0B8}"/>
</file>

<file path=customXml/itemProps4.xml><?xml version="1.0" encoding="utf-8"?>
<ds:datastoreItem xmlns:ds="http://schemas.openxmlformats.org/officeDocument/2006/customXml" ds:itemID="{FEBAA16B-E690-49D2-A5FD-A0B2A837D4B2}"/>
</file>

<file path=docProps/app.xml><?xml version="1.0" encoding="utf-8"?>
<Properties xmlns="http://schemas.openxmlformats.org/officeDocument/2006/extended-properties" xmlns:vt="http://schemas.openxmlformats.org/officeDocument/2006/docPropsVTypes">
  <Template>Normal.dotm</Template>
  <TotalTime>0</TotalTime>
  <Pages>11</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EESC AC - Model</vt:lpstr>
    </vt:vector>
  </TitlesOfParts>
  <Company>CESE-CdR</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Priemonės atspariai, darniai ir įtraukiai Europos ekonomikai kurti</dc:title>
  <dc:subject>AC</dc:subject>
  <dc:creator>Francois Aude</dc:creator>
  <cp:keywords>EESC-2024-04534-00-00-AC-TRA-EN</cp:keywords>
  <dc:description>Rapporteur: CALISTRU - Original language: EN - Date of document: 05/05/2025 - Date of meeting:  - External documents:  - Administrator:  PERLAKY-TÓTH Krisztina</dc:description>
  <cp:lastModifiedBy>Siugzdinyte Ruta</cp:lastModifiedBy>
  <cp:revision>11</cp:revision>
  <dcterms:created xsi:type="dcterms:W3CDTF">2025-04-30T14:58:00Z</dcterms:created>
  <dcterms:modified xsi:type="dcterms:W3CDTF">2025-05-05T06:56:00Z</dcterms:modified>
  <cp:category>ECO/661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30/04/2025, 17/04/2024, 12/04/2024, 17/05/2022</vt:lpwstr>
  </property>
  <property fmtid="{D5CDD505-2E9C-101B-9397-08002B2CF9AE}" pid="4" name="Pref_Time">
    <vt:lpwstr>16:49:18, 09:47:22, 11:43:34, 14:58:36</vt:lpwstr>
  </property>
  <property fmtid="{D5CDD505-2E9C-101B-9397-08002B2CF9AE}" pid="5" name="Pref_User">
    <vt:lpwstr>pacup, enied, enied, enied</vt:lpwstr>
  </property>
  <property fmtid="{D5CDD505-2E9C-101B-9397-08002B2CF9AE}" pid="6" name="Pref_FileName">
    <vt:lpwstr>EESC-2024-04534-00-00-AC-TRA-EN-CRR.docx, COR-EESC-2024-01326-10-00-ADMIN-TRA-EN.docx, COR-EESC-2024-01326-10-00-ADMIN-ORI.docx, COR-EESC-2022-02592-00-00-ADMIN-ORI.docx</vt:lpwstr>
  </property>
  <property fmtid="{D5CDD505-2E9C-101B-9397-08002B2CF9AE}" pid="7" name="ContentTypeId">
    <vt:lpwstr>0x010100EA97B91038054C99906057A708A1480A0034DD74551733C243A24AB255EE6A94DB</vt:lpwstr>
  </property>
  <property fmtid="{D5CDD505-2E9C-101B-9397-08002B2CF9AE}" pid="8" name="_dlc_DocIdItemGuid">
    <vt:lpwstr>b12d3d2c-78ee-459b-af97-56856b6ffbec</vt:lpwstr>
  </property>
  <property fmtid="{D5CDD505-2E9C-101B-9397-08002B2CF9AE}" pid="9" name="AvailableTranslations">
    <vt:lpwstr>27;#SL|98a412ae-eb01-49e9-ae3d-585a81724cfc;#17;#PL|1e03da61-4678-4e07-b136-b5024ca9197b;#31;#NL|55c6556c-b4f4-441d-9acf-c498d4f838bd;#14;#FR|d2afafd3-4c81-4f60-8f52-ee33f2f54ff3;#33;#ET|ff6c3f4c-b02c-4c3c-ab07-2c37995a7a0a;#16;#DA|5d49c027-8956-412b-aa16-e85a0f96ad0e;#35;#FI|87606a43-d45f-42d6-b8c9-e1a3457db5b7;#18;#GA|762d2456-c427-4ecb-b312-af3dad8e258c;#25;#DE|f6b31e5a-26fa-4935-b661-318e46daf27e;#30;#HR|2f555653-ed1a-4fe6-8362-9082d95989e5;#34;#LT|a7ff5ce7-6123-4f68-865a-a57c31810414;#24;#ES|e7a6b05b-ae16-40c8-add9-68b64b03aeba;#22;#BG|1a1b3951-7821-4e6a-85f5-5673fc08bd2c;#37;#RO|feb747a2-64cd-4299-af12-4833ddc30497;#29;#EL|6d4f4d51-af9b-4650-94b4-4276bee85c91;#21;#SV|c2ed69e7-a339-43d7-8f22-d93680a92aa0;#23;#MT|7df99101-6854-4a26-b53a-b88c0da02c26;#43;#CS|72f9705b-0217-4fd3-bea2-cbc7ed80e26e;#32;#HU|6b229040-c589-4408-b4c1-4285663d20a8;#5;#EN|f2175f21-25d7-44a3-96da-d6a61b075e1b;#28;#LV|46f7e311-5d9f-4663-b433-18aeccb7ace7;#12;#IT|0774613c-01ed-4e5d-a25d-11d2388de825;#36;#PT|50ccc04a-eadd-42ae-a0cb-acaf45f812ba;#26;#SK|46d9fce0-ef79-4f71-b89b-cd6aa82426b8</vt:lpwstr>
  </property>
  <property fmtid="{D5CDD505-2E9C-101B-9397-08002B2CF9AE}" pid="10" name="DocumentType_0">
    <vt:lpwstr>AC|a4cc1d15-fb08-4679-ad46-e4e0cba5fe92</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4534</vt:i4>
  </property>
  <property fmtid="{D5CDD505-2E9C-101B-9397-08002B2CF9AE}" pid="14" name="DocumentVersion">
    <vt:i4>0</vt:i4>
  </property>
  <property fmtid="{D5CDD505-2E9C-101B-9397-08002B2CF9AE}" pid="15" name="DossierNumber">
    <vt:i4>661</vt:i4>
  </property>
  <property fmtid="{D5CDD505-2E9C-101B-9397-08002B2CF9AE}" pid="16" name="DocumentStatus">
    <vt:lpwstr>3;#TRA|150d2a88-1431-44e6-a8ca-0bb753ab8672</vt:lpwstr>
  </property>
  <property fmtid="{D5CDD505-2E9C-101B-9397-08002B2CF9AE}" pid="17" name="DossierName">
    <vt:lpwstr>66;#ECO|8df351f5-c957-404c-8cf3-8ffb22c9cba2</vt:lpwstr>
  </property>
  <property fmtid="{D5CDD505-2E9C-101B-9397-08002B2CF9AE}" pid="18" name="RequestingService">
    <vt:lpwstr>Union économique et monétaire et cohésion économique et sociale</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PL|1e03da61-4678-4e07-b136-b5024ca9197b;EN|f2175f21-25d7-44a3-96da-d6a61b075e1b;IT|0774613c-01ed-4e5d-a25d-11d2388de825</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66;#ECO|8df351f5-c957-404c-8cf3-8ffb22c9cba2;#12;#IT|0774613c-01ed-4e5d-a25d-11d2388de825;#8;#Final|ea5e6674-7b27-4bac-b091-73adbb394efe;#6;#Unrestricted|826e22d7-d029-4ec0-a450-0c28ff673572;#5;#EN|f2175f21-25d7-44a3-96da-d6a61b075e1b;#72;#AC|a4cc1d15-fb08-4679-ad46-e4e0cba5fe92;#3;#TRA|150d2a88-1431-44e6-a8ca-0bb753ab8672;#1;#EESC|422833ec-8d7e-4e65-8e4e-8bed07ffb729;#17;#PL|1e03da61-4678-4e07-b136-b5024ca9197b</vt:lpwstr>
  </property>
  <property fmtid="{D5CDD505-2E9C-101B-9397-08002B2CF9AE}" pid="29" name="Rapporteur">
    <vt:lpwstr>CALISTRU</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3238</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2025-04-30T12:00:00Z</vt:filetime>
  </property>
  <property fmtid="{D5CDD505-2E9C-101B-9397-08002B2CF9AE}" pid="37" name="DocumentType">
    <vt:lpwstr>72;#AC|a4cc1d15-fb08-4679-ad46-e4e0cba5fe92</vt:lpwstr>
  </property>
  <property fmtid="{D5CDD505-2E9C-101B-9397-08002B2CF9AE}" pid="38" name="DocumentLanguage">
    <vt:lpwstr>34;#LT|a7ff5ce7-6123-4f68-865a-a57c31810414</vt:lpwstr>
  </property>
  <property fmtid="{D5CDD505-2E9C-101B-9397-08002B2CF9AE}" pid="39" name="_docset_NoMedatataSyncRequired">
    <vt:lpwstr>False</vt:lpwstr>
  </property>
</Properties>
</file>