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7.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footer5.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8.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header2.xml" ContentType="application/vnd.openxmlformats-officedocument.wordprocessingml.header+xml"/>
  <Override PartName="/word/footer6.xml" ContentType="application/vnd.openxmlformats-officedocument.wordprocessingml.footer+xml"/>
  <Override PartName="/word/header1.xml" ContentType="application/vnd.openxmlformats-officedocument.wordprocessingml.header+xml"/>
  <Override PartName="/word/header9.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7.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docProps/custom.xml" ContentType="application/vnd.openxmlformats-officedocument.custom-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5000"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9289"/>
      </w:tblGrid>
      <w:tr w:rsidRPr="001F5E41" w:rsidR="00574C9B" w:rsidTr="008E4CC5" w14:paraId="4B18B74B" w14:textId="77777777">
        <w:trPr>
          <w:jc w:val="center"/>
        </w:trPr>
        <w:tc>
          <w:tcPr>
            <w:tcW w:w="5000" w:type="pct"/>
            <w:vAlign w:val="center"/>
          </w:tcPr>
          <w:p w:rsidRPr="001F5E41" w:rsidR="00574C9B" w:rsidP="006125A1" w:rsidRDefault="00574C9B" w14:paraId="4B8F14AB" w14:textId="77777777">
            <w:pPr>
              <w:jc w:val="center"/>
              <w:rPr>
                <w:b/>
                <w:sz w:val="72"/>
                <w:szCs w:val="72"/>
              </w:rPr>
            </w:pPr>
            <w:r>
              <w:rPr>
                <w:b/>
                <w:sz w:val="72"/>
              </w:rPr>
              <w:t>ATZINUMS</w:t>
            </w:r>
          </w:p>
        </w:tc>
      </w:tr>
      <w:tr w:rsidRPr="001F5E41" w:rsidR="00574C9B" w:rsidTr="008E4CC5" w14:paraId="428F80C1" w14:textId="77777777">
        <w:trPr>
          <w:trHeight w:val="567"/>
          <w:jc w:val="center"/>
        </w:trPr>
        <w:tc>
          <w:tcPr>
            <w:tcW w:w="5000" w:type="pct"/>
            <w:vAlign w:val="center"/>
          </w:tcPr>
          <w:p w:rsidRPr="001F5E41" w:rsidR="00574C9B" w:rsidP="006125A1" w:rsidRDefault="00574C9B" w14:paraId="0E3C838D" w14:textId="77777777">
            <w:pPr>
              <w:jc w:val="center"/>
              <w:rPr>
                <w:sz w:val="24"/>
                <w:szCs w:val="24"/>
              </w:rPr>
            </w:pPr>
            <w:r>
              <w:rPr>
                <w:sz w:val="24"/>
              </w:rPr>
              <w:t>Eiropas Ekonomikas un sociālo lietu komiteja</w:t>
            </w:r>
          </w:p>
        </w:tc>
      </w:tr>
      <w:tr w:rsidRPr="001F5E41" w:rsidR="00574C9B" w:rsidTr="008E4CC5" w14:paraId="5FCA7EB1" w14:textId="77777777">
        <w:trPr>
          <w:jc w:val="center"/>
        </w:trPr>
        <w:tc>
          <w:tcPr>
            <w:tcW w:w="5000" w:type="pct"/>
            <w:vAlign w:val="center"/>
          </w:tcPr>
          <w:p w:rsidRPr="001F5E41" w:rsidR="00574C9B" w:rsidP="006125A1" w:rsidRDefault="002E3B92" w14:paraId="164B3F5D" w14:textId="1083716C">
            <w:pPr>
              <w:jc w:val="center"/>
              <w:rPr>
                <w:b/>
                <w:sz w:val="44"/>
                <w:szCs w:val="44"/>
              </w:rPr>
            </w:pPr>
            <w:r>
              <w:rPr>
                <w:b/>
                <w:sz w:val="44"/>
              </w:rPr>
              <w:t>Pagaidu atbrīvojums no laika nišām lidostās Covid-19 pandēmijas dēļ</w:t>
            </w:r>
          </w:p>
        </w:tc>
      </w:tr>
      <w:tr w:rsidRPr="001F5E41" w:rsidR="00574C9B" w:rsidTr="008E4CC5" w14:paraId="0A2CA787" w14:textId="77777777">
        <w:trPr>
          <w:jc w:val="center"/>
        </w:trPr>
        <w:tc>
          <w:tcPr>
            <w:tcW w:w="5000" w:type="pct"/>
            <w:vAlign w:val="center"/>
          </w:tcPr>
          <w:p w:rsidRPr="0099123B" w:rsidR="00574C9B" w:rsidP="006125A1" w:rsidRDefault="00574C9B" w14:paraId="766B3712" w14:textId="77777777">
            <w:pPr>
              <w:overflowPunct w:val="0"/>
              <w:autoSpaceDE w:val="0"/>
              <w:autoSpaceDN w:val="0"/>
              <w:adjustRightInd w:val="0"/>
              <w:jc w:val="center"/>
              <w:textAlignment w:val="baseline"/>
              <w:rPr>
                <w:b/>
                <w:position w:val="24"/>
                <w:sz w:val="24"/>
                <w:szCs w:val="24"/>
              </w:rPr>
            </w:pPr>
            <w:r>
              <w:rPr>
                <w:sz w:val="24"/>
              </w:rPr>
              <w:t>_____________</w:t>
            </w:r>
          </w:p>
        </w:tc>
      </w:tr>
      <w:tr w:rsidRPr="001F5E41" w:rsidR="00574C9B" w:rsidTr="008E4CC5" w14:paraId="651BE820" w14:textId="77777777">
        <w:trPr>
          <w:jc w:val="center"/>
        </w:trPr>
        <w:tc>
          <w:tcPr>
            <w:tcW w:w="5000" w:type="pct"/>
            <w:vAlign w:val="center"/>
          </w:tcPr>
          <w:p w:rsidR="009F27ED" w:rsidP="001F5E41" w:rsidRDefault="002E3B92" w14:paraId="25917E9E" w14:textId="77777777">
            <w:pPr>
              <w:jc w:val="center"/>
              <w:rPr>
                <w:b/>
                <w:sz w:val="24"/>
              </w:rPr>
            </w:pPr>
            <w:bookmarkStart w:name="_GoBack" w:id="0"/>
            <w:r>
              <w:rPr>
                <w:b/>
                <w:sz w:val="24"/>
              </w:rPr>
              <w:t>Pagaidu atbrīvojums no laika nišām lidostās Covid-19 pandēmijas dēļ</w:t>
            </w:r>
            <w:bookmarkEnd w:id="0"/>
          </w:p>
          <w:p w:rsidRPr="0099123B" w:rsidR="00574C9B" w:rsidP="001F5E41" w:rsidRDefault="009F27ED" w14:paraId="6E238E6D" w14:textId="5E942C64">
            <w:pPr>
              <w:jc w:val="center"/>
              <w:rPr>
                <w:sz w:val="24"/>
                <w:szCs w:val="24"/>
              </w:rPr>
            </w:pPr>
            <w:r>
              <w:rPr>
                <w:sz w:val="24"/>
              </w:rPr>
              <w:t>[COM(2022) 334 </w:t>
            </w:r>
            <w:proofErr w:type="spellStart"/>
            <w:r w:rsidR="002E3B92">
              <w:rPr>
                <w:sz w:val="24"/>
              </w:rPr>
              <w:t>final</w:t>
            </w:r>
            <w:proofErr w:type="spellEnd"/>
            <w:r w:rsidR="002E3B92">
              <w:rPr>
                <w:sz w:val="24"/>
              </w:rPr>
              <w:t>]</w:t>
            </w:r>
          </w:p>
        </w:tc>
      </w:tr>
      <w:tr w:rsidRPr="001F5E41" w:rsidR="00574C9B" w:rsidTr="008E4CC5" w14:paraId="295584EE" w14:textId="77777777">
        <w:trPr>
          <w:jc w:val="center"/>
        </w:trPr>
        <w:tc>
          <w:tcPr>
            <w:tcW w:w="5000" w:type="pct"/>
            <w:vAlign w:val="center"/>
          </w:tcPr>
          <w:p w:rsidRPr="0099123B" w:rsidR="00574C9B" w:rsidP="006125A1" w:rsidRDefault="00574C9B" w14:paraId="7AA50FA1" w14:textId="77777777">
            <w:pPr>
              <w:jc w:val="center"/>
              <w:rPr>
                <w:sz w:val="24"/>
                <w:szCs w:val="24"/>
                <w:lang w:val="en-GB"/>
              </w:rPr>
            </w:pPr>
          </w:p>
        </w:tc>
      </w:tr>
      <w:tr w:rsidRPr="001F5E41" w:rsidR="00574C9B" w:rsidTr="008E4CC5" w14:paraId="41F47321" w14:textId="77777777">
        <w:trPr>
          <w:jc w:val="center"/>
        </w:trPr>
        <w:tc>
          <w:tcPr>
            <w:tcW w:w="5000" w:type="pct"/>
            <w:vAlign w:val="center"/>
          </w:tcPr>
          <w:p w:rsidRPr="0099123B" w:rsidR="00574C9B" w:rsidP="006125A1" w:rsidRDefault="005A53BB" w14:paraId="50D97899" w14:textId="2DA4BA1C">
            <w:pPr>
              <w:jc w:val="center"/>
              <w:rPr>
                <w:b/>
                <w:sz w:val="24"/>
                <w:szCs w:val="24"/>
              </w:rPr>
            </w:pPr>
            <w:r>
              <w:rPr>
                <w:b/>
                <w:sz w:val="24"/>
              </w:rPr>
              <w:t>TEN/787</w:t>
            </w:r>
          </w:p>
        </w:tc>
      </w:tr>
      <w:tr w:rsidRPr="001F5E41" w:rsidR="00574C9B" w:rsidTr="008E4CC5" w14:paraId="2110FDEB" w14:textId="77777777">
        <w:trPr>
          <w:jc w:val="center"/>
        </w:trPr>
        <w:tc>
          <w:tcPr>
            <w:tcW w:w="5000" w:type="pct"/>
            <w:vAlign w:val="center"/>
          </w:tcPr>
          <w:p w:rsidRPr="0099123B" w:rsidR="00574C9B" w:rsidP="006125A1" w:rsidRDefault="00574C9B" w14:paraId="59F181E4" w14:textId="77777777">
            <w:pPr>
              <w:jc w:val="center"/>
              <w:rPr>
                <w:sz w:val="24"/>
                <w:szCs w:val="24"/>
                <w:lang w:val="en-GB"/>
              </w:rPr>
            </w:pPr>
          </w:p>
        </w:tc>
      </w:tr>
      <w:tr w:rsidRPr="001F5E41" w:rsidR="00574C9B" w:rsidTr="008E4CC5" w14:paraId="5DF7EBEA" w14:textId="77777777">
        <w:trPr>
          <w:jc w:val="center"/>
        </w:trPr>
        <w:tc>
          <w:tcPr>
            <w:tcW w:w="5000" w:type="pct"/>
            <w:vAlign w:val="center"/>
          </w:tcPr>
          <w:p w:rsidRPr="0099123B" w:rsidR="00574C9B" w:rsidP="006125A1" w:rsidRDefault="002E3B92" w14:paraId="23E9DE0A" w14:textId="0B0C8C9E">
            <w:pPr>
              <w:jc w:val="center"/>
              <w:rPr>
                <w:sz w:val="24"/>
                <w:szCs w:val="24"/>
              </w:rPr>
            </w:pPr>
            <w:r>
              <w:rPr>
                <w:sz w:val="24"/>
              </w:rPr>
              <w:t xml:space="preserve">Galvenais ziņotājs: </w:t>
            </w:r>
            <w:proofErr w:type="spellStart"/>
            <w:r>
              <w:rPr>
                <w:b/>
                <w:i/>
                <w:sz w:val="24"/>
              </w:rPr>
              <w:t>Thomas</w:t>
            </w:r>
            <w:proofErr w:type="spellEnd"/>
            <w:r>
              <w:rPr>
                <w:b/>
                <w:i/>
                <w:sz w:val="24"/>
              </w:rPr>
              <w:t xml:space="preserve"> KROPP</w:t>
            </w:r>
          </w:p>
        </w:tc>
      </w:tr>
      <w:tr w:rsidRPr="001F5E41" w:rsidR="00CB7CD0" w:rsidTr="008E4CC5" w14:paraId="1AE590E4" w14:textId="77777777">
        <w:trPr>
          <w:jc w:val="center"/>
        </w:trPr>
        <w:tc>
          <w:tcPr>
            <w:tcW w:w="5000" w:type="pct"/>
            <w:vAlign w:val="center"/>
          </w:tcPr>
          <w:p w:rsidRPr="001F5E41" w:rsidR="00CB7CD0" w:rsidP="006125A1" w:rsidRDefault="00CB7CD0" w14:paraId="3CA82D7B" w14:textId="7B7B44E3">
            <w:pPr>
              <w:jc w:val="center"/>
              <w:rPr>
                <w:sz w:val="24"/>
                <w:szCs w:val="24"/>
                <w:lang w:val="en-GB"/>
              </w:rPr>
            </w:pPr>
          </w:p>
        </w:tc>
      </w:tr>
    </w:tbl>
    <w:p w:rsidRPr="001F5E41" w:rsidR="00574C9B" w:rsidP="00574C9B" w:rsidRDefault="00574C9B" w14:paraId="0B225863" w14:textId="77777777">
      <w:r>
        <w:rPr>
          <w:noProof/>
          <w:sz w:val="20"/>
          <w:lang w:val="en-US"/>
        </w:rPr>
        <mc:AlternateContent>
          <mc:Choice Requires="wps">
            <w:drawing>
              <wp:anchor distT="0" distB="0" distL="114300" distR="114300" simplePos="0" relativeHeight="251659264" behindDoc="1" locked="0" layoutInCell="0" allowOverlap="1" wp14:editId="2906E5EC" wp14:anchorId="3735E109">
                <wp:simplePos x="0" y="0"/>
                <wp:positionH relativeFrom="rightMargin">
                  <wp:posOffset>-201930</wp:posOffset>
                </wp:positionH>
                <wp:positionV relativeFrom="page">
                  <wp:posOffset>9486900</wp:posOffset>
                </wp:positionV>
                <wp:extent cx="741600" cy="432000"/>
                <wp:effectExtent l="0" t="0" r="0" b="6350"/>
                <wp:wrapNone/>
                <wp:docPr id="20"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1600" cy="432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74C9B" w:rsidP="00574C9B" w:rsidRDefault="00574C9B" w14:paraId="03B00903" w14:textId="77777777">
                            <w:pPr>
                              <w:jc w:val="center"/>
                            </w:pPr>
                            <w:r>
                              <w:rPr>
                                <w:rFonts w:ascii="Arial" w:hAnsi="Arial"/>
                                <w:b/>
                                <w:sz w:val="48"/>
                              </w:rPr>
                              <w:t>LV</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3735E109">
                <v:stroke joinstyle="miter"/>
                <v:path gradientshapeok="t" o:connecttype="rect"/>
              </v:shapetype>
              <v:shape id="Text Box 17" style="position:absolute;left:0;text-align:left;margin-left:-15.9pt;margin-top:747pt;width:58.4pt;height:34pt;z-index:-25165721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page;mso-width-percent:0;mso-height-percent:0;mso-width-relative:page;mso-height-relative:page;v-text-anchor:top" o:spid="_x0000_s1026" o:allowincell="f"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">
                <v:textbox>
                  <w:txbxContent>
                    <w:p w:rsidR="00574C9B" w:rsidP="00574C9B" w:rsidRDefault="00574C9B" w14:paraId="03B00903" w14:textId="77777777">
                      <w:pPr>
                        <w:jc w:val="center"/>
                      </w:pPr>
                      <w:r>
                        <w:rPr>
                          <w:rFonts w:ascii="Arial" w:hAnsi="Arial"/>
                          <w:b/>
                          <w:sz w:val="48"/>
                        </w:rPr>
                        <w:t>LV</w:t>
                      </w:r>
                    </w:p>
                  </w:txbxContent>
                </v:textbox>
                <w10:wrap anchorx="margin" anchory="page"/>
              </v:shape>
            </w:pict>
          </mc:Fallback>
        </mc:AlternateContent>
      </w:r>
    </w:p>
    <w:p w:rsidRPr="001F5E41" w:rsidR="00574C9B" w:rsidP="00574C9B" w:rsidRDefault="00574C9B" w14:paraId="3FA5826A" w14:textId="77777777">
      <w:pPr>
        <w:rPr>
          <w:lang w:val="en-GB"/>
        </w:rPr>
      </w:pPr>
    </w:p>
    <w:p w:rsidRPr="001F5E41" w:rsidR="00574C9B" w:rsidP="00574C9B" w:rsidRDefault="00574C9B" w14:paraId="4B88FC0A" w14:textId="77777777">
      <w:pPr>
        <w:rPr>
          <w:lang w:val="en-GB"/>
        </w:rPr>
        <w:sectPr w:rsidRPr="001F5E41" w:rsidR="00574C9B" w:rsidSect="007A601D">
          <w:headerReference w:type="even" r:id="rId11"/>
          <w:headerReference w:type="default" r:id="rId12"/>
          <w:footerReference w:type="even" r:id="rId13"/>
          <w:footerReference w:type="default" r:id="rId14"/>
          <w:headerReference w:type="first" r:id="rId15"/>
          <w:footerReference w:type="first" r:id="rId16"/>
          <w:pgSz w:w="11907" w:h="16839" w:code="9"/>
          <w:pgMar w:top="5669" w:right="1417" w:bottom="1417" w:left="1417" w:header="709" w:footer="709" w:gutter="0"/>
          <w:cols w:space="720"/>
          <w:docGrid w:linePitch="360"/>
        </w:sectPr>
      </w:pPr>
    </w:p>
    <w:tbl>
      <w:tblPr>
        <w:tblpPr w:leftFromText="181" w:rightFromText="181" w:tblpYSpec="bottom"/>
        <w:tblOverlap w:val="never"/>
        <w:tblW w:w="9289" w:type="dxa"/>
        <w:tblLayout w:type="fixed"/>
        <w:tblLook w:val="04A0" w:firstRow="1" w:lastRow="0" w:firstColumn="1" w:lastColumn="0" w:noHBand="0" w:noVBand="1"/>
      </w:tblPr>
      <w:tblGrid>
        <w:gridCol w:w="3085"/>
        <w:gridCol w:w="6204"/>
      </w:tblGrid>
      <w:tr w:rsidRPr="001F5E41" w:rsidR="00AC5114" w:rsidTr="00E15BF4" w14:paraId="025262C1" w14:textId="77777777">
        <w:tc>
          <w:tcPr>
            <w:tcW w:w="3085" w:type="dxa"/>
          </w:tcPr>
          <w:p w:rsidRPr="001F5E41" w:rsidR="00AC5114" w:rsidP="00E15BF4" w:rsidRDefault="00AC5114" w14:paraId="6139FC2C" w14:textId="77777777">
            <w:pPr>
              <w:autoSpaceDE w:val="0"/>
              <w:autoSpaceDN w:val="0"/>
              <w:jc w:val="left"/>
            </w:pPr>
            <w:r>
              <w:lastRenderedPageBreak/>
              <w:t>Atzinuma pieprasījums</w:t>
            </w:r>
          </w:p>
        </w:tc>
        <w:tc>
          <w:tcPr>
            <w:tcW w:w="6204" w:type="dxa"/>
            <w:vAlign w:val="bottom"/>
          </w:tcPr>
          <w:p w:rsidRPr="0031535F" w:rsidR="00AC5114" w:rsidP="0058411F" w:rsidRDefault="00B72DF0" w14:paraId="6C67B44F" w14:textId="70AD340B">
            <w:pPr>
              <w:autoSpaceDE w:val="0"/>
              <w:autoSpaceDN w:val="0"/>
              <w:jc w:val="left"/>
            </w:pPr>
            <w:r>
              <w:t>Eiropas Komisija, 12/7/2022</w:t>
            </w:r>
          </w:p>
          <w:p w:rsidR="007F131D" w:rsidP="0058411F" w:rsidRDefault="007F131D" w14:paraId="690F3156" w14:textId="77777777">
            <w:pPr>
              <w:autoSpaceDE w:val="0"/>
              <w:autoSpaceDN w:val="0"/>
              <w:jc w:val="left"/>
            </w:pPr>
            <w:r>
              <w:t>Eiropas Parlaments, 19/07/2022</w:t>
            </w:r>
          </w:p>
          <w:p w:rsidRPr="001F5E41" w:rsidR="00D50DC8" w:rsidP="0058411F" w:rsidRDefault="00D50DC8" w14:paraId="088C1D72" w14:textId="13A66B5A">
            <w:pPr>
              <w:autoSpaceDE w:val="0"/>
              <w:autoSpaceDN w:val="0"/>
              <w:jc w:val="left"/>
            </w:pPr>
            <w:r>
              <w:t>Padome, 04/08/2022</w:t>
            </w:r>
          </w:p>
        </w:tc>
      </w:tr>
      <w:tr w:rsidRPr="001F5E41" w:rsidR="00AC5114" w:rsidTr="00E15BF4" w14:paraId="46C189AE" w14:textId="77777777">
        <w:tc>
          <w:tcPr>
            <w:tcW w:w="3085" w:type="dxa"/>
          </w:tcPr>
          <w:p w:rsidRPr="001F5E41" w:rsidR="00AC5114" w:rsidP="0058411F" w:rsidRDefault="00AC5114" w14:paraId="2DA32C67" w14:textId="77777777">
            <w:pPr>
              <w:autoSpaceDE w:val="0"/>
              <w:autoSpaceDN w:val="0"/>
              <w:jc w:val="left"/>
              <w:rPr>
                <w:szCs w:val="20"/>
              </w:rPr>
            </w:pPr>
            <w:r>
              <w:t>Juridiskais pamats</w:t>
            </w:r>
          </w:p>
        </w:tc>
        <w:tc>
          <w:tcPr>
            <w:tcW w:w="6204" w:type="dxa"/>
            <w:vAlign w:val="bottom"/>
          </w:tcPr>
          <w:p w:rsidRPr="001F5E41" w:rsidR="00AC5114" w:rsidP="0058411F" w:rsidRDefault="00B72DF0" w14:paraId="67EB3E4A" w14:textId="3EC97165">
            <w:pPr>
              <w:autoSpaceDE w:val="0"/>
              <w:autoSpaceDN w:val="0"/>
              <w:jc w:val="left"/>
              <w:rPr>
                <w:szCs w:val="20"/>
              </w:rPr>
            </w:pPr>
            <w:r>
              <w:t>Līguma par Eiropas Savienības darbību 100. panta 2. punkts un 304. pants</w:t>
            </w:r>
          </w:p>
        </w:tc>
      </w:tr>
      <w:tr w:rsidRPr="001F5E41" w:rsidR="00AC5114" w:rsidTr="00E15BF4" w14:paraId="0E2099A6" w14:textId="77777777">
        <w:tc>
          <w:tcPr>
            <w:tcW w:w="3085" w:type="dxa"/>
          </w:tcPr>
          <w:p w:rsidRPr="001F5E41" w:rsidR="00AC5114" w:rsidP="0058411F" w:rsidRDefault="00AC5114" w14:paraId="0BC68BA5" w14:textId="77777777">
            <w:pPr>
              <w:autoSpaceDE w:val="0"/>
              <w:autoSpaceDN w:val="0"/>
              <w:jc w:val="left"/>
            </w:pPr>
            <w:r>
              <w:t>Atbildīgā specializētā nodaļa</w:t>
            </w:r>
          </w:p>
        </w:tc>
        <w:tc>
          <w:tcPr>
            <w:tcW w:w="6204" w:type="dxa"/>
            <w:vAlign w:val="bottom"/>
          </w:tcPr>
          <w:p w:rsidRPr="001F5E41" w:rsidR="00AC5114" w:rsidP="0058411F" w:rsidRDefault="00B72DF0" w14:paraId="5AE7EA9E" w14:textId="3C9EE3CE">
            <w:pPr>
              <w:autoSpaceDE w:val="0"/>
              <w:autoSpaceDN w:val="0"/>
              <w:jc w:val="left"/>
            </w:pPr>
            <w:r>
              <w:t>Transporta, enerģētikas, infrastruktūras un informācijas sabiedrības specializētā nodaļa</w:t>
            </w:r>
          </w:p>
        </w:tc>
      </w:tr>
      <w:tr w:rsidRPr="001F5E41" w:rsidR="0058411F" w:rsidTr="00E15BF4" w14:paraId="7AE47B93" w14:textId="77777777">
        <w:tc>
          <w:tcPr>
            <w:tcW w:w="3085" w:type="dxa"/>
          </w:tcPr>
          <w:p w:rsidRPr="001F5E41" w:rsidR="0058411F" w:rsidP="0058411F" w:rsidRDefault="0058411F" w14:paraId="26DE3092" w14:textId="77777777">
            <w:pPr>
              <w:autoSpaceDE w:val="0"/>
              <w:autoSpaceDN w:val="0"/>
              <w:jc w:val="left"/>
            </w:pPr>
            <w:r>
              <w:t>Pieņemts plenārsesijā</w:t>
            </w:r>
          </w:p>
        </w:tc>
        <w:tc>
          <w:tcPr>
            <w:tcW w:w="6204" w:type="dxa"/>
            <w:vAlign w:val="bottom"/>
          </w:tcPr>
          <w:p w:rsidRPr="001F5E41" w:rsidR="0058411F" w:rsidP="0058411F" w:rsidRDefault="003D5A04" w14:paraId="34FA2183" w14:textId="4FE1B2F4">
            <w:pPr>
              <w:autoSpaceDE w:val="0"/>
              <w:autoSpaceDN w:val="0"/>
              <w:jc w:val="left"/>
            </w:pPr>
            <w:r>
              <w:t>21/09/2022</w:t>
            </w:r>
          </w:p>
        </w:tc>
      </w:tr>
      <w:tr w:rsidRPr="001F5E41" w:rsidR="0058411F" w:rsidTr="00E15BF4" w14:paraId="2FE8AE44" w14:textId="77777777">
        <w:tc>
          <w:tcPr>
            <w:tcW w:w="3085" w:type="dxa"/>
          </w:tcPr>
          <w:p w:rsidRPr="001F5E41" w:rsidR="0058411F" w:rsidP="0058411F" w:rsidRDefault="0058411F" w14:paraId="2A65A034" w14:textId="77777777">
            <w:pPr>
              <w:autoSpaceDE w:val="0"/>
              <w:autoSpaceDN w:val="0"/>
              <w:jc w:val="left"/>
            </w:pPr>
            <w:r>
              <w:t>Plenārsesija Nr.</w:t>
            </w:r>
          </w:p>
        </w:tc>
        <w:tc>
          <w:tcPr>
            <w:tcW w:w="6204" w:type="dxa"/>
            <w:vAlign w:val="bottom"/>
          </w:tcPr>
          <w:p w:rsidRPr="001F5E41" w:rsidR="0058411F" w:rsidP="0058411F" w:rsidRDefault="003D5A04" w14:paraId="17BFB0A7" w14:textId="209B287D">
            <w:pPr>
              <w:autoSpaceDE w:val="0"/>
              <w:autoSpaceDN w:val="0"/>
              <w:jc w:val="left"/>
            </w:pPr>
            <w:r>
              <w:t>572</w:t>
            </w:r>
          </w:p>
        </w:tc>
      </w:tr>
      <w:tr w:rsidRPr="001F5E41" w:rsidR="0058411F" w:rsidTr="00E15BF4" w14:paraId="3889B17A" w14:textId="77777777">
        <w:tc>
          <w:tcPr>
            <w:tcW w:w="3085" w:type="dxa"/>
          </w:tcPr>
          <w:p w:rsidRPr="001F5E41" w:rsidR="0058411F" w:rsidP="0058411F" w:rsidRDefault="0058411F" w14:paraId="0C723801" w14:textId="77777777">
            <w:pPr>
              <w:autoSpaceDE w:val="0"/>
              <w:autoSpaceDN w:val="0"/>
              <w:jc w:val="left"/>
            </w:pPr>
            <w:r>
              <w:t>Balsojuma rezultāts</w:t>
            </w:r>
            <w:r>
              <w:br/>
              <w:t>(par / pret / atturas)</w:t>
            </w:r>
          </w:p>
        </w:tc>
        <w:tc>
          <w:tcPr>
            <w:tcW w:w="6204" w:type="dxa"/>
            <w:vAlign w:val="bottom"/>
          </w:tcPr>
          <w:p w:rsidRPr="001F5E41" w:rsidR="0058411F" w:rsidP="0058411F" w:rsidRDefault="003D5A04" w14:paraId="14DB34EA" w14:textId="7B6D01D2">
            <w:pPr>
              <w:autoSpaceDE w:val="0"/>
              <w:autoSpaceDN w:val="0"/>
              <w:jc w:val="left"/>
            </w:pPr>
            <w:r>
              <w:t>143/1/2</w:t>
            </w:r>
          </w:p>
        </w:tc>
      </w:tr>
    </w:tbl>
    <w:p w:rsidRPr="001F5E41" w:rsidR="00AC5114" w:rsidP="00574C9B" w:rsidRDefault="00AC5114" w14:paraId="156A5F34" w14:textId="77777777">
      <w:pPr>
        <w:rPr>
          <w:lang w:val="en-GB"/>
        </w:rPr>
      </w:pPr>
    </w:p>
    <w:p w:rsidRPr="001F5E41" w:rsidR="00AC5114" w:rsidP="00574C9B" w:rsidRDefault="00AC5114" w14:paraId="2CD3051D" w14:textId="77777777">
      <w:pPr>
        <w:rPr>
          <w:lang w:val="en-GB"/>
        </w:rPr>
        <w:sectPr w:rsidRPr="001F5E41" w:rsidR="00AC5114" w:rsidSect="007A601D">
          <w:headerReference w:type="even" r:id="rId17"/>
          <w:headerReference w:type="default" r:id="rId18"/>
          <w:footerReference w:type="default" r:id="rId19"/>
          <w:headerReference w:type="first" r:id="rId20"/>
          <w:pgSz w:w="11907" w:h="16839" w:code="9"/>
          <w:pgMar w:top="5669" w:right="1418" w:bottom="1418" w:left="1418" w:header="709" w:footer="709" w:gutter="0"/>
          <w:cols w:space="720"/>
          <w:docGrid w:linePitch="360"/>
        </w:sectPr>
      </w:pPr>
    </w:p>
    <w:p w:rsidRPr="001F5E41" w:rsidR="002E3B92" w:rsidP="009F27ED" w:rsidRDefault="002E3B92" w14:paraId="554E1E48" w14:textId="4C9B6919">
      <w:pPr>
        <w:pStyle w:val="Heading1"/>
        <w:keepNext/>
        <w:tabs>
          <w:tab w:val="left" w:pos="567"/>
        </w:tabs>
        <w:overflowPunct w:val="0"/>
        <w:autoSpaceDE w:val="0"/>
        <w:autoSpaceDN w:val="0"/>
        <w:adjustRightInd w:val="0"/>
        <w:rPr>
          <w:b/>
          <w:bCs/>
        </w:rPr>
      </w:pPr>
      <w:r>
        <w:rPr>
          <w:b/>
        </w:rPr>
        <w:lastRenderedPageBreak/>
        <w:t>Secinājumi un ieteikumi</w:t>
      </w:r>
    </w:p>
    <w:p w:rsidRPr="001F5E41" w:rsidR="002E3B92" w:rsidRDefault="002E3B92" w14:paraId="30EC88CC" w14:textId="77777777">
      <w:pPr>
        <w:keepNext/>
        <w:ind w:left="567" w:hanging="567"/>
        <w:jc w:val="left"/>
        <w:rPr>
          <w:lang w:val="en-GB"/>
        </w:rPr>
      </w:pPr>
    </w:p>
    <w:p w:rsidRPr="001F5E41" w:rsidR="002E3B92" w:rsidP="009F27ED" w:rsidRDefault="002E3B92" w14:paraId="7D48CF60" w14:textId="77777777">
      <w:pPr>
        <w:pStyle w:val="Heading2"/>
      </w:pPr>
      <w:r>
        <w:t>EESK norāda, ka aviācija nodrošina ES iekšējo un starptautisko savienojamību, kas ir būtisks priekšnoteikums tirdzniecībai un tūrismam un līdz ar to arī Eiropas ekonomiskajai labklājībai. Aviācijas nozari joprojām negatīvi ietekmē dažādās sekas, ko rada vairākas smagas globālās krīzes, piemēram, Covid-19 pandēmija, vairāku Eiropas tirdzniecības partneru (it īpaši Ķīnas) gaisa telpas slēgšana, Ukrainā notiekošais karš, inflācijas palielināšanās, pieaugošā globālās lejupslīdes varbūtība un darbaspēka trūkums vairākās ekonomikas nozarēs. Citi pasaules reģioni rūpīgi raugās, kā Eiropas aviācija risina šīs problēmas. Kaimiņu centri Stambulā, Dubaijā, Dohā un Londonā izmantos savā labā Eiropas transporta mezglu un Eiropas pārvadātāju, kas darbojas starptautiskos tīklos, ierobežoto konkurētspēju. Tāpēc EESK ir konsekventi norādījusi, ka neviens no regulatīvajiem pasākumiem, kas ietekmē aviāciju, nedrīkst ietekmēt Eiropas konkurētspēju starptautiskā mērogā. Ja pasažieru plūsmas tiktu novirzītas no Eiropā esošajiem starptautiskajiem savienojumiem un lidojumi uz starptautiskiem galamērķiem tiktu veikti, izmantojot centrus ārpus ES, tas kaitētu videi un Eiropā nodarbinātajiem darba ņēmējiem. Ierosinātie grozījumi regulā par laika nišām ir jāskata arī plašākā kontekstā.</w:t>
      </w:r>
    </w:p>
    <w:p w:rsidRPr="001F5E41" w:rsidR="002E3B92" w:rsidRDefault="002E3B92" w14:paraId="6D488AD6" w14:textId="77777777">
      <w:pPr>
        <w:ind w:left="567" w:hanging="567"/>
        <w:rPr>
          <w:lang w:val="en-GB"/>
        </w:rPr>
      </w:pPr>
    </w:p>
    <w:p w:rsidRPr="001F5E41" w:rsidR="002E3B92" w:rsidP="009F27ED" w:rsidRDefault="002E3B92" w14:paraId="1303226A" w14:textId="77777777">
      <w:pPr>
        <w:pStyle w:val="Heading2"/>
        <w:tabs>
          <w:tab w:val="num" w:pos="567"/>
        </w:tabs>
      </w:pPr>
      <w:r>
        <w:t>Regula (EEK) Nr. 95/93</w:t>
      </w:r>
      <w:r w:rsidRPr="001F5E41">
        <w:rPr>
          <w:rStyle w:val="FootnoteReference"/>
          <w:lang w:val="en-GB"/>
        </w:rPr>
        <w:footnoteReference w:id="1"/>
      </w:r>
      <w:r>
        <w:t xml:space="preserve"> paredz procedūras un noteikumus attiecībā uz laika nišu piešķiršanu ES lidostās. Minētās regulas 10. pantā ir norādīts, ka gaisa pārvadātājiem noteiktā sarakstu periodā jāizmanto vismaz 80 % no piešķirtajām laika nišām, lai saglabātu tās pašas laika nišas nākamā gada attiecīgajā sarakstu periodā (“Laika nišu regula”).</w:t>
      </w:r>
    </w:p>
    <w:p w:rsidRPr="001F5E41" w:rsidR="002E3B92" w:rsidRDefault="002E3B92" w14:paraId="7A4BFAEB" w14:textId="77777777">
      <w:pPr>
        <w:ind w:left="567" w:hanging="567"/>
        <w:rPr>
          <w:lang w:val="en-GB"/>
        </w:rPr>
      </w:pPr>
    </w:p>
    <w:p w:rsidRPr="001F5E41" w:rsidR="002E3B92" w:rsidP="009F27ED" w:rsidRDefault="002E3B92" w14:paraId="4FE61556" w14:textId="36CB3983">
      <w:pPr>
        <w:pStyle w:val="Heading2"/>
        <w:tabs>
          <w:tab w:val="num" w:pos="567"/>
        </w:tabs>
      </w:pPr>
      <w:r>
        <w:t>Ņemot vērā pandēmijas negaidītos apmērus un ilgumu, Komisija kopš tās uzliesmojuma ir divreiz grozījusi Laika nišu regulu, lai efektīvi apturētu noteikumu “izmanto vai zaudē” un piešķirtu Komisijai deleģētās pilnvaras reaģēt uz negaidītām turpmākām norisēm. Šo laika nišu atvieglojumu pasākumu termiņš beigsies 2022. gada 29. oktobrī, un Komisijas deleģētās pilnvaras j</w:t>
      </w:r>
      <w:r w:rsidR="009F27ED">
        <w:t>au bija beigušās 2022. gada 21. </w:t>
      </w:r>
      <w:r>
        <w:t>februārī. Tagad ir steidzami vajadzīga papildu pārskatīšana un jāveic papildu pielāgojumi, lai atspoguļotu tirgus realitāti.</w:t>
      </w:r>
    </w:p>
    <w:p w:rsidRPr="001F5E41" w:rsidR="002E3B92" w:rsidRDefault="002E3B92" w14:paraId="48CD69C5" w14:textId="77777777">
      <w:pPr>
        <w:ind w:left="567" w:hanging="567"/>
        <w:rPr>
          <w:lang w:val="en-GB"/>
        </w:rPr>
      </w:pPr>
    </w:p>
    <w:p w:rsidRPr="001F5E41" w:rsidR="002E3B92" w:rsidP="009F27ED" w:rsidRDefault="002E3B92" w14:paraId="0B5F8921" w14:textId="77777777">
      <w:pPr>
        <w:pStyle w:val="Heading2"/>
        <w:tabs>
          <w:tab w:val="num" w:pos="567"/>
        </w:tabs>
      </w:pPr>
      <w:r>
        <w:t xml:space="preserve">Pamatojoties uz </w:t>
      </w:r>
      <w:r w:rsidRPr="009F27ED">
        <w:rPr>
          <w:i/>
        </w:rPr>
        <w:t>EUROCONTROL</w:t>
      </w:r>
      <w:r>
        <w:t xml:space="preserve"> prognozēm, Komisija pieņem, ka aviācijas tirgus pakāpeniski atgūsies līdz pirmspandēmijas līmenim, tomēr šis pieņēmums varētu būt pārāk optimistisks</w:t>
      </w:r>
      <w:r w:rsidRPr="001F5E41">
        <w:rPr>
          <w:rStyle w:val="FootnoteReference"/>
          <w:lang w:val="en-GB"/>
        </w:rPr>
        <w:footnoteReference w:id="2"/>
      </w:r>
      <w:r>
        <w:t>. EESK uzskata, ka priekšlikumā, lai gan tā nodoms ir labs, trūkst nepieciešamo aizsardzības pasākumu, lai izvairītos no neparedzētiem šķēršļiem Eiropas konkurētspējai.</w:t>
      </w:r>
    </w:p>
    <w:p w:rsidRPr="001F5E41" w:rsidR="002E3B92" w:rsidP="009F27ED" w:rsidRDefault="002E3B92" w14:paraId="6B1C734E" w14:textId="77777777">
      <w:pPr>
        <w:pStyle w:val="Heading2"/>
        <w:numPr>
          <w:ilvl w:val="0"/>
          <w:numId w:val="0"/>
        </w:numPr>
        <w:tabs>
          <w:tab w:val="num" w:pos="567"/>
        </w:tabs>
        <w:ind w:left="567" w:hanging="567"/>
        <w:rPr>
          <w:lang w:val="en-GB"/>
        </w:rPr>
      </w:pPr>
    </w:p>
    <w:p w:rsidRPr="001F5E41" w:rsidR="002E3B92" w:rsidP="009F27ED" w:rsidRDefault="002E3B92" w14:paraId="3D8059A4" w14:textId="77777777">
      <w:pPr>
        <w:pStyle w:val="Heading2"/>
        <w:tabs>
          <w:tab w:val="num" w:pos="567"/>
        </w:tabs>
      </w:pPr>
      <w:r>
        <w:t>EESK atzinīgi vērtē šā jaunā Komisijas priekšlikuma mērķi saglabāt pēc iespējas lielāku konkurētspēju aviācijas tirgū. Tomēr Komisijas veiktā tirgus analīze, kā arī tās prognozētā tirgus attīstība nākamajās trīs sezonās nav pietiekami stabila, lai izskaidrotu vai pat pamatotu ierosināto atgriešanos pie 80:20 noteikuma. EESK nepiekrīt Komisijas argumentam, ka aviācijas tirgus atgriežas pie “ierastās” darbības. Ņemot vērā Komisijas datus, zemāka robežvērtība, piemēram, 70:30, būtu piemērotāka līdz brīdim, kad tirgus stabilizēsies.</w:t>
      </w:r>
    </w:p>
    <w:p w:rsidRPr="001F5E41" w:rsidR="002E3B92" w:rsidP="0031535F" w:rsidRDefault="002E3B92" w14:paraId="7FFBCE67" w14:textId="1D8A6EEC">
      <w:pPr>
        <w:pStyle w:val="Heading2"/>
        <w:numPr>
          <w:ilvl w:val="0"/>
          <w:numId w:val="0"/>
        </w:numPr>
        <w:ind w:left="567" w:hanging="567"/>
        <w:rPr>
          <w:lang w:val="en-GB"/>
        </w:rPr>
      </w:pPr>
    </w:p>
    <w:p w:rsidRPr="001F5E41" w:rsidR="002E3B92" w:rsidP="009F27ED" w:rsidRDefault="002E3B92" w14:paraId="7A2A3FD9" w14:textId="77777777">
      <w:pPr>
        <w:pStyle w:val="Heading2"/>
        <w:tabs>
          <w:tab w:val="num" w:pos="567"/>
        </w:tabs>
      </w:pPr>
      <w:r>
        <w:lastRenderedPageBreak/>
        <w:t>EESK atzinīgi vērtē Komisijas priekšlikumu paplašināt pamatotas laika nišu neizmantošanas (</w:t>
      </w:r>
      <w:r>
        <w:rPr>
          <w:i/>
        </w:rPr>
        <w:t>JNUS</w:t>
      </w:r>
      <w:r>
        <w:t xml:space="preserve">) darbības jomu, attiecinot to arī uz politiskiem nemieriem un dabas katastrofām, ja šie apstākļi noved pie skaidri aprakstītiem ierobežojumiem aviācijā. Tomēr EESK nav pārliecināta, ka ierosinātie pašreizējās </w:t>
      </w:r>
      <w:r>
        <w:rPr>
          <w:i/>
        </w:rPr>
        <w:t>JNUS</w:t>
      </w:r>
      <w:r>
        <w:t xml:space="preserve"> sistēmas grozījumi ir pamatoti. Komisijas paredzētās procedūras rada nevajadzīgu sarežģītību. Faktiski atkāpes no pašreizējām procedūrām vairs nevar kvalificēt kā ārkārtas pasākumus, tādējādi radot juridisku nenoteiktību laikā, kad visai nozarei ir ļoti nepieciešams stabils tiesiskais regulējums.</w:t>
      </w:r>
    </w:p>
    <w:p w:rsidRPr="001F5E41" w:rsidR="002E3B92" w:rsidP="009F27ED" w:rsidRDefault="002E3B92" w14:paraId="41E0608B" w14:textId="77777777">
      <w:pPr>
        <w:tabs>
          <w:tab w:val="num" w:pos="567"/>
        </w:tabs>
        <w:ind w:left="567" w:hanging="567"/>
        <w:rPr>
          <w:lang w:val="en-GB"/>
        </w:rPr>
      </w:pPr>
    </w:p>
    <w:p w:rsidRPr="001F5E41" w:rsidR="002E3B92" w:rsidP="009F27ED" w:rsidRDefault="002E3B92" w14:paraId="57E47FF3" w14:textId="77777777">
      <w:pPr>
        <w:pStyle w:val="Heading2"/>
        <w:tabs>
          <w:tab w:val="num" w:pos="567"/>
        </w:tabs>
      </w:pPr>
      <w:r>
        <w:t>EESK atbalsta priekšlikumu uzlabot laika nišu piešķiršanas pārredzamību, stiprinot Eiropas Lidostu koordinatoru asociācijas lomu un ieviešot pienākumu koordinatoriem publicēt informāciju par galamērķiem, uz kuriem attiecas izņēmumi.</w:t>
      </w:r>
    </w:p>
    <w:p w:rsidRPr="001F5E41" w:rsidR="002E3B92" w:rsidP="009F27ED" w:rsidRDefault="002E3B92" w14:paraId="740D63BE" w14:textId="77777777">
      <w:pPr>
        <w:tabs>
          <w:tab w:val="num" w:pos="567"/>
        </w:tabs>
        <w:ind w:left="567" w:hanging="567"/>
        <w:rPr>
          <w:lang w:val="en-GB"/>
        </w:rPr>
      </w:pPr>
    </w:p>
    <w:p w:rsidRPr="001F5E41" w:rsidR="002E3B92" w:rsidP="009F27ED" w:rsidRDefault="002E3B92" w14:paraId="40B86164" w14:textId="77777777">
      <w:pPr>
        <w:pStyle w:val="Heading2"/>
        <w:tabs>
          <w:tab w:val="num" w:pos="567"/>
        </w:tabs>
      </w:pPr>
      <w:r>
        <w:t>EESK atzinīgi vērtē ierosinātos pasākumus, kuru mērķis ir mazināt Krievijas militārās agresijas Ukrainā pašreizējo un paredzamo ietekmi uz Eiropas aviāciju. Tomēr Komisijas pieņēmumi, ka parastos noteikumus var īstenot četrus mēnešus pēc karadarbības beigām, šķiet pārāk optimistiski.</w:t>
      </w:r>
    </w:p>
    <w:p w:rsidRPr="001F5E41" w:rsidR="002E3B92" w:rsidP="009F27ED" w:rsidRDefault="002E3B92" w14:paraId="7C7D0C6C" w14:textId="77777777">
      <w:pPr>
        <w:tabs>
          <w:tab w:val="num" w:pos="567"/>
        </w:tabs>
        <w:ind w:left="567" w:hanging="567"/>
        <w:rPr>
          <w:lang w:val="en-GB"/>
        </w:rPr>
      </w:pPr>
    </w:p>
    <w:p w:rsidRPr="001F5E41" w:rsidR="002E3B92" w:rsidP="009F27ED" w:rsidRDefault="002E3B92" w14:paraId="645275EE" w14:textId="77777777">
      <w:pPr>
        <w:pStyle w:val="Heading2"/>
        <w:tabs>
          <w:tab w:val="num" w:pos="567"/>
        </w:tabs>
      </w:pPr>
      <w:r>
        <w:t xml:space="preserve">Lai arī EESK pilnībā atbalsta Komisijas nodomus, Komiteja uzskata, ka, neraugoties uz acīmredzamajiem laika ierobežojumiem, būtu bijis nepieciešams veikt ietekmes novērtējumu(IN), lai labāk novērtētu ierosināto pašreizējās Laika nišu regulas grozījumu ietekmi. Tā kā ietekmes novērtējuma un līdz ar to šāda pamatojuma nav, Komisija balstās uz </w:t>
      </w:r>
      <w:r w:rsidRPr="009F27ED">
        <w:rPr>
          <w:i/>
        </w:rPr>
        <w:t>EUROCONTROL</w:t>
      </w:r>
      <w:r>
        <w:t xml:space="preserve"> prognozēm, kas ne vienmēr atspoguļo pašreizējo tirgus attīstības tendenču sarežģītību.</w:t>
      </w:r>
    </w:p>
    <w:p w:rsidRPr="001F5E41" w:rsidR="002E3B92" w:rsidP="009F27ED" w:rsidRDefault="002E3B92" w14:paraId="4A831E7A" w14:textId="77777777">
      <w:pPr>
        <w:tabs>
          <w:tab w:val="num" w:pos="567"/>
        </w:tabs>
        <w:ind w:left="567" w:hanging="567"/>
        <w:rPr>
          <w:lang w:val="en-GB"/>
        </w:rPr>
      </w:pPr>
    </w:p>
    <w:p w:rsidRPr="001F5E41" w:rsidR="002E3B92" w:rsidP="009F27ED" w:rsidRDefault="002E3B92" w14:paraId="23350131" w14:textId="2C5C0441">
      <w:pPr>
        <w:pStyle w:val="Heading2"/>
        <w:tabs>
          <w:tab w:val="num" w:pos="567"/>
        </w:tabs>
        <w:overflowPunct w:val="0"/>
        <w:autoSpaceDE w:val="0"/>
        <w:autoSpaceDN w:val="0"/>
        <w:adjustRightInd w:val="0"/>
      </w:pPr>
      <w:r>
        <w:t>Ietekmes novērtējums ir nepieciešams ne tikai tāpēc, lai pamatotu izmaiņas spēkā esošajā Laika nišu regulā. EESK jau ir norādījusi</w:t>
      </w:r>
      <w:r w:rsidRPr="001F5E41">
        <w:rPr>
          <w:rStyle w:val="FootnoteReference"/>
          <w:lang w:val="en-GB"/>
        </w:rPr>
        <w:footnoteReference w:id="3"/>
      </w:r>
      <w:r>
        <w:t>, ka ES pasākumi būtu cieši jākoordinē ar Pasaules Aviokompāniju laika nišu padomi (</w:t>
      </w:r>
      <w:r>
        <w:rPr>
          <w:i/>
        </w:rPr>
        <w:t>WASB</w:t>
      </w:r>
      <w:r>
        <w:t>), lai izvairītos no atšķirīgām pieejām vienam un tam pašam jautājumam dažādos pasaules reģionos.</w:t>
      </w:r>
    </w:p>
    <w:p w:rsidRPr="001F5E41" w:rsidR="002E3B92" w:rsidP="0031535F" w:rsidRDefault="002E3B92" w14:paraId="437B8A98" w14:textId="77777777">
      <w:pPr>
        <w:pStyle w:val="Heading2"/>
        <w:numPr>
          <w:ilvl w:val="0"/>
          <w:numId w:val="0"/>
        </w:numPr>
        <w:overflowPunct w:val="0"/>
        <w:autoSpaceDE w:val="0"/>
        <w:autoSpaceDN w:val="0"/>
        <w:adjustRightInd w:val="0"/>
        <w:ind w:left="567" w:hanging="567"/>
        <w:rPr>
          <w:lang w:val="en-GB"/>
        </w:rPr>
      </w:pPr>
    </w:p>
    <w:p w:rsidRPr="001F5E41" w:rsidR="002E3B92" w:rsidRDefault="002E3B92" w14:paraId="7580C23B" w14:textId="77777777">
      <w:pPr>
        <w:pStyle w:val="Heading2"/>
        <w:tabs>
          <w:tab w:val="num" w:pos="360"/>
        </w:tabs>
        <w:overflowPunct w:val="0"/>
        <w:autoSpaceDE w:val="0"/>
        <w:autoSpaceDN w:val="0"/>
        <w:adjustRightInd w:val="0"/>
      </w:pPr>
      <w:r>
        <w:t>Pašreizējās globālās krīzes jāskata kontekstā ar to kumulatīvo ietekmi uz starptautisko aviāciju. Ņemot vērā grūtības patlaban ierobežot šo ietekmi, EESK uzskata, ka Komisijai priekšlikums būtu jāpārskata ar mērķi pēc iespējas minimizēt spēkā esošo noteikumu grozījumus, lai saglabātu to kā “ārkārtas noteikumu” raksturu. Pašreizējā ārkārtas situācija nekādā gadījumā nav mazinājusies, un tādēļ ārkārtas noteikumi būtu jāpagarina vismaz uz Komisijas paredzēto laikposmu, bet plānot tādus grozījumus, kādus ierosinājusi Komisija, šķiet pāragri.</w:t>
      </w:r>
    </w:p>
    <w:p w:rsidRPr="001F5E41" w:rsidR="002E3B92" w:rsidP="0031535F" w:rsidRDefault="002E3B92" w14:paraId="67A8498B" w14:textId="77777777">
      <w:pPr>
        <w:pStyle w:val="Heading2"/>
        <w:numPr>
          <w:ilvl w:val="0"/>
          <w:numId w:val="0"/>
        </w:numPr>
        <w:ind w:left="567" w:hanging="567"/>
        <w:rPr>
          <w:lang w:val="en-GB"/>
        </w:rPr>
      </w:pPr>
    </w:p>
    <w:p w:rsidRPr="001F5E41" w:rsidR="002E3B92" w:rsidP="009F27ED" w:rsidRDefault="002E3B92" w14:paraId="3E1A39EE" w14:textId="77777777">
      <w:pPr>
        <w:pStyle w:val="Heading1"/>
        <w:keepNext/>
        <w:tabs>
          <w:tab w:val="num" w:pos="567"/>
        </w:tabs>
        <w:overflowPunct w:val="0"/>
        <w:autoSpaceDE w:val="0"/>
        <w:autoSpaceDN w:val="0"/>
        <w:adjustRightInd w:val="0"/>
        <w:rPr>
          <w:bCs/>
        </w:rPr>
      </w:pPr>
      <w:r>
        <w:rPr>
          <w:b/>
        </w:rPr>
        <w:t>Vispārīgas piezīmes</w:t>
      </w:r>
    </w:p>
    <w:p w:rsidRPr="001F5E41" w:rsidR="002E3B92" w:rsidRDefault="002E3B92" w14:paraId="0F2D3089" w14:textId="77777777">
      <w:pPr>
        <w:keepNext/>
        <w:ind w:left="567" w:hanging="567"/>
        <w:rPr>
          <w:lang w:val="en-GB"/>
        </w:rPr>
      </w:pPr>
    </w:p>
    <w:p w:rsidRPr="001F5E41" w:rsidR="002E3B92" w:rsidP="009F27ED" w:rsidRDefault="002E3B92" w14:paraId="53ABBFC6" w14:textId="77777777">
      <w:pPr>
        <w:pStyle w:val="Heading2"/>
        <w:tabs>
          <w:tab w:val="num" w:pos="567"/>
        </w:tabs>
        <w:overflowPunct w:val="0"/>
        <w:autoSpaceDE w:val="0"/>
        <w:autoSpaceDN w:val="0"/>
        <w:adjustRightInd w:val="0"/>
      </w:pPr>
      <w:r>
        <w:t>Komisija paskaidrojuma rakstā izklāsta, ka, pielāgojot Laika nišu regulu, regulējuma uzdevums ir nodrošināt to laika nišu izmantošanu, attiecībā uz kurām pastāv senākās tiesības. Komisija divreiz ir grozījusi regulu, lai pielāgotu noteikumu “izmanto vai zaudē”. Komisija saņēma arī deleģētās pilnvaras grozīt laika nišu izmantošanas robežvērtību, ņemot vērā pastāvīgo pieprasījuma samazināšanos.</w:t>
      </w:r>
    </w:p>
    <w:p w:rsidRPr="001F5E41" w:rsidR="002E3B92" w:rsidRDefault="002E3B92" w14:paraId="7EE8FE1F" w14:textId="77777777">
      <w:pPr>
        <w:ind w:left="567" w:hanging="567"/>
        <w:rPr>
          <w:lang w:val="en-GB"/>
        </w:rPr>
      </w:pPr>
    </w:p>
    <w:p w:rsidRPr="001F5E41" w:rsidR="002E3B92" w:rsidP="009F27ED" w:rsidRDefault="002E3B92" w14:paraId="4B69DA61" w14:textId="28B44C92">
      <w:pPr>
        <w:pStyle w:val="Heading2"/>
        <w:tabs>
          <w:tab w:val="num" w:pos="567"/>
        </w:tabs>
      </w:pPr>
      <w:r>
        <w:lastRenderedPageBreak/>
        <w:t>Šo laika nišu atvieglojumu pasākumu termiņš beigsies 2022. gada 29. oktobrī, un Komisijas deleģētās pilnvaras jau bija beigušās 2022. gada 21.</w:t>
      </w:r>
      <w:r w:rsidR="009F27ED">
        <w:t> </w:t>
      </w:r>
      <w:r>
        <w:t xml:space="preserve">februārī. Attiecībā uz pamatnoteikumu “izmanto vai zaudē” Komisija tagad ierosina atjaunot standarta laika nišu izmantošanas likmi 80 % apmērā no 2022. gada 29. oktobra. Komisijas apsvērumu pamatā ir tas, ka 2022. gada jūnijā </w:t>
      </w:r>
      <w:r w:rsidRPr="009F27ED">
        <w:rPr>
          <w:i/>
        </w:rPr>
        <w:t>EUROCONTROL</w:t>
      </w:r>
      <w:r>
        <w:t xml:space="preserve"> prognozēja, ka 2022.–2023. gada ziemas sezonā satiksmes apjomi sasniegs 90 % no 2019. gada līmeņa.</w:t>
      </w:r>
    </w:p>
    <w:p w:rsidRPr="001F5E41" w:rsidR="002E3B92" w:rsidP="009F27ED" w:rsidRDefault="002E3B92" w14:paraId="36EBA377" w14:textId="77777777">
      <w:pPr>
        <w:tabs>
          <w:tab w:val="num" w:pos="567"/>
        </w:tabs>
        <w:ind w:left="567" w:hanging="567"/>
        <w:rPr>
          <w:lang w:val="en-GB"/>
        </w:rPr>
      </w:pPr>
    </w:p>
    <w:p w:rsidRPr="001F5E41" w:rsidR="002E3B92" w:rsidP="009F27ED" w:rsidRDefault="002E3B92" w14:paraId="08EAD91C" w14:textId="246E1545">
      <w:pPr>
        <w:pStyle w:val="Heading2"/>
        <w:tabs>
          <w:tab w:val="num" w:pos="567"/>
        </w:tabs>
      </w:pPr>
      <w:r>
        <w:t>Komiteju šī argumentācija nepārliecina. Krievijas militārās agresijas pret Ukrainu rezultātā ir ievērojami palielinājušies militārie lidojumi, kā arī ir pārvirzīti pārlidojumi, bet šie lidojumi neietekmē laika nišu piešķiršanu. Turklāt ir jānošķir kravu gaisa pārvadājumi, kas krīzes laikā nav ievērojami samazinājušies, un pasažieru pārvadājumi, kas ir samazinājušies. Pasažieru pārvadājumu tirgū ir nepieciešama papildus diferenciācija: pateicoties ES Covid-19 sertifikātam, Eiropas iekšējā satiksme ir daudz ātrāk atveseļojusies līdz pirmspandēmijas līmenim, tomēr iekšzemes gaisa satiksme un tālsatiksmes lidojumi atrodas dažādos atveseļošanās posmos. Paredzams, ka darījumu klientu satiksme atgūsies daudz lēnāk nekā atpūtas satiksme</w:t>
      </w:r>
      <w:r w:rsidRPr="001F5E41">
        <w:rPr>
          <w:rStyle w:val="FootnoteReference"/>
          <w:lang w:val="en-GB"/>
        </w:rPr>
        <w:footnoteReference w:id="4"/>
      </w:r>
      <w:r>
        <w:t xml:space="preserve">. Tas nekādā gadījumā nenozīmē, ka atpūtas satiksme konsekventi atveseļosies; daļu no šā pieauguma var saistīt ar lielo pieprasījumu pēc brīvdienām pēc diviem Covid-19 pandēmijas gadiem. Lielākie Eiropā esošie tīkla pārvadātāji savās flotēs vēl nav atgriezuši darbībā savus lielos tālsatiksmes gaisa kuģus </w:t>
      </w:r>
      <w:proofErr w:type="spellStart"/>
      <w:r w:rsidR="009F27ED">
        <w:rPr>
          <w:i/>
        </w:rPr>
        <w:t>Airbus</w:t>
      </w:r>
      <w:proofErr w:type="spellEnd"/>
      <w:r w:rsidR="009F27ED">
        <w:rPr>
          <w:i/>
        </w:rPr>
        <w:t> </w:t>
      </w:r>
      <w:r>
        <w:rPr>
          <w:i/>
        </w:rPr>
        <w:t>380</w:t>
      </w:r>
      <w:r>
        <w:t xml:space="preserve"> tieši tāpēc, ka aviokompānijas saskaras ar augstām degvielas izmaksām un negaida ievērojamu un pastāvīgu satiksmes pieprasījuma pieaugumu. Ieinteresēto personu sniegtie dati liecina: paredzams, ka satiksmes plūsmas palielināsies līdz 90 % no 2019. gada līmeņa, bet pasažieru pārvadājumu pieprasījums tikai līdz 78 %. Ja gaisa kuģu izmantojuma līmenis ir zemāks, var sagaidīt, ka aviosabiedrības, piemēram, apvienos vairākus lidojumus dienā, lai saglabātu rentablus lidojumus</w:t>
      </w:r>
      <w:r w:rsidRPr="001F5E41">
        <w:rPr>
          <w:rStyle w:val="FootnoteReference"/>
          <w:lang w:val="en-GB"/>
        </w:rPr>
        <w:footnoteReference w:id="5"/>
      </w:r>
      <w:r>
        <w:t xml:space="preserve">. Pieprasījumu ietekmēs pieaugošais inflācijas līmenis un pieaugošais recesijas risks vairākās valstīs. Tāpēc prognozes nebūtu jābalsta uz reģioniem, kuros ir vislabākā atveseļošanās, bet tajās būtu jāatspoguļo arī īpaši smagi skartie </w:t>
      </w:r>
      <w:proofErr w:type="spellStart"/>
      <w:r>
        <w:t>apakštirgi</w:t>
      </w:r>
      <w:proofErr w:type="spellEnd"/>
      <w:r>
        <w:t>.</w:t>
      </w:r>
    </w:p>
    <w:p w:rsidRPr="001F5E41" w:rsidR="002E3B92" w:rsidRDefault="002E3B92" w14:paraId="3497C896" w14:textId="77777777">
      <w:pPr>
        <w:rPr>
          <w:lang w:val="en-GB"/>
        </w:rPr>
      </w:pPr>
    </w:p>
    <w:p w:rsidRPr="001F5E41" w:rsidR="002E3B92" w:rsidP="009F27ED" w:rsidRDefault="002E3B92" w14:paraId="3DF6EBEC" w14:textId="77777777">
      <w:pPr>
        <w:pStyle w:val="Heading2"/>
        <w:tabs>
          <w:tab w:val="num" w:pos="567"/>
        </w:tabs>
      </w:pPr>
      <w:r>
        <w:t xml:space="preserve">Šo faktoru dēļ EESK uzskata, ka aviācijas tirgus atveseļošanās var būt sarežģītāka, nekā to uzskata Komisija. Tirgus segmenti joprojām atgūstas dažādos ātrumos: kravas pārvadājumi – 6 % salīdzinājumā ar 2019. gada līmeni; zemo cenu pārvadājumi –9 % un pārvadājumi tīklā– 21%. Tas ir vēl jo svarīgāk, jo sliekšņi attiecas uz visām laika nišu sērijām, kas nozīmē, ka laika nišu sērijām (piemēram, visnoslogotākajos lidojumu laikos) ir jāpārsniedz 80 % slieksnis. Pirmspandēmijas periodos laika nišu izmantošanas līmenis bija 95 %, un zemākais laika nišu izmantošanas līmenis bija 80 %. Ja </w:t>
      </w:r>
      <w:r w:rsidRPr="009F27ED">
        <w:rPr>
          <w:i/>
        </w:rPr>
        <w:t>EUROCONTROL</w:t>
      </w:r>
      <w:r>
        <w:t xml:space="preserve"> prognozē vidējo laika nišu izmantošanas līmeni 90 % apmērā, ir jāpieņem, ka laika nišu sērijās tas (vidēji) nesasniegs 80 %. Šo iemeslu dēļ ir pāragri atgriezties pie 80:20 robežvērtībām. Šķiet, ka ir piemērotāk pieņemt attiecību 70:30, līdz būs pieejami pārliecinošāki dati, lai pamatotu ilgtspējīgu tirgus atveseļošanos. Būtu arī jānorāda, ka problēmas, ar kurām saskaras Eiropas lidostas, skaidri parāda, ka Covid-19 pandēmijas sekas vēl nav novērstas. Lielākie ES transporta mezgli, piemēram, Frankfurte un gaisa satiksmes mezgli ārpus ES, piemēram, Londonas Hītrova, ir ierobežojuši lidojumus uz un </w:t>
      </w:r>
      <w:r>
        <w:lastRenderedPageBreak/>
        <w:t>no šīm lidostām, lai mēģinātu mazināt spiedienu uz gaisa satiksmes darbībām šajās lidostās, tādējādi izraisot lidojumu masveida atcelšanu. Šādu spriedzi ir izraisījuši vairāki dažādi mainīgie lielumi, piemēram, darbinieku trūkums. Tas liecina par to, ka vēl nav iespējams sasniegt laika nišu izmantošanas pirmspandēmijas robežvērtības</w:t>
      </w:r>
      <w:r w:rsidRPr="001F5E41">
        <w:rPr>
          <w:rStyle w:val="FootnoteReference"/>
          <w:lang w:val="en-GB"/>
        </w:rPr>
        <w:footnoteReference w:id="6"/>
      </w:r>
      <w:r>
        <w:t>.</w:t>
      </w:r>
    </w:p>
    <w:p w:rsidRPr="001F5E41" w:rsidR="002E3B92" w:rsidRDefault="002E3B92" w14:paraId="44C596E0" w14:textId="77777777">
      <w:pPr>
        <w:ind w:left="567" w:hanging="567"/>
        <w:rPr>
          <w:lang w:val="en-GB"/>
        </w:rPr>
      </w:pPr>
    </w:p>
    <w:p w:rsidRPr="001F5E41" w:rsidR="002E3B92" w:rsidP="009F27ED" w:rsidRDefault="002E3B92" w14:paraId="6B39D68E" w14:textId="77777777">
      <w:pPr>
        <w:pStyle w:val="Heading2"/>
        <w:tabs>
          <w:tab w:val="num" w:pos="567"/>
        </w:tabs>
      </w:pPr>
      <w:r>
        <w:t>Līmenis 70:30 atbilstu Apvienotās Karalistes valdības pieņemtajām robežvērtībām un pamatojumam</w:t>
      </w:r>
      <w:r w:rsidRPr="001F5E41">
        <w:rPr>
          <w:rStyle w:val="FootnoteReference"/>
          <w:lang w:val="en-GB"/>
        </w:rPr>
        <w:footnoteReference w:id="7"/>
      </w:r>
      <w:r>
        <w:t xml:space="preserve">. Lai gan aviokompāniju nozare to nopietni kritizēja, EESK uzskata, ka tas nodrošina pamatotu līdzsvaru līdz varēs atgriezties pie </w:t>
      </w:r>
      <w:proofErr w:type="spellStart"/>
      <w:r>
        <w:rPr>
          <w:i/>
        </w:rPr>
        <w:t>quo</w:t>
      </w:r>
      <w:proofErr w:type="spellEnd"/>
      <w:r>
        <w:rPr>
          <w:i/>
        </w:rPr>
        <w:t xml:space="preserve"> </w:t>
      </w:r>
      <w:proofErr w:type="spellStart"/>
      <w:r>
        <w:rPr>
          <w:i/>
        </w:rPr>
        <w:t>ante</w:t>
      </w:r>
      <w:proofErr w:type="spellEnd"/>
      <w:r>
        <w:rPr>
          <w:i/>
        </w:rPr>
        <w:t xml:space="preserve"> </w:t>
      </w:r>
      <w:r>
        <w:t>statusa, bet vienlaikus atzīst, ka, ņemot vērā pašreizējās nopietnās problēmas, ar kurām saskaras nozare, joprojām ir nepieciešams (kaut arī samazināts) laika nišu aizsardzības līmenis. Turklāt, piemērojot šādu pieeju, ES Laika nišu regulas robežvērtības tiek saskaņotas ar kaimiņvalstu politiku un tiek nodrošināti vienlīdzīgi konkurences apstākļi ES pārvadātāju centriem un Londonas Hītrovas lidostai, kas ir Eiropas lielākais starptautiskais mezgls.</w:t>
      </w:r>
    </w:p>
    <w:p w:rsidRPr="001F5E41" w:rsidR="002E3B92" w:rsidP="009F27ED" w:rsidRDefault="002E3B92" w14:paraId="24E8F4DB" w14:textId="77777777">
      <w:pPr>
        <w:tabs>
          <w:tab w:val="num" w:pos="567"/>
        </w:tabs>
        <w:ind w:left="567" w:hanging="567"/>
        <w:rPr>
          <w:lang w:val="en-GB"/>
        </w:rPr>
      </w:pPr>
    </w:p>
    <w:p w:rsidRPr="001F5E41" w:rsidR="002E3B92" w:rsidP="009F27ED" w:rsidRDefault="002E3B92" w14:paraId="1806455C" w14:textId="77777777">
      <w:pPr>
        <w:pStyle w:val="Heading2"/>
        <w:tabs>
          <w:tab w:val="num" w:pos="567"/>
        </w:tabs>
        <w:overflowPunct w:val="0"/>
        <w:autoSpaceDE w:val="0"/>
        <w:autoSpaceDN w:val="0"/>
        <w:adjustRightInd w:val="0"/>
      </w:pPr>
      <w:r>
        <w:t xml:space="preserve">Turklāt Komisija ierosina, ka laikposmā no 2022. gada 29. oktobra līdz 2024. gada 26. martam tā, pieņemot deleģētos aktus, jebkurā laikā var neatkarīgi pielāgot laika nišu izmantošanas līmeni robežās no 0 % līdz 70 %, ar nosacījumu, ka </w:t>
      </w:r>
      <w:r w:rsidRPr="009F27ED">
        <w:rPr>
          <w:i/>
        </w:rPr>
        <w:t>EUROCONTROL</w:t>
      </w:r>
      <w:r>
        <w:t xml:space="preserve"> dati liecina, ka iknedēļas gaisa satiksme četrās secīgās nedēļās ir mazāka par 80 % salīdzinājumā ar attiecīgajām nedēļām 2019. gadā un ka satiksmes samazinājums, visticamāk, turpināsies. Komisija arī ierosina, ka tad, ja valsts iestādes ievieš ierobežojumus, kas paredzēti epidemioloģiskās situācijas, politisko nemieru vai dabas katastrofu novēršanai – un tikai tad, ja tie negatīvi ietekmē gaisa satiksmi –, aviosabiedrības var izmantot laika nišu neizmantošanas (</w:t>
      </w:r>
      <w:r>
        <w:rPr>
          <w:i/>
        </w:rPr>
        <w:t>JNUS</w:t>
      </w:r>
      <w:r>
        <w:t>) izņēmumus.</w:t>
      </w:r>
    </w:p>
    <w:p w:rsidRPr="001F5E41" w:rsidR="002E3B92" w:rsidP="009F27ED" w:rsidRDefault="002E3B92" w14:paraId="439F9F0E" w14:textId="77777777">
      <w:pPr>
        <w:tabs>
          <w:tab w:val="num" w:pos="567"/>
        </w:tabs>
        <w:ind w:left="567" w:hanging="567"/>
        <w:rPr>
          <w:lang w:val="en-GB"/>
        </w:rPr>
      </w:pPr>
    </w:p>
    <w:p w:rsidRPr="001F5E41" w:rsidR="002E3B92" w:rsidP="009F27ED" w:rsidRDefault="002E3B92" w14:paraId="5DA5C49C" w14:textId="77777777">
      <w:pPr>
        <w:pStyle w:val="Heading2"/>
        <w:tabs>
          <w:tab w:val="num" w:pos="567"/>
        </w:tabs>
        <w:overflowPunct w:val="0"/>
        <w:autoSpaceDE w:val="0"/>
        <w:autoSpaceDN w:val="0"/>
        <w:adjustRightInd w:val="0"/>
      </w:pPr>
      <w:r>
        <w:t>EESK atbalsta Komisijas centienus nodrošināt, ka skaidri noteiktos ārkārtas apstākļos tā var elastīgi un pārredzami izmantot deleģētos aktus, lai pielāgotu laika nišu izmantošanas līmeņa aprēķinus un tādējādi pielāgotu laika nišu aizsardzības robežvērtības. Tomēr jaunajā projektā vairākos aspektos šis mērķis nav sasniegts.</w:t>
      </w:r>
    </w:p>
    <w:p w:rsidRPr="001F5E41" w:rsidR="002E3B92" w:rsidRDefault="002E3B92" w14:paraId="3B747D6C" w14:textId="77777777">
      <w:pPr>
        <w:ind w:left="567" w:hanging="567"/>
        <w:rPr>
          <w:lang w:val="en-GB"/>
        </w:rPr>
      </w:pPr>
    </w:p>
    <w:p w:rsidRPr="001F5E41" w:rsidR="002E3B92" w:rsidP="009F27ED" w:rsidRDefault="002E3B92" w14:paraId="7EFC6F86" w14:textId="77777777">
      <w:pPr>
        <w:pStyle w:val="Heading2"/>
        <w:numPr>
          <w:ilvl w:val="2"/>
          <w:numId w:val="1"/>
        </w:numPr>
        <w:tabs>
          <w:tab w:val="num" w:pos="360"/>
          <w:tab w:val="left" w:pos="567"/>
        </w:tabs>
        <w:overflowPunct w:val="0"/>
        <w:autoSpaceDE w:val="0"/>
        <w:autoSpaceDN w:val="0"/>
        <w:adjustRightInd w:val="0"/>
        <w:ind w:left="567" w:hanging="567"/>
      </w:pPr>
      <w:r>
        <w:t xml:space="preserve">Pretēji Komisijas viedoklim EESK uzskata, ka aviokompānijām vajadzētu būt iespējai izmantot </w:t>
      </w:r>
      <w:r>
        <w:rPr>
          <w:i/>
        </w:rPr>
        <w:t>JNUS</w:t>
      </w:r>
      <w:r>
        <w:t xml:space="preserve"> izņēmumus arī gadījumos, kad publiskās iestādes iesaka atturēties no ceļošanas. Pat ja brīdinājumiem par ceļošanu nav tūlītējas juridiskas ietekmes, tie, iespējams, ietekmē pieprasījumu pēc gaisa satiksmes, un šis apstāklis būtu pienācīgi jāatspoguļo.</w:t>
      </w:r>
    </w:p>
    <w:p w:rsidRPr="001F5E41" w:rsidR="002E3B92" w:rsidP="009F27ED" w:rsidRDefault="002E3B92" w14:paraId="354F58F9" w14:textId="77777777">
      <w:pPr>
        <w:tabs>
          <w:tab w:val="left" w:pos="567"/>
        </w:tabs>
        <w:ind w:left="567" w:hanging="567"/>
        <w:rPr>
          <w:lang w:val="en-GB"/>
        </w:rPr>
      </w:pPr>
    </w:p>
    <w:p w:rsidRPr="001F5E41" w:rsidR="002E3B92" w:rsidP="009F27ED" w:rsidRDefault="002E3B92" w14:paraId="40151482" w14:textId="77777777">
      <w:pPr>
        <w:pStyle w:val="Heading2"/>
        <w:numPr>
          <w:ilvl w:val="2"/>
          <w:numId w:val="1"/>
        </w:numPr>
        <w:tabs>
          <w:tab w:val="num" w:pos="360"/>
          <w:tab w:val="left" w:pos="567"/>
        </w:tabs>
        <w:overflowPunct w:val="0"/>
        <w:autoSpaceDE w:val="0"/>
        <w:autoSpaceDN w:val="0"/>
        <w:adjustRightInd w:val="0"/>
        <w:ind w:left="567" w:hanging="567"/>
      </w:pPr>
      <w:r>
        <w:t>Turklāt EESK uzskata, ka – pirms tiek veikti jebkādi koriģējoši pasākumi – prasība četras nedēļas pēc kārtas uzraudzīt iknedēļas gaisa satiksmes plūsmas ir pārmērīgi apgrūtinoša un varētu nevajadzīgi aizkavēt regulatīvo iejaukšanos. Nepamatota četru nedēļu monitoringa fāze šķiet patvaļīga. Daudz svarīgāk ir nodrošināt lēmumu pieņemšanas procesa pārredzamību.</w:t>
      </w:r>
    </w:p>
    <w:p w:rsidRPr="001F5E41" w:rsidR="002E3B92" w:rsidRDefault="002E3B92" w14:paraId="03C0A715" w14:textId="77777777">
      <w:pPr>
        <w:ind w:left="567" w:hanging="567"/>
        <w:rPr>
          <w:lang w:val="en-GB"/>
        </w:rPr>
      </w:pPr>
    </w:p>
    <w:p w:rsidRPr="001F5E41" w:rsidR="002E3B92" w:rsidP="009F27ED" w:rsidRDefault="002E3B92" w14:paraId="10D67AAB" w14:textId="77777777">
      <w:pPr>
        <w:pStyle w:val="Heading2"/>
        <w:numPr>
          <w:ilvl w:val="2"/>
          <w:numId w:val="1"/>
        </w:numPr>
        <w:tabs>
          <w:tab w:val="num" w:pos="567"/>
        </w:tabs>
        <w:overflowPunct w:val="0"/>
        <w:autoSpaceDE w:val="0"/>
        <w:autoSpaceDN w:val="0"/>
        <w:adjustRightInd w:val="0"/>
        <w:ind w:left="567" w:hanging="567"/>
      </w:pPr>
      <w:r>
        <w:lastRenderedPageBreak/>
        <w:t xml:space="preserve">EESK iesaka </w:t>
      </w:r>
      <w:r>
        <w:rPr>
          <w:i/>
        </w:rPr>
        <w:t>JNUS</w:t>
      </w:r>
      <w:r>
        <w:t xml:space="preserve"> noteikumu piemērot izlidošanas un ielidošanas lidostā; tās ir cieši saistītas kā lidostu pāris, un tas būtu jāņem vērā, atjaunojot iepriekšējo laika nišu portfeli konkrētos maršrutos. Komisija pašlaik to neparedz kā obligātu prasību.</w:t>
      </w:r>
    </w:p>
    <w:p w:rsidRPr="001F5E41" w:rsidR="002E3B92" w:rsidP="009F27ED" w:rsidRDefault="002E3B92" w14:paraId="0F2CA1C7" w14:textId="77777777">
      <w:pPr>
        <w:tabs>
          <w:tab w:val="num" w:pos="567"/>
        </w:tabs>
        <w:ind w:left="567" w:hanging="567"/>
        <w:rPr>
          <w:lang w:val="en-GB"/>
        </w:rPr>
      </w:pPr>
    </w:p>
    <w:p w:rsidRPr="001F5E41" w:rsidR="002E3B92" w:rsidP="009F27ED" w:rsidRDefault="002E3B92" w14:paraId="3E4716DA" w14:textId="5FEADBC7">
      <w:pPr>
        <w:pStyle w:val="Heading2"/>
        <w:numPr>
          <w:ilvl w:val="2"/>
          <w:numId w:val="1"/>
        </w:numPr>
        <w:tabs>
          <w:tab w:val="num" w:pos="567"/>
        </w:tabs>
        <w:overflowPunct w:val="0"/>
        <w:autoSpaceDE w:val="0"/>
        <w:autoSpaceDN w:val="0"/>
        <w:adjustRightInd w:val="0"/>
        <w:ind w:left="567" w:hanging="567"/>
      </w:pPr>
      <w:r>
        <w:t>Komisija nav pietiekami pamatojusi, kāpēc būtu jāgroza laika nišu izmantošanas līmeņa aprēķins: Laika nišu regulas 10. panta 4. punktā ir paredzēts, ka aizsargātas laika nišas aprēķinos uzskata par izmantotām laika nišām, savukārt Komisija tagad ierosina tās neņemt vērā. Komisija bez papildu pierādījumiem pieņem, ka parastos laika nišu noteikumus varēs atjaunot 16 nedēļas pēc Ukrainas gaisa telpas atkārtotas atvēršanas. Tas šķiet pārāk optimistiski, ņemot vērā notiekošo karadarbību, infrastruktūras iznīcināšanas pakāpi un neskaidrības, kas saistītas ar abu pušu vienošanās satu</w:t>
      </w:r>
      <w:r w:rsidR="009F27ED">
        <w:t>ru un stabilitāti. Šķiet, ka 16 </w:t>
      </w:r>
      <w:r>
        <w:t>nedēļas ir patvaļīgi noteikts skaitlis, kam nevajadzētu būt par pamatu reglamentējošam lēmumam “atgriezties normālā režīmā”.</w:t>
      </w:r>
    </w:p>
    <w:p w:rsidRPr="001F5E41" w:rsidR="002E3B92" w:rsidRDefault="002E3B92" w14:paraId="48446E94" w14:textId="77777777">
      <w:pPr>
        <w:rPr>
          <w:lang w:val="en-GB"/>
        </w:rPr>
      </w:pPr>
    </w:p>
    <w:p w:rsidRPr="001F5E41" w:rsidR="002E3B92" w:rsidP="009F27ED" w:rsidRDefault="002E3B92" w14:paraId="04530540" w14:textId="77777777">
      <w:pPr>
        <w:pStyle w:val="Heading2"/>
        <w:tabs>
          <w:tab w:val="num" w:pos="567"/>
        </w:tabs>
        <w:overflowPunct w:val="0"/>
        <w:autoSpaceDE w:val="0"/>
        <w:autoSpaceDN w:val="0"/>
        <w:adjustRightInd w:val="0"/>
      </w:pPr>
      <w:r>
        <w:t>EESK ir konsekventi atbalstījusi Komisijas centienus Laika nišu regulu pēc iespējas vairāk saskaņot ar starptautisko praksi un politiku. Visas attiecīgās ieinteresētās personas piedalās apspriedēs par to, kā laika nišu noteikumus pielāgot krīzēm, ar kurām saskaras tirgus.</w:t>
      </w:r>
    </w:p>
    <w:p w:rsidRPr="001F5E41" w:rsidR="002E3B92" w:rsidP="009F27ED" w:rsidRDefault="002E3B92" w14:paraId="7FFD27C9" w14:textId="77777777">
      <w:pPr>
        <w:tabs>
          <w:tab w:val="num" w:pos="567"/>
        </w:tabs>
        <w:ind w:left="567" w:hanging="567"/>
        <w:rPr>
          <w:lang w:val="en-GB"/>
        </w:rPr>
      </w:pPr>
    </w:p>
    <w:p w:rsidRPr="001F5E41" w:rsidR="002E3B92" w:rsidP="009F27ED" w:rsidRDefault="002E3B92" w14:paraId="2DEC4B6C" w14:textId="77777777">
      <w:pPr>
        <w:pStyle w:val="Heading2"/>
        <w:tabs>
          <w:tab w:val="num" w:pos="567"/>
        </w:tabs>
        <w:overflowPunct w:val="0"/>
        <w:autoSpaceDE w:val="0"/>
        <w:autoSpaceDN w:val="0"/>
        <w:adjustRightInd w:val="0"/>
      </w:pPr>
      <w:r>
        <w:t>EESK atzinīgi vērtē Komisijas ierosinātos uzlabojumus attiecībā uz laika nišu koordinatoru sadarbības veidu. Procesa pārredzamības uzlabošana ļauj izvairīties no nevajadzīgas neskaidrības visiem tirgus dalībniekiem.</w:t>
      </w:r>
    </w:p>
    <w:p w:rsidRPr="001F5E41" w:rsidR="008F3770" w:rsidRDefault="008F3770" w14:paraId="0DD910F6" w14:textId="77777777">
      <w:pPr>
        <w:ind w:left="567" w:hanging="567"/>
        <w:rPr>
          <w:lang w:val="en-GB"/>
        </w:rPr>
      </w:pPr>
    </w:p>
    <w:p w:rsidRPr="0031535F" w:rsidR="008F3770" w:rsidRDefault="008F3770" w14:paraId="6838C2B3" w14:textId="77777777">
      <w:r>
        <w:t>Briselē, 2022. gada 21. septembrī</w:t>
      </w:r>
    </w:p>
    <w:p w:rsidRPr="001F5E41" w:rsidR="002E3B92" w:rsidRDefault="002E3B92" w14:paraId="391766C0" w14:textId="0933FE5A">
      <w:pPr>
        <w:ind w:left="567" w:hanging="567"/>
        <w:rPr>
          <w:lang w:val="en-GB"/>
        </w:rPr>
      </w:pPr>
    </w:p>
    <w:p w:rsidRPr="001F5E41" w:rsidR="001F5E41" w:rsidRDefault="001F5E41" w14:paraId="2AB18AC7" w14:textId="5C8288FD">
      <w:pPr>
        <w:ind w:left="567" w:hanging="567"/>
        <w:rPr>
          <w:lang w:val="en-GB"/>
        </w:rPr>
      </w:pPr>
    </w:p>
    <w:p w:rsidR="001F5E41" w:rsidRDefault="001F5E41" w14:paraId="16CE4B26" w14:textId="0C68299F">
      <w:pPr>
        <w:ind w:left="567" w:hanging="567"/>
        <w:rPr>
          <w:lang w:val="en-GB"/>
        </w:rPr>
      </w:pPr>
    </w:p>
    <w:p w:rsidRPr="001F5E41" w:rsidR="009F27ED" w:rsidRDefault="009F27ED" w14:paraId="13117BAD" w14:textId="77777777">
      <w:pPr>
        <w:ind w:left="567" w:hanging="567"/>
        <w:rPr>
          <w:lang w:val="en-GB"/>
        </w:rPr>
      </w:pPr>
    </w:p>
    <w:p w:rsidR="0099123B" w:rsidRDefault="00705098" w14:paraId="68D9A939" w14:textId="287A4FF2">
      <w:pPr>
        <w:tabs>
          <w:tab w:val="left" w:pos="4618"/>
        </w:tabs>
        <w:jc w:val="left"/>
      </w:pPr>
      <w:proofErr w:type="spellStart"/>
      <w:r>
        <w:t>Christa</w:t>
      </w:r>
      <w:proofErr w:type="spellEnd"/>
      <w:r>
        <w:t xml:space="preserve"> SCHWENG</w:t>
      </w:r>
    </w:p>
    <w:p w:rsidRPr="001F5E41" w:rsidR="002E3B92" w:rsidRDefault="00705098" w14:paraId="51CDA3D9" w14:textId="7759C117">
      <w:pPr>
        <w:tabs>
          <w:tab w:val="left" w:pos="4618"/>
        </w:tabs>
        <w:jc w:val="left"/>
      </w:pPr>
      <w:r>
        <w:t>Eiropas Ekonomikas un sociālo lietu komitejas priekšsēdētāja</w:t>
      </w:r>
    </w:p>
    <w:p w:rsidRPr="001F5E41" w:rsidR="001F5E41" w:rsidP="008A7D4D" w:rsidRDefault="001F5E41" w14:paraId="13F80FDB" w14:textId="62D264C5">
      <w:pPr>
        <w:overflowPunct w:val="0"/>
        <w:autoSpaceDE w:val="0"/>
        <w:autoSpaceDN w:val="0"/>
        <w:adjustRightInd w:val="0"/>
        <w:jc w:val="center"/>
        <w:textAlignment w:val="baseline"/>
      </w:pPr>
      <w:r>
        <w:t>_____________</w:t>
      </w:r>
    </w:p>
    <w:sectPr w:rsidRPr="001F5E41" w:rsidR="001F5E41" w:rsidSect="001F5E41">
      <w:headerReference w:type="even" r:id="rId21"/>
      <w:headerReference w:type="default" r:id="rId22"/>
      <w:footerReference w:type="even" r:id="rId23"/>
      <w:footerReference w:type="default" r:id="rId24"/>
      <w:headerReference w:type="first" r:id="rId25"/>
      <w:footerReference w:type="first" r:id="rId26"/>
      <w:pgSz w:w="11906" w:h="16838"/>
      <w:pgMar w:top="1417" w:right="1417" w:bottom="1417" w:left="1417" w:header="709" w:footer="709" w:gutter="0"/>
      <w:pgNumType w:start="1"/>
      <w:cols w:space="720"/>
      <w:formProt w:val="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2B3FFC1" w14:textId="77777777" w:rsidR="004C260A" w:rsidRDefault="004C260A" w:rsidP="00F53370">
      <w:pPr>
        <w:spacing w:line="240" w:lineRule="auto"/>
      </w:pPr>
      <w:r>
        <w:separator/>
      </w:r>
    </w:p>
  </w:endnote>
  <w:endnote w:type="continuationSeparator" w:id="0">
    <w:p w14:paraId="2D244D7E" w14:textId="77777777" w:rsidR="004C260A" w:rsidRDefault="004C260A" w:rsidP="00F5337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6D951A" w14:textId="77777777" w:rsidR="007A601D" w:rsidRDefault="007A601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A72935" w14:textId="77777777" w:rsidR="007A601D" w:rsidRDefault="007A601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36D496" w14:textId="77777777" w:rsidR="007A601D" w:rsidRDefault="007A601D">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2FD4BD" w14:textId="77777777" w:rsidR="00574C9B" w:rsidRDefault="00574C9B">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03EEDE" w14:textId="77777777" w:rsidR="000C1E5C" w:rsidRPr="009A116D" w:rsidRDefault="006167D2" w:rsidP="009A116D">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3C78C1" w14:textId="77B7364D" w:rsidR="000C1E5C" w:rsidRPr="009A116D" w:rsidRDefault="007A601D" w:rsidP="007A601D">
    <w:pPr>
      <w:pStyle w:val="Footer"/>
      <w:jc w:val="left"/>
    </w:pPr>
    <w:r>
      <w:t xml:space="preserve">TEN/787 – EESC-2022-03866-00-02-AC-TRA (EN) </w:t>
    </w:r>
    <w:r>
      <w:fldChar w:fldCharType="begin"/>
    </w:r>
    <w:r>
      <w:instrText xml:space="preserve"> PAGE  \* Arabic  \* MERGEFORMAT </w:instrText>
    </w:r>
    <w:r>
      <w:fldChar w:fldCharType="separate"/>
    </w:r>
    <w:r w:rsidR="008920E1">
      <w:rPr>
        <w:noProof/>
      </w:rPr>
      <w:t>1</w:t>
    </w:r>
    <w:r>
      <w:fldChar w:fldCharType="end"/>
    </w:r>
    <w:r>
      <w:t>/</w:t>
    </w:r>
    <w:r>
      <w:fldChar w:fldCharType="begin"/>
    </w:r>
    <w:r>
      <w:instrText xml:space="preserve"> = </w:instrText>
    </w:r>
    <w:r w:rsidR="006167D2">
      <w:fldChar w:fldCharType="begin"/>
    </w:r>
    <w:r w:rsidR="006167D2">
      <w:instrText xml:space="preserve"> NUMPAGES </w:instrText>
    </w:r>
    <w:r w:rsidR="006167D2">
      <w:fldChar w:fldCharType="separate"/>
    </w:r>
    <w:r w:rsidR="008920E1">
      <w:rPr>
        <w:noProof/>
      </w:rPr>
      <w:instrText>7</w:instrText>
    </w:r>
    <w:r w:rsidR="006167D2">
      <w:fldChar w:fldCharType="end"/>
    </w:r>
    <w:r>
      <w:instrText xml:space="preserve"> - 2 </w:instrText>
    </w:r>
    <w:r>
      <w:fldChar w:fldCharType="separate"/>
    </w:r>
    <w:r w:rsidR="008920E1">
      <w:rPr>
        <w:noProof/>
      </w:rPr>
      <w:t>5</w:t>
    </w:r>
    <w: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8C76F7" w14:textId="77777777" w:rsidR="000C1E5C" w:rsidRPr="009A116D" w:rsidRDefault="006167D2" w:rsidP="009A116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470B3ED" w14:textId="77777777" w:rsidR="004C260A" w:rsidRDefault="004C260A" w:rsidP="00F53370">
      <w:pPr>
        <w:spacing w:line="240" w:lineRule="auto"/>
      </w:pPr>
      <w:r>
        <w:separator/>
      </w:r>
    </w:p>
  </w:footnote>
  <w:footnote w:type="continuationSeparator" w:id="0">
    <w:p w14:paraId="5FDF114F" w14:textId="77777777" w:rsidR="004C260A" w:rsidRDefault="004C260A" w:rsidP="00F53370">
      <w:pPr>
        <w:spacing w:line="240" w:lineRule="auto"/>
      </w:pPr>
      <w:r>
        <w:continuationSeparator/>
      </w:r>
    </w:p>
  </w:footnote>
  <w:footnote w:id="1">
    <w:p w14:paraId="59139C57" w14:textId="2C3E3DA0" w:rsidR="002E3B92" w:rsidRPr="00667777" w:rsidRDefault="002E3B92" w:rsidP="002E3B92">
      <w:pPr>
        <w:pStyle w:val="FootnoteText"/>
        <w:rPr>
          <w:sz w:val="18"/>
          <w:szCs w:val="18"/>
        </w:rPr>
      </w:pPr>
      <w:r>
        <w:rPr>
          <w:rStyle w:val="FootnoteReference"/>
          <w:szCs w:val="24"/>
        </w:rPr>
        <w:footnoteRef/>
      </w:r>
      <w:r>
        <w:rPr>
          <w:sz w:val="24"/>
        </w:rPr>
        <w:tab/>
      </w:r>
      <w:r>
        <w:t xml:space="preserve">Padomes Regula (EEK) Nr. 95/93 (1993. gada 18. janvāris) par kopīgiem noteikumiem attiecībā uz laika nišu piešķiršanu Kopienas lidostās, </w:t>
      </w:r>
      <w:hyperlink r:id="rId1" w:history="1">
        <w:r>
          <w:rPr>
            <w:rStyle w:val="Hyperlink"/>
          </w:rPr>
          <w:t>OV L 14, 22.1.1993., 1. lpp.</w:t>
        </w:r>
      </w:hyperlink>
    </w:p>
  </w:footnote>
  <w:footnote w:id="2">
    <w:p w14:paraId="60618DA5" w14:textId="77777777" w:rsidR="002E3B92" w:rsidRPr="001F5E41" w:rsidRDefault="002E3B92" w:rsidP="001F5E41">
      <w:pPr>
        <w:pStyle w:val="PlainText"/>
        <w:ind w:left="567" w:hanging="567"/>
        <w:rPr>
          <w:rFonts w:ascii="Times New Roman" w:hAnsi="Times New Roman" w:cs="Times New Roman"/>
          <w:sz w:val="16"/>
          <w:szCs w:val="16"/>
        </w:rPr>
      </w:pPr>
      <w:r>
        <w:rPr>
          <w:rStyle w:val="FootnoteReference"/>
          <w:rFonts w:ascii="Times New Roman" w:hAnsi="Times New Roman" w:cs="Times New Roman"/>
          <w:szCs w:val="18"/>
        </w:rPr>
        <w:footnoteRef/>
      </w:r>
      <w:r>
        <w:rPr>
          <w:rFonts w:ascii="Times New Roman" w:hAnsi="Times New Roman"/>
          <w:sz w:val="24"/>
        </w:rPr>
        <w:tab/>
      </w:r>
      <w:r>
        <w:rPr>
          <w:rFonts w:ascii="Times New Roman" w:hAnsi="Times New Roman"/>
          <w:sz w:val="16"/>
        </w:rPr>
        <w:t xml:space="preserve">Publikācija par Vācijas aviosabiedrības </w:t>
      </w:r>
      <w:r>
        <w:rPr>
          <w:rFonts w:ascii="Times New Roman" w:hAnsi="Times New Roman"/>
          <w:i/>
          <w:iCs/>
          <w:sz w:val="16"/>
        </w:rPr>
        <w:t>Lufthansa</w:t>
      </w:r>
      <w:r>
        <w:rPr>
          <w:rFonts w:ascii="Times New Roman" w:hAnsi="Times New Roman"/>
          <w:sz w:val="16"/>
        </w:rPr>
        <w:t xml:space="preserve"> nodomu vēl vairāk samazināt jaudu, ņemot vērā pašreizējo krīzi: </w:t>
      </w:r>
      <w:hyperlink r:id="rId2" w:history="1">
        <w:r>
          <w:rPr>
            <w:rStyle w:val="Hyperlink"/>
            <w:rFonts w:ascii="Times New Roman" w:hAnsi="Times New Roman"/>
            <w:sz w:val="16"/>
          </w:rPr>
          <w:t>https://www.airliners.de/lufthansa-streicht-winterflugplan/65956</w:t>
        </w:r>
      </w:hyperlink>
      <w:r>
        <w:rPr>
          <w:rFonts w:ascii="Times New Roman" w:hAnsi="Times New Roman"/>
          <w:sz w:val="16"/>
        </w:rPr>
        <w:t>.</w:t>
      </w:r>
    </w:p>
  </w:footnote>
  <w:footnote w:id="3">
    <w:p w14:paraId="33F493F6" w14:textId="493BF909" w:rsidR="002E3B92" w:rsidRDefault="002E3B92" w:rsidP="002E3B92">
      <w:pPr>
        <w:pStyle w:val="FootnoteText"/>
      </w:pPr>
      <w:r>
        <w:rPr>
          <w:rStyle w:val="FootnoteReference"/>
          <w:szCs w:val="24"/>
        </w:rPr>
        <w:footnoteRef/>
      </w:r>
      <w:r>
        <w:rPr>
          <w:sz w:val="24"/>
        </w:rPr>
        <w:tab/>
      </w:r>
      <w:hyperlink r:id="rId3" w:history="1">
        <w:r>
          <w:rPr>
            <w:rStyle w:val="Hyperlink"/>
          </w:rPr>
          <w:t>OV C 123, 9.4.2021., 37. lpp.</w:t>
        </w:r>
      </w:hyperlink>
      <w:r>
        <w:t xml:space="preserve">, sk. 1.5. punktu. </w:t>
      </w:r>
    </w:p>
  </w:footnote>
  <w:footnote w:id="4">
    <w:p w14:paraId="48DD17E9" w14:textId="1F17E705" w:rsidR="002E3B92" w:rsidRPr="000F4A77" w:rsidRDefault="002E3B92" w:rsidP="0031535F">
      <w:pPr>
        <w:pStyle w:val="PlainText"/>
        <w:spacing w:after="60"/>
        <w:ind w:left="567" w:hanging="567"/>
        <w:rPr>
          <w:rFonts w:ascii="Times New Roman" w:hAnsi="Times New Roman" w:cs="Times New Roman"/>
          <w:sz w:val="16"/>
          <w:szCs w:val="16"/>
        </w:rPr>
      </w:pPr>
      <w:r>
        <w:rPr>
          <w:rStyle w:val="FootnoteReference"/>
          <w:rFonts w:ascii="Times New Roman" w:hAnsi="Times New Roman" w:cs="Times New Roman"/>
          <w:szCs w:val="24"/>
        </w:rPr>
        <w:footnoteRef/>
      </w:r>
      <w:r>
        <w:rPr>
          <w:sz w:val="24"/>
        </w:rPr>
        <w:tab/>
      </w:r>
      <w:hyperlink r:id="rId4" w:history="1">
        <w:r>
          <w:rPr>
            <w:rStyle w:val="Hyperlink"/>
            <w:rFonts w:ascii="Times New Roman" w:hAnsi="Times New Roman"/>
            <w:sz w:val="16"/>
          </w:rPr>
          <w:t>https://www.airliners.de/prognose-globaler-geschaeftsreiseverkehr-erholt-deutlich/65958</w:t>
        </w:r>
      </w:hyperlink>
    </w:p>
  </w:footnote>
  <w:footnote w:id="5">
    <w:p w14:paraId="64EB33CA" w14:textId="77777777" w:rsidR="002E3B92" w:rsidRPr="00CB48B7" w:rsidRDefault="002E3B92" w:rsidP="0031535F">
      <w:pPr>
        <w:pStyle w:val="PlainText"/>
        <w:spacing w:after="60"/>
        <w:ind w:left="567" w:hanging="567"/>
      </w:pPr>
      <w:r>
        <w:rPr>
          <w:rStyle w:val="FootnoteReference"/>
          <w:rFonts w:ascii="Times New Roman" w:hAnsi="Times New Roman" w:cs="Times New Roman"/>
          <w:szCs w:val="18"/>
        </w:rPr>
        <w:footnoteRef/>
      </w:r>
      <w:r>
        <w:rPr>
          <w:rFonts w:ascii="Times New Roman" w:hAnsi="Times New Roman"/>
          <w:sz w:val="18"/>
        </w:rPr>
        <w:tab/>
      </w:r>
      <w:r>
        <w:rPr>
          <w:rFonts w:ascii="Times New Roman" w:hAnsi="Times New Roman"/>
          <w:sz w:val="16"/>
        </w:rPr>
        <w:t xml:space="preserve">Publikācija par Minhenes lidostas pasažieru skaitu un prognozēm, kurā norādīts, ka pirmspandēmijas satiksmes apjoma atjaunošanās prasīs ilgāku laiku, nekā iepriekš paredzēts: </w:t>
      </w:r>
      <w:hyperlink r:id="rId5" w:history="1">
        <w:r>
          <w:rPr>
            <w:rStyle w:val="Hyperlink"/>
            <w:rFonts w:ascii="Times New Roman" w:hAnsi="Times New Roman"/>
            <w:sz w:val="16"/>
          </w:rPr>
          <w:t>https://www.airliners.de/wachsendes-passagieraufkommen-bayerns-flughaefen-weit-entfernt-corona-niveau/65950</w:t>
        </w:r>
      </w:hyperlink>
      <w:r>
        <w:rPr>
          <w:rFonts w:ascii="Times New Roman" w:hAnsi="Times New Roman"/>
          <w:sz w:val="16"/>
        </w:rPr>
        <w:t>.</w:t>
      </w:r>
    </w:p>
  </w:footnote>
  <w:footnote w:id="6">
    <w:p w14:paraId="2E2EA6AC" w14:textId="77777777" w:rsidR="002E3B92" w:rsidRPr="00667777" w:rsidRDefault="002E3B92" w:rsidP="002E3B92">
      <w:pPr>
        <w:pStyle w:val="FootnoteText"/>
        <w:rPr>
          <w:sz w:val="18"/>
          <w:szCs w:val="18"/>
        </w:rPr>
      </w:pPr>
      <w:r>
        <w:rPr>
          <w:rStyle w:val="FootnoteReference"/>
          <w:szCs w:val="24"/>
        </w:rPr>
        <w:footnoteRef/>
      </w:r>
      <w:r>
        <w:rPr>
          <w:sz w:val="24"/>
        </w:rPr>
        <w:tab/>
      </w:r>
      <w:r>
        <w:t>Komisija paskaidrojuma rakstā ir minējusi darbaspēka trūkumu nozīmīgākajās lidostās, tomēr Komisija to uzskata par īstermiņa parādību. Tas ir apšaubāmi, jo darbaspēka trūkums ietekmē daudzas ekonomikas nozares, nevis tikai aviāciju. Nav iemesla uzskatīt, ka aviācijā šis jautājums tiks atrisināts tuvākajā nākotnē.</w:t>
      </w:r>
    </w:p>
  </w:footnote>
  <w:footnote w:id="7">
    <w:p w14:paraId="4EBCE99A" w14:textId="1CCDA471" w:rsidR="002E3B92" w:rsidRDefault="002E3B92" w:rsidP="002E3B92">
      <w:pPr>
        <w:pStyle w:val="FootnoteText"/>
      </w:pPr>
      <w:r>
        <w:rPr>
          <w:rStyle w:val="FootnoteReference"/>
          <w:szCs w:val="18"/>
        </w:rPr>
        <w:footnoteRef/>
      </w:r>
      <w:r>
        <w:rPr>
          <w:sz w:val="18"/>
        </w:rPr>
        <w:tab/>
      </w:r>
      <w:r>
        <w:t xml:space="preserve">Apvienotās Karalistes valdība 2022. gada 24. janvārī koriģēja laika nišu izmantošanas attiecību uz 70:30, aprēķinus sākot ar 2022. gada 27. martu, kas ir solis ceļā uz normāliem noteikumiem, vienlaikus aizsargājot nozari pret turpmāku nenoteiktību, kā norādīja Apvienotās Karalistes transporta sekretārs </w:t>
      </w:r>
      <w:r>
        <w:rPr>
          <w:i/>
        </w:rPr>
        <w:t xml:space="preserve">Grant </w:t>
      </w:r>
      <w:proofErr w:type="spellStart"/>
      <w:r>
        <w:rPr>
          <w:i/>
        </w:rPr>
        <w:t>Shapps</w:t>
      </w:r>
      <w:proofErr w:type="spellEnd"/>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54A669" w14:textId="77777777" w:rsidR="00574C9B" w:rsidRDefault="006167D2">
    <w:pPr>
      <w:pStyle w:val="Header"/>
    </w:pPr>
    <w:r>
      <w:pict w14:anchorId="6389A5A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76638594" o:spid="_x0000_s2055" type="#_x0000_t75" style="position:absolute;left:0;text-align:left;margin-left:0;margin-top:0;width:598.15pt;height:843.9pt;z-index:-251655168;mso-position-horizontal:center;mso-position-horizontal-relative:margin;mso-position-vertical:center;mso-position-vertical-relative:margin" o:allowincell="f">
          <v:imagedata r:id="rId1" o:title="background watermark with footer"/>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C95081" w14:textId="27DD2CC1" w:rsidR="00574C9B" w:rsidRDefault="00967AFA">
    <w:pPr>
      <w:pStyle w:val="Header"/>
    </w:pPr>
    <w:r>
      <w:rPr>
        <w:noProof/>
        <w:lang w:val="en-US"/>
      </w:rPr>
      <w:drawing>
        <wp:anchor distT="0" distB="0" distL="114300" distR="114300" simplePos="0" relativeHeight="251666432" behindDoc="0" locked="0" layoutInCell="1" allowOverlap="1" wp14:anchorId="3854758E" wp14:editId="6C3AD3D3">
          <wp:simplePos x="0" y="0"/>
          <wp:positionH relativeFrom="page">
            <wp:align>center</wp:align>
          </wp:positionH>
          <wp:positionV relativeFrom="page">
            <wp:posOffset>288290</wp:posOffset>
          </wp:positionV>
          <wp:extent cx="6944360" cy="3343275"/>
          <wp:effectExtent l="0" t="0" r="8890" b="9525"/>
          <wp:wrapNone/>
          <wp:docPr id="1" name="Picture 1" title="EESCLogo2021_LV"/>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6944360" cy="3343275"/>
                  </a:xfrm>
                  <a:prstGeom prst="rect">
                    <a:avLst/>
                  </a:prstGeom>
                </pic:spPr>
              </pic:pic>
            </a:graphicData>
          </a:graphic>
          <wp14:sizeRelH relativeFrom="margin">
            <wp14:pctWidth>0</wp14:pctWidth>
          </wp14:sizeRelH>
          <wp14:sizeRelV relativeFrom="margin">
            <wp14:pctHeight>0</wp14:pctHeight>
          </wp14:sizeRelV>
        </wp:anchor>
      </w:drawing>
    </w:r>
    <w:r w:rsidR="006167D2">
      <w:pict w14:anchorId="2FA0875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76638595" o:spid="_x0000_s2056" type="#_x0000_t75" style="position:absolute;left:0;text-align:left;margin-left:0;margin-top:0;width:598.15pt;height:843.9pt;z-index:-251654144;mso-position-horizontal:center;mso-position-horizontal-relative:page;mso-position-vertical:center;mso-position-vertical-relative:page" o:allowincell="f">
          <v:imagedata r:id="rId2" o:title="background watermark with footer"/>
          <w10:wrap anchorx="page" anchory="page"/>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55837F" w14:textId="77777777" w:rsidR="00574C9B" w:rsidRDefault="006167D2">
    <w:pPr>
      <w:pStyle w:val="Header"/>
    </w:pPr>
    <w:r>
      <w:pict w14:anchorId="3C75A4A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76638593" o:spid="_x0000_s2054" type="#_x0000_t75" style="position:absolute;left:0;text-align:left;margin-left:0;margin-top:0;width:598.15pt;height:843.9pt;z-index:-251656192;mso-position-horizontal:center;mso-position-horizontal-relative:margin;mso-position-vertical:center;mso-position-vertical-relative:margin" o:allowincell="f">
          <v:imagedata r:id="rId1" o:title="background watermark with footer"/>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BB9C34" w14:textId="77777777" w:rsidR="00574C9B" w:rsidRDefault="006167D2">
    <w:pPr>
      <w:pStyle w:val="Header"/>
    </w:pPr>
    <w:r>
      <w:pict w14:anchorId="083B229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76638597" o:spid="_x0000_s2058" type="#_x0000_t75" style="position:absolute;left:0;text-align:left;margin-left:0;margin-top:0;width:598.15pt;height:843.9pt;z-index:-251652096;mso-position-horizontal:center;mso-position-horizontal-relative:margin;mso-position-vertical:center;mso-position-vertical-relative:margin" o:allowincell="f">
          <v:imagedata r:id="rId1" o:title="background watermark with footer"/>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39FC7C" w14:textId="77777777" w:rsidR="00574C9B" w:rsidRDefault="00574C9B">
    <w:pPr>
      <w:pStyle w:val="Header"/>
    </w:pPr>
    <w:r>
      <w:rPr>
        <w:noProof/>
        <w:lang w:val="en-US"/>
      </w:rPr>
      <w:drawing>
        <wp:anchor distT="0" distB="0" distL="114300" distR="114300" simplePos="0" relativeHeight="251665408" behindDoc="1" locked="0" layoutInCell="1" allowOverlap="1" wp14:anchorId="5FA9E479" wp14:editId="13AEE0F5">
          <wp:simplePos x="0" y="0"/>
          <wp:positionH relativeFrom="page">
            <wp:posOffset>-10571</wp:posOffset>
          </wp:positionH>
          <wp:positionV relativeFrom="page">
            <wp:posOffset>-221993</wp:posOffset>
          </wp:positionV>
          <wp:extent cx="7581265" cy="10898802"/>
          <wp:effectExtent l="0" t="0" r="635"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background (footer) recto.png"/>
                  <pic:cNvPicPr/>
                </pic:nvPicPr>
                <pic:blipFill>
                  <a:blip r:embed="rId1">
                    <a:extLst>
                      <a:ext uri="{28A0092B-C50C-407E-A947-70E740481C1C}">
                        <a14:useLocalDpi xmlns:a14="http://schemas.microsoft.com/office/drawing/2010/main" val="0"/>
                      </a:ext>
                    </a:extLst>
                  </a:blip>
                  <a:stretch>
                    <a:fillRect/>
                  </a:stretch>
                </pic:blipFill>
                <pic:spPr>
                  <a:xfrm>
                    <a:off x="0" y="0"/>
                    <a:ext cx="7585107" cy="10904325"/>
                  </a:xfrm>
                  <a:prstGeom prst="rect">
                    <a:avLst/>
                  </a:prstGeom>
                </pic:spPr>
              </pic:pic>
            </a:graphicData>
          </a:graphic>
          <wp14:sizeRelH relativeFrom="margin">
            <wp14:pctWidth>0</wp14:pctWidth>
          </wp14:sizeRelH>
          <wp14:sizeRelV relativeFrom="margin">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F67873" w14:textId="77777777" w:rsidR="00574C9B" w:rsidRDefault="006167D2">
    <w:pPr>
      <w:pStyle w:val="Header"/>
    </w:pPr>
    <w:r>
      <w:pict w14:anchorId="36F8D92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76638596" o:spid="_x0000_s2057" type="#_x0000_t75" style="position:absolute;left:0;text-align:left;margin-left:0;margin-top:0;width:598.15pt;height:843.9pt;z-index:-251653120;mso-position-horizontal:center;mso-position-horizontal-relative:margin;mso-position-vertical:center;mso-position-vertical-relative:margin" o:allowincell="f">
          <v:imagedata r:id="rId1" o:title="background watermark with footer"/>
          <w10:wrap anchorx="margin" anchory="margin"/>
        </v:shape>
      </w:pict>
    </w: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E3C972" w14:textId="77777777" w:rsidR="000C1E5C" w:rsidRPr="009A116D" w:rsidRDefault="006167D2" w:rsidP="009A116D">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225EAF" w14:textId="77777777" w:rsidR="000C1E5C" w:rsidRPr="009A116D" w:rsidRDefault="006167D2" w:rsidP="009A116D">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725090" w14:textId="77777777" w:rsidR="000C1E5C" w:rsidRPr="009A116D" w:rsidRDefault="006167D2" w:rsidP="009A116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B"/>
    <w:multiLevelType w:val="multilevel"/>
    <w:tmpl w:val="DED42B48"/>
    <w:lvl w:ilvl="0">
      <w:start w:val="1"/>
      <w:numFmt w:val="decimal"/>
      <w:pStyle w:val="Heading1"/>
      <w:lvlText w:val="%1."/>
      <w:lvlJc w:val="left"/>
      <w:pPr>
        <w:ind w:left="0" w:firstLine="0"/>
      </w:pPr>
      <w:rPr>
        <w:rFonts w:hint="default"/>
        <w:b w:val="0"/>
      </w:rPr>
    </w:lvl>
    <w:lvl w:ilvl="1">
      <w:start w:val="1"/>
      <w:numFmt w:val="decimal"/>
      <w:pStyle w:val="Heading2"/>
      <w:lvlText w:val="%1.%2."/>
      <w:lvlJc w:val="left"/>
      <w:pPr>
        <w:ind w:left="567" w:hanging="567"/>
      </w:pPr>
      <w:rPr>
        <w:rFonts w:hint="default"/>
      </w:rPr>
    </w:lvl>
    <w:lvl w:ilvl="2">
      <w:start w:val="1"/>
      <w:numFmt w:val="decimal"/>
      <w:pStyle w:val="Heading3"/>
      <w:lvlText w:val="%1.%2.%3"/>
      <w:lvlJc w:val="left"/>
      <w:pPr>
        <w:ind w:left="0" w:firstLine="0"/>
      </w:pPr>
      <w:rPr>
        <w:rFonts w:hint="default"/>
      </w:rPr>
    </w:lvl>
    <w:lvl w:ilvl="3">
      <w:start w:val="1"/>
      <w:numFmt w:val="decimal"/>
      <w:pStyle w:val="Heading4"/>
      <w:lvlText w:val="%1.%2.%3.%4"/>
      <w:lvlJc w:val="left"/>
      <w:pPr>
        <w:ind w:left="0" w:firstLine="0"/>
      </w:pPr>
      <w:rPr>
        <w:rFonts w:hint="default"/>
      </w:rPr>
    </w:lvl>
    <w:lvl w:ilvl="4">
      <w:start w:val="1"/>
      <w:numFmt w:val="decimal"/>
      <w:pStyle w:val="Heading5"/>
      <w:lvlText w:val="%1.%2.%3.%4.%5"/>
      <w:lvlJc w:val="left"/>
      <w:pPr>
        <w:ind w:left="0" w:firstLine="0"/>
      </w:pPr>
      <w:rPr>
        <w:rFonts w:hint="default"/>
      </w:rPr>
    </w:lvl>
    <w:lvl w:ilvl="5">
      <w:start w:val="1"/>
      <w:numFmt w:val="decimal"/>
      <w:pStyle w:val="Heading6"/>
      <w:lvlText w:val="%1.%2.%3.%4.%5.%6"/>
      <w:lvlJc w:val="left"/>
      <w:pPr>
        <w:ind w:left="0" w:firstLine="0"/>
      </w:pPr>
      <w:rPr>
        <w:rFonts w:hint="default"/>
      </w:rPr>
    </w:lvl>
    <w:lvl w:ilvl="6">
      <w:start w:val="1"/>
      <w:numFmt w:val="decimal"/>
      <w:pStyle w:val="Heading7"/>
      <w:lvlText w:val="%1.%2.%3.%4.%5.%6.%7"/>
      <w:lvlJc w:val="left"/>
      <w:pPr>
        <w:ind w:left="0" w:firstLine="0"/>
      </w:pPr>
      <w:rPr>
        <w:rFonts w:hint="default"/>
      </w:rPr>
    </w:lvl>
    <w:lvl w:ilvl="7">
      <w:start w:val="1"/>
      <w:numFmt w:val="decimal"/>
      <w:pStyle w:val="Heading8"/>
      <w:lvlText w:val="%1.%2.%3.%4.%5.%6.%7.%8"/>
      <w:lvlJc w:val="left"/>
      <w:pPr>
        <w:ind w:left="0" w:firstLine="0"/>
      </w:pPr>
      <w:rPr>
        <w:rFonts w:hint="default"/>
      </w:rPr>
    </w:lvl>
    <w:lvl w:ilvl="8">
      <w:start w:val="1"/>
      <w:numFmt w:val="decimal"/>
      <w:pStyle w:val="Heading9"/>
      <w:lvlText w:val="%1.%2.%3.%4.%5.%6.%7.%8.%9"/>
      <w:lvlJc w:val="left"/>
      <w:pPr>
        <w:ind w:left="0" w:firstLine="0"/>
      </w:pPr>
      <w:rPr>
        <w:rFonts w:hint="default"/>
      </w:r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activeWritingStyle w:appName="MSWord" w:lang="nl-BE" w:vendorID="64" w:dllVersion="6" w:nlCheck="1" w:checkStyle="0"/>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nl-BE" w:vendorID="64" w:dllVersion="4096" w:nlCheck="1" w:checkStyle="0"/>
  <w:proofState w:spelling="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425"/>
  <w:characterSpacingControl w:val="doNotCompress"/>
  <w:hdrShapeDefaults>
    <o:shapedefaults v:ext="edit" spidmax="2059"/>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3370"/>
    <w:rsid w:val="000150E5"/>
    <w:rsid w:val="00020389"/>
    <w:rsid w:val="000204F3"/>
    <w:rsid w:val="00026810"/>
    <w:rsid w:val="00053D00"/>
    <w:rsid w:val="00085E2D"/>
    <w:rsid w:val="000A0F3B"/>
    <w:rsid w:val="000A6546"/>
    <w:rsid w:val="000F4A77"/>
    <w:rsid w:val="0019231D"/>
    <w:rsid w:val="001D61AC"/>
    <w:rsid w:val="001E15AA"/>
    <w:rsid w:val="001E3FA1"/>
    <w:rsid w:val="001F5E41"/>
    <w:rsid w:val="00200E87"/>
    <w:rsid w:val="00214BDC"/>
    <w:rsid w:val="00215E81"/>
    <w:rsid w:val="00227934"/>
    <w:rsid w:val="0024727F"/>
    <w:rsid w:val="002B6A7B"/>
    <w:rsid w:val="002D12A4"/>
    <w:rsid w:val="002E3B92"/>
    <w:rsid w:val="0031535F"/>
    <w:rsid w:val="003353D7"/>
    <w:rsid w:val="00342F98"/>
    <w:rsid w:val="003635F6"/>
    <w:rsid w:val="003659F9"/>
    <w:rsid w:val="003D5A04"/>
    <w:rsid w:val="0041366A"/>
    <w:rsid w:val="00415BC6"/>
    <w:rsid w:val="004515A5"/>
    <w:rsid w:val="00492FC9"/>
    <w:rsid w:val="00495CFD"/>
    <w:rsid w:val="00495ECD"/>
    <w:rsid w:val="004C260A"/>
    <w:rsid w:val="00532453"/>
    <w:rsid w:val="00574C9B"/>
    <w:rsid w:val="0058411F"/>
    <w:rsid w:val="005A53BB"/>
    <w:rsid w:val="006125A1"/>
    <w:rsid w:val="006145BE"/>
    <w:rsid w:val="00653E7D"/>
    <w:rsid w:val="00662207"/>
    <w:rsid w:val="00667F09"/>
    <w:rsid w:val="00691718"/>
    <w:rsid w:val="006B57A6"/>
    <w:rsid w:val="006C5B70"/>
    <w:rsid w:val="006D53A6"/>
    <w:rsid w:val="00705098"/>
    <w:rsid w:val="00780FDF"/>
    <w:rsid w:val="00787837"/>
    <w:rsid w:val="00787ABB"/>
    <w:rsid w:val="007A5F41"/>
    <w:rsid w:val="007A601D"/>
    <w:rsid w:val="007B6C64"/>
    <w:rsid w:val="007F131D"/>
    <w:rsid w:val="00822952"/>
    <w:rsid w:val="00836505"/>
    <w:rsid w:val="00844B87"/>
    <w:rsid w:val="008920E1"/>
    <w:rsid w:val="0089251B"/>
    <w:rsid w:val="008A6DD4"/>
    <w:rsid w:val="008A7D4D"/>
    <w:rsid w:val="008F3770"/>
    <w:rsid w:val="008F74D7"/>
    <w:rsid w:val="00904C42"/>
    <w:rsid w:val="00924C05"/>
    <w:rsid w:val="00937CF2"/>
    <w:rsid w:val="00967AFA"/>
    <w:rsid w:val="00976645"/>
    <w:rsid w:val="00976F77"/>
    <w:rsid w:val="0098228C"/>
    <w:rsid w:val="0099123B"/>
    <w:rsid w:val="0099497B"/>
    <w:rsid w:val="009C066A"/>
    <w:rsid w:val="009E2100"/>
    <w:rsid w:val="009F27ED"/>
    <w:rsid w:val="00A36AB0"/>
    <w:rsid w:val="00A4715F"/>
    <w:rsid w:val="00A82FF2"/>
    <w:rsid w:val="00AB37A3"/>
    <w:rsid w:val="00AC5114"/>
    <w:rsid w:val="00B25683"/>
    <w:rsid w:val="00B51901"/>
    <w:rsid w:val="00B72DF0"/>
    <w:rsid w:val="00BD50F6"/>
    <w:rsid w:val="00BD7F1D"/>
    <w:rsid w:val="00C01080"/>
    <w:rsid w:val="00C073E1"/>
    <w:rsid w:val="00C2119D"/>
    <w:rsid w:val="00C25647"/>
    <w:rsid w:val="00C66AEA"/>
    <w:rsid w:val="00C9040A"/>
    <w:rsid w:val="00C91E4D"/>
    <w:rsid w:val="00CB110A"/>
    <w:rsid w:val="00CB7CD0"/>
    <w:rsid w:val="00D039AF"/>
    <w:rsid w:val="00D106D8"/>
    <w:rsid w:val="00D50DC8"/>
    <w:rsid w:val="00D95232"/>
    <w:rsid w:val="00DB7F50"/>
    <w:rsid w:val="00DD4A05"/>
    <w:rsid w:val="00DE30C7"/>
    <w:rsid w:val="00DF400F"/>
    <w:rsid w:val="00E15BF4"/>
    <w:rsid w:val="00E2376B"/>
    <w:rsid w:val="00E26935"/>
    <w:rsid w:val="00E27707"/>
    <w:rsid w:val="00E30288"/>
    <w:rsid w:val="00E52B04"/>
    <w:rsid w:val="00E661B7"/>
    <w:rsid w:val="00EE71BC"/>
    <w:rsid w:val="00EF3D53"/>
    <w:rsid w:val="00F2069F"/>
    <w:rsid w:val="00F53370"/>
    <w:rsid w:val="00F65FA4"/>
    <w:rsid w:val="00F90BE2"/>
    <w:rsid w:val="00FC0C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9"/>
    <o:shapelayout v:ext="edit">
      <o:idmap v:ext="edit" data="1"/>
    </o:shapelayout>
  </w:shapeDefaults>
  <w:decimalSymbol w:val=","/>
  <w:listSeparator w:val=","/>
  <w14:docId w14:val="3F46F69D"/>
  <w15:chartTrackingRefBased/>
  <w15:docId w15:val="{D381F634-0C15-4454-8DBD-75C4E885C5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74C9B"/>
    <w:pPr>
      <w:spacing w:after="0" w:line="288" w:lineRule="auto"/>
      <w:jc w:val="both"/>
    </w:pPr>
    <w:rPr>
      <w:rFonts w:ascii="Times New Roman" w:eastAsia="Times New Roman" w:hAnsi="Times New Roman" w:cs="Times New Roman"/>
    </w:rPr>
  </w:style>
  <w:style w:type="paragraph" w:styleId="Heading1">
    <w:name w:val="heading 1"/>
    <w:basedOn w:val="Normal"/>
    <w:next w:val="Normal"/>
    <w:link w:val="Heading1Char"/>
    <w:qFormat/>
    <w:rsid w:val="00F53370"/>
    <w:pPr>
      <w:numPr>
        <w:numId w:val="1"/>
      </w:numPr>
      <w:outlineLvl w:val="0"/>
    </w:pPr>
    <w:rPr>
      <w:kern w:val="28"/>
    </w:rPr>
  </w:style>
  <w:style w:type="paragraph" w:styleId="Heading2">
    <w:name w:val="heading 2"/>
    <w:basedOn w:val="Normal"/>
    <w:next w:val="Normal"/>
    <w:link w:val="Heading2Char"/>
    <w:qFormat/>
    <w:rsid w:val="00F53370"/>
    <w:pPr>
      <w:numPr>
        <w:ilvl w:val="1"/>
        <w:numId w:val="1"/>
      </w:numPr>
      <w:outlineLvl w:val="1"/>
    </w:pPr>
  </w:style>
  <w:style w:type="paragraph" w:styleId="Heading3">
    <w:name w:val="heading 3"/>
    <w:basedOn w:val="Normal"/>
    <w:next w:val="Normal"/>
    <w:link w:val="Heading3Char"/>
    <w:qFormat/>
    <w:rsid w:val="00F53370"/>
    <w:pPr>
      <w:numPr>
        <w:ilvl w:val="2"/>
        <w:numId w:val="1"/>
      </w:numPr>
      <w:outlineLvl w:val="2"/>
    </w:pPr>
  </w:style>
  <w:style w:type="paragraph" w:styleId="Heading4">
    <w:name w:val="heading 4"/>
    <w:basedOn w:val="Normal"/>
    <w:next w:val="Normal"/>
    <w:link w:val="Heading4Char"/>
    <w:qFormat/>
    <w:rsid w:val="00F53370"/>
    <w:pPr>
      <w:numPr>
        <w:ilvl w:val="3"/>
        <w:numId w:val="1"/>
      </w:numPr>
      <w:outlineLvl w:val="3"/>
    </w:pPr>
  </w:style>
  <w:style w:type="paragraph" w:styleId="Heading5">
    <w:name w:val="heading 5"/>
    <w:basedOn w:val="Normal"/>
    <w:next w:val="Normal"/>
    <w:link w:val="Heading5Char"/>
    <w:qFormat/>
    <w:rsid w:val="00F53370"/>
    <w:pPr>
      <w:numPr>
        <w:ilvl w:val="4"/>
        <w:numId w:val="1"/>
      </w:numPr>
      <w:outlineLvl w:val="4"/>
    </w:pPr>
  </w:style>
  <w:style w:type="paragraph" w:styleId="Heading6">
    <w:name w:val="heading 6"/>
    <w:basedOn w:val="Normal"/>
    <w:next w:val="Normal"/>
    <w:link w:val="Heading6Char"/>
    <w:qFormat/>
    <w:rsid w:val="00F53370"/>
    <w:pPr>
      <w:numPr>
        <w:ilvl w:val="5"/>
        <w:numId w:val="1"/>
      </w:numPr>
      <w:outlineLvl w:val="5"/>
    </w:pPr>
  </w:style>
  <w:style w:type="paragraph" w:styleId="Heading7">
    <w:name w:val="heading 7"/>
    <w:basedOn w:val="Normal"/>
    <w:next w:val="Normal"/>
    <w:link w:val="Heading7Char"/>
    <w:qFormat/>
    <w:rsid w:val="00F53370"/>
    <w:pPr>
      <w:numPr>
        <w:ilvl w:val="6"/>
        <w:numId w:val="1"/>
      </w:numPr>
      <w:outlineLvl w:val="6"/>
    </w:pPr>
  </w:style>
  <w:style w:type="paragraph" w:styleId="Heading8">
    <w:name w:val="heading 8"/>
    <w:basedOn w:val="Normal"/>
    <w:next w:val="Normal"/>
    <w:link w:val="Heading8Char"/>
    <w:qFormat/>
    <w:rsid w:val="00F53370"/>
    <w:pPr>
      <w:numPr>
        <w:ilvl w:val="7"/>
        <w:numId w:val="1"/>
      </w:numPr>
      <w:outlineLvl w:val="7"/>
    </w:pPr>
  </w:style>
  <w:style w:type="paragraph" w:styleId="Heading9">
    <w:name w:val="heading 9"/>
    <w:basedOn w:val="Normal"/>
    <w:next w:val="Normal"/>
    <w:link w:val="Heading9Char"/>
    <w:qFormat/>
    <w:rsid w:val="00F53370"/>
    <w:pPr>
      <w:numPr>
        <w:ilvl w:val="8"/>
        <w:numId w:val="1"/>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53370"/>
    <w:rPr>
      <w:rFonts w:ascii="Times New Roman" w:eastAsia="Times New Roman" w:hAnsi="Times New Roman" w:cs="Times New Roman"/>
      <w:kern w:val="28"/>
    </w:rPr>
  </w:style>
  <w:style w:type="character" w:customStyle="1" w:styleId="Heading2Char">
    <w:name w:val="Heading 2 Char"/>
    <w:basedOn w:val="DefaultParagraphFont"/>
    <w:link w:val="Heading2"/>
    <w:rsid w:val="00F53370"/>
    <w:rPr>
      <w:rFonts w:ascii="Times New Roman" w:eastAsia="Times New Roman" w:hAnsi="Times New Roman" w:cs="Times New Roman"/>
    </w:rPr>
  </w:style>
  <w:style w:type="character" w:customStyle="1" w:styleId="Heading3Char">
    <w:name w:val="Heading 3 Char"/>
    <w:basedOn w:val="DefaultParagraphFont"/>
    <w:link w:val="Heading3"/>
    <w:rsid w:val="00F53370"/>
    <w:rPr>
      <w:rFonts w:ascii="Times New Roman" w:eastAsia="Times New Roman" w:hAnsi="Times New Roman" w:cs="Times New Roman"/>
    </w:rPr>
  </w:style>
  <w:style w:type="character" w:customStyle="1" w:styleId="Heading4Char">
    <w:name w:val="Heading 4 Char"/>
    <w:basedOn w:val="DefaultParagraphFont"/>
    <w:link w:val="Heading4"/>
    <w:rsid w:val="00F53370"/>
    <w:rPr>
      <w:rFonts w:ascii="Times New Roman" w:eastAsia="Times New Roman" w:hAnsi="Times New Roman" w:cs="Times New Roman"/>
    </w:rPr>
  </w:style>
  <w:style w:type="character" w:customStyle="1" w:styleId="Heading5Char">
    <w:name w:val="Heading 5 Char"/>
    <w:basedOn w:val="DefaultParagraphFont"/>
    <w:link w:val="Heading5"/>
    <w:rsid w:val="00F53370"/>
    <w:rPr>
      <w:rFonts w:ascii="Times New Roman" w:eastAsia="Times New Roman" w:hAnsi="Times New Roman" w:cs="Times New Roman"/>
    </w:rPr>
  </w:style>
  <w:style w:type="character" w:customStyle="1" w:styleId="Heading6Char">
    <w:name w:val="Heading 6 Char"/>
    <w:basedOn w:val="DefaultParagraphFont"/>
    <w:link w:val="Heading6"/>
    <w:rsid w:val="00F53370"/>
    <w:rPr>
      <w:rFonts w:ascii="Times New Roman" w:eastAsia="Times New Roman" w:hAnsi="Times New Roman" w:cs="Times New Roman"/>
    </w:rPr>
  </w:style>
  <w:style w:type="character" w:customStyle="1" w:styleId="Heading7Char">
    <w:name w:val="Heading 7 Char"/>
    <w:basedOn w:val="DefaultParagraphFont"/>
    <w:link w:val="Heading7"/>
    <w:rsid w:val="00F53370"/>
    <w:rPr>
      <w:rFonts w:ascii="Times New Roman" w:eastAsia="Times New Roman" w:hAnsi="Times New Roman" w:cs="Times New Roman"/>
    </w:rPr>
  </w:style>
  <w:style w:type="character" w:customStyle="1" w:styleId="Heading8Char">
    <w:name w:val="Heading 8 Char"/>
    <w:basedOn w:val="DefaultParagraphFont"/>
    <w:link w:val="Heading8"/>
    <w:rsid w:val="00F53370"/>
    <w:rPr>
      <w:rFonts w:ascii="Times New Roman" w:eastAsia="Times New Roman" w:hAnsi="Times New Roman" w:cs="Times New Roman"/>
    </w:rPr>
  </w:style>
  <w:style w:type="character" w:customStyle="1" w:styleId="Heading9Char">
    <w:name w:val="Heading 9 Char"/>
    <w:basedOn w:val="DefaultParagraphFont"/>
    <w:link w:val="Heading9"/>
    <w:rsid w:val="00F53370"/>
    <w:rPr>
      <w:rFonts w:ascii="Times New Roman" w:eastAsia="Times New Roman" w:hAnsi="Times New Roman" w:cs="Times New Roman"/>
    </w:rPr>
  </w:style>
  <w:style w:type="paragraph" w:styleId="Footer">
    <w:name w:val="footer"/>
    <w:basedOn w:val="Normal"/>
    <w:link w:val="FooterChar"/>
    <w:qFormat/>
    <w:rsid w:val="00F53370"/>
  </w:style>
  <w:style w:type="character" w:customStyle="1" w:styleId="FooterChar">
    <w:name w:val="Footer Char"/>
    <w:basedOn w:val="DefaultParagraphFont"/>
    <w:link w:val="Footer"/>
    <w:qFormat/>
    <w:rsid w:val="00F53370"/>
    <w:rPr>
      <w:rFonts w:ascii="Times New Roman" w:eastAsia="Times New Roman" w:hAnsi="Times New Roman" w:cs="Times New Roman"/>
    </w:rPr>
  </w:style>
  <w:style w:type="paragraph" w:styleId="FootnoteText">
    <w:name w:val="footnote text"/>
    <w:aliases w:val="stile 1,Footnote,Footnote1,Footnote2,Footnote3,Footnote4,Footnote5,Footnote6,Footnote7,Footnote8,Footnote9,Footnote10,Footnote11,Footnote21,Footnote31,Footnote41,Footnote51,Footnote61,Footnote71,Footnote81,Footnote91,FA,FA Fu,fn"/>
    <w:basedOn w:val="Normal"/>
    <w:link w:val="FootnoteTextChar"/>
    <w:qFormat/>
    <w:rsid w:val="00F53370"/>
    <w:pPr>
      <w:keepLines/>
      <w:spacing w:after="60" w:line="240" w:lineRule="auto"/>
      <w:ind w:left="567" w:hanging="567"/>
    </w:pPr>
    <w:rPr>
      <w:sz w:val="16"/>
    </w:rPr>
  </w:style>
  <w:style w:type="character" w:customStyle="1" w:styleId="FootnoteTextChar">
    <w:name w:val="Footnote Text Char"/>
    <w:aliases w:val="stile 1 Char,Footnote Char,Footnote1 Char,Footnote2 Char,Footnote3 Char,Footnote4 Char,Footnote5 Char,Footnote6 Char,Footnote7 Char,Footnote8 Char,Footnote9 Char,Footnote10 Char,Footnote11 Char,Footnote21 Char,Footnote31 Char,FA Char"/>
    <w:basedOn w:val="DefaultParagraphFont"/>
    <w:link w:val="FootnoteText"/>
    <w:qFormat/>
    <w:rsid w:val="00F53370"/>
    <w:rPr>
      <w:rFonts w:ascii="Times New Roman" w:eastAsia="Times New Roman" w:hAnsi="Times New Roman" w:cs="Times New Roman"/>
      <w:sz w:val="16"/>
    </w:rPr>
  </w:style>
  <w:style w:type="paragraph" w:styleId="Header">
    <w:name w:val="header"/>
    <w:basedOn w:val="Normal"/>
    <w:link w:val="HeaderChar"/>
    <w:qFormat/>
    <w:rsid w:val="00F53370"/>
  </w:style>
  <w:style w:type="character" w:customStyle="1" w:styleId="HeaderChar">
    <w:name w:val="Header Char"/>
    <w:basedOn w:val="DefaultParagraphFont"/>
    <w:link w:val="Header"/>
    <w:qFormat/>
    <w:rsid w:val="00F53370"/>
    <w:rPr>
      <w:rFonts w:ascii="Times New Roman" w:eastAsia="Times New Roman" w:hAnsi="Times New Roman" w:cs="Times New Roman"/>
    </w:rPr>
  </w:style>
  <w:style w:type="paragraph" w:customStyle="1" w:styleId="quotes">
    <w:name w:val="quotes"/>
    <w:basedOn w:val="Normal"/>
    <w:next w:val="Normal"/>
    <w:rsid w:val="00F53370"/>
    <w:pPr>
      <w:ind w:left="720"/>
    </w:pPr>
    <w:rPr>
      <w:i/>
    </w:rPr>
  </w:style>
  <w:style w:type="character" w:styleId="FootnoteReference">
    <w:name w:val="footnote reference"/>
    <w:aliases w:val="Footnote symbol"/>
    <w:basedOn w:val="DefaultParagraphFont"/>
    <w:unhideWhenUsed/>
    <w:qFormat/>
    <w:rsid w:val="00F53370"/>
    <w:rPr>
      <w:sz w:val="24"/>
      <w:vertAlign w:val="superscript"/>
    </w:rPr>
  </w:style>
  <w:style w:type="table" w:styleId="TableGrid">
    <w:name w:val="Table Grid"/>
    <w:basedOn w:val="TableNormal"/>
    <w:uiPriority w:val="39"/>
    <w:rsid w:val="00F533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8A6DD4"/>
    <w:rPr>
      <w:color w:val="0000FF"/>
      <w:u w:val="single"/>
    </w:rPr>
  </w:style>
  <w:style w:type="character" w:styleId="CommentReference">
    <w:name w:val="annotation reference"/>
    <w:basedOn w:val="DefaultParagraphFont"/>
    <w:uiPriority w:val="99"/>
    <w:semiHidden/>
    <w:unhideWhenUsed/>
    <w:rsid w:val="00976F77"/>
    <w:rPr>
      <w:sz w:val="16"/>
      <w:szCs w:val="16"/>
    </w:rPr>
  </w:style>
  <w:style w:type="paragraph" w:styleId="CommentText">
    <w:name w:val="annotation text"/>
    <w:basedOn w:val="Normal"/>
    <w:link w:val="CommentTextChar"/>
    <w:uiPriority w:val="99"/>
    <w:semiHidden/>
    <w:unhideWhenUsed/>
    <w:rsid w:val="00976F77"/>
    <w:pPr>
      <w:spacing w:line="240" w:lineRule="auto"/>
    </w:pPr>
    <w:rPr>
      <w:sz w:val="20"/>
      <w:szCs w:val="20"/>
    </w:rPr>
  </w:style>
  <w:style w:type="character" w:customStyle="1" w:styleId="CommentTextChar">
    <w:name w:val="Comment Text Char"/>
    <w:basedOn w:val="DefaultParagraphFont"/>
    <w:link w:val="CommentText"/>
    <w:uiPriority w:val="99"/>
    <w:semiHidden/>
    <w:rsid w:val="00976F77"/>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976F77"/>
    <w:rPr>
      <w:b/>
      <w:bCs/>
    </w:rPr>
  </w:style>
  <w:style w:type="character" w:customStyle="1" w:styleId="CommentSubjectChar">
    <w:name w:val="Comment Subject Char"/>
    <w:basedOn w:val="CommentTextChar"/>
    <w:link w:val="CommentSubject"/>
    <w:uiPriority w:val="99"/>
    <w:semiHidden/>
    <w:rsid w:val="00976F77"/>
    <w:rPr>
      <w:rFonts w:ascii="Times New Roman" w:eastAsia="Times New Roman" w:hAnsi="Times New Roman" w:cs="Times New Roman"/>
      <w:b/>
      <w:bCs/>
      <w:sz w:val="20"/>
      <w:szCs w:val="20"/>
    </w:rPr>
  </w:style>
  <w:style w:type="paragraph" w:styleId="Revision">
    <w:name w:val="Revision"/>
    <w:hidden/>
    <w:uiPriority w:val="99"/>
    <w:semiHidden/>
    <w:rsid w:val="00976F77"/>
    <w:pPr>
      <w:spacing w:after="0" w:line="240" w:lineRule="auto"/>
    </w:pPr>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976F77"/>
    <w:pPr>
      <w:spacing w:line="240" w:lineRule="auto"/>
    </w:pPr>
    <w:rPr>
      <w:rFonts w:ascii="Segoe UI" w:hAnsi="Segoe UI"/>
      <w:sz w:val="18"/>
      <w:szCs w:val="18"/>
    </w:rPr>
  </w:style>
  <w:style w:type="character" w:customStyle="1" w:styleId="BalloonTextChar">
    <w:name w:val="Balloon Text Char"/>
    <w:basedOn w:val="DefaultParagraphFont"/>
    <w:link w:val="BalloonText"/>
    <w:uiPriority w:val="99"/>
    <w:semiHidden/>
    <w:rsid w:val="00976F77"/>
    <w:rPr>
      <w:rFonts w:ascii="Segoe UI" w:eastAsia="Times New Roman" w:hAnsi="Segoe UI" w:cs="Times New Roman"/>
      <w:sz w:val="18"/>
      <w:szCs w:val="18"/>
    </w:rPr>
  </w:style>
  <w:style w:type="paragraph" w:styleId="PlainText">
    <w:name w:val="Plain Text"/>
    <w:basedOn w:val="Normal"/>
    <w:link w:val="PlainTextChar"/>
    <w:uiPriority w:val="99"/>
    <w:unhideWhenUsed/>
    <w:rsid w:val="002E3B92"/>
    <w:pPr>
      <w:spacing w:line="240" w:lineRule="auto"/>
      <w:jc w:val="left"/>
    </w:pPr>
    <w:rPr>
      <w:rFonts w:ascii="Calibri" w:eastAsiaTheme="minorHAnsi" w:hAnsi="Calibri" w:cstheme="minorBidi"/>
      <w:szCs w:val="21"/>
    </w:rPr>
  </w:style>
  <w:style w:type="character" w:customStyle="1" w:styleId="PlainTextChar">
    <w:name w:val="Plain Text Char"/>
    <w:basedOn w:val="DefaultParagraphFont"/>
    <w:link w:val="PlainText"/>
    <w:uiPriority w:val="99"/>
    <w:rsid w:val="002E3B92"/>
    <w:rPr>
      <w:rFonts w:ascii="Calibri" w:hAnsi="Calibri"/>
      <w:szCs w:val="21"/>
      <w:lang w:val="lv-LV"/>
    </w:rPr>
  </w:style>
  <w:style w:type="character" w:customStyle="1" w:styleId="UnresolvedMention1">
    <w:name w:val="Unresolved Mention1"/>
    <w:basedOn w:val="DefaultParagraphFont"/>
    <w:uiPriority w:val="99"/>
    <w:semiHidden/>
    <w:unhideWhenUsed/>
    <w:rsid w:val="00DD4A05"/>
    <w:rPr>
      <w:color w:val="605E5C"/>
      <w:shd w:val="clear" w:color="auto" w:fill="E1DFDD"/>
    </w:rPr>
  </w:style>
  <w:style w:type="character" w:styleId="FollowedHyperlink">
    <w:name w:val="FollowedHyperlink"/>
    <w:basedOn w:val="DefaultParagraphFont"/>
    <w:uiPriority w:val="99"/>
    <w:semiHidden/>
    <w:unhideWhenUsed/>
    <w:rsid w:val="00DD4A0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061242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5.xml"/><Relationship Id="rId26" Type="http://schemas.openxmlformats.org/officeDocument/2006/relationships/footer" Target="footer7.xml"/><Relationship Id="rId21" Type="http://schemas.openxmlformats.org/officeDocument/2006/relationships/header" Target="header7.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4.xml"/><Relationship Id="rId25" Type="http://schemas.openxmlformats.org/officeDocument/2006/relationships/header" Target="header9.xml"/><Relationship Id="rId16" Type="http://schemas.openxmlformats.org/officeDocument/2006/relationships/footer" Target="footer3.xml"/><Relationship Id="rId20" Type="http://schemas.openxmlformats.org/officeDocument/2006/relationships/header" Target="header6.xml"/><Relationship Id="rId29"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footer" Target="footer6.xml"/><Relationship Id="rId32" Type="http://schemas.openxmlformats.org/officeDocument/2006/relationships/customXml" Target="../customXml/item4.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footer" Target="footer5.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4.xml"/><Relationship Id="rId31" Type="http://schemas.openxmlformats.org/officeDocument/2006/relationships/customXml" Target="../customXml/item3.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eader" Target="header8.xml"/><Relationship Id="rId27" Type="http://schemas.openxmlformats.org/officeDocument/2006/relationships/fontTable" Target="fontTable.xml"/><Relationship Id="rId30" Type="http://schemas.openxmlformats.org/officeDocument/2006/relationships/customXml" Target="../customXml/item2.xml"/></Relationships>
</file>

<file path=word/_rels/footnotes.xml.rels><?xml version="1.0" encoding="UTF-8" standalone="yes"?>
<Relationships xmlns="http://schemas.openxmlformats.org/package/2006/relationships"><Relationship Id="rId3" Type="http://schemas.openxmlformats.org/officeDocument/2006/relationships/hyperlink" Target="https://eur-lex.europa.eu/legal-content/LV/TXT/?uri=uriserv:OJ.C_.2021.123.01.0037.01.LAV&amp;toc=OJ:C:2021:123:TOC" TargetMode="External"/><Relationship Id="rId2" Type="http://schemas.openxmlformats.org/officeDocument/2006/relationships/hyperlink" Target="https://www.airliners.de/lufthansa-streicht-winterflugplan/65956" TargetMode="External"/><Relationship Id="rId1" Type="http://schemas.openxmlformats.org/officeDocument/2006/relationships/hyperlink" Target="https://eur-lex.europa.eu/LexUriServ/LexUriServ.do?uri=OJ:L:1993:014:SOM:EN:HTML" TargetMode="External"/><Relationship Id="rId5" Type="http://schemas.openxmlformats.org/officeDocument/2006/relationships/hyperlink" Target="https://www.airliners.de/wachsendes-passagieraufkommen-bayerns-flughaefen-weit-entfernt-corona-niveau/65950" TargetMode="External"/><Relationship Id="rId4" Type="http://schemas.openxmlformats.org/officeDocument/2006/relationships/hyperlink" Target="https://www.airliners.de/prognose-globaler-geschaeftsreiseverkehr-erholt-deutlich/65958"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3.png"/></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1299d781-265f-4ceb-999e-e1eca3df2c90">P6FJPSUHKDC2-1050578159-7158</_dlc_DocId>
    <_dlc_DocIdUrl xmlns="1299d781-265f-4ceb-999e-e1eca3df2c90">
      <Url>http://dm/eesc/2022/_layouts/15/DocIdRedir.aspx?ID=P6FJPSUHKDC2-1050578159-7158</Url>
      <Description>P6FJPSUHKDC2-1050578159-7158</Description>
    </_dlc_DocIdUrl>
    <Procedure xmlns="1299d781-265f-4ceb-999e-e1eca3df2c90">2022/0214(COD)</Procedure>
    <DocumentType_0 xmlns="http://schemas.microsoft.com/sharepoint/v3/fields">
      <Terms xmlns="http://schemas.microsoft.com/office/infopath/2007/PartnerControls">
        <TermInfo xmlns="http://schemas.microsoft.com/office/infopath/2007/PartnerControls">
          <TermName xmlns="http://schemas.microsoft.com/office/infopath/2007/PartnerControls">AC</TermName>
          <TermId xmlns="http://schemas.microsoft.com/office/infopath/2007/PartnerControls">a4cc1d15-fb08-4679-ad46-e4e0cba5fe92</TermId>
        </TermInfo>
      </Terms>
    </DocumentType_0>
    <DocumentSource_0 xmlns="http://schemas.microsoft.com/sharepoint/v3/fields">
      <Terms xmlns="http://schemas.microsoft.com/office/infopath/2007/PartnerControls">
        <TermInfo xmlns="http://schemas.microsoft.com/office/infopath/2007/PartnerControls">
          <TermName xmlns="http://schemas.microsoft.com/office/infopath/2007/PartnerControls">EESC</TermName>
          <TermId xmlns="http://schemas.microsoft.com/office/infopath/2007/PartnerControls">422833ec-8d7e-4e65-8e4e-8bed07ffb729</TermId>
        </TermInfo>
      </Terms>
    </DocumentSource_0>
    <ProductionDate xmlns="1299d781-265f-4ceb-999e-e1eca3df2c90">2022-10-14T12:00:00+00:00</ProductionDate>
    <DocumentNumber xmlns="4e5ad790-8ffd-4f61-866f-51e1599a4efe">3866</DocumentNumber>
    <FicheYear xmlns="1299d781-265f-4ceb-999e-e1eca3df2c90" xsi:nil="true"/>
    <DocumentVersion xmlns="1299d781-265f-4ceb-999e-e1eca3df2c90">2</DocumentVersion>
    <DossierNumber xmlns="1299d781-265f-4ceb-999e-e1eca3df2c90">787</DossierNumber>
    <Confidentiality_0 xmlns="http://schemas.microsoft.com/sharepoint/v3/fields">
      <Terms xmlns="http://schemas.microsoft.com/office/infopath/2007/PartnerControls">
        <TermInfo xmlns="http://schemas.microsoft.com/office/infopath/2007/PartnerControls">
          <TermName xmlns="http://schemas.microsoft.com/office/infopath/2007/PartnerControls">Unrestricted</TermName>
          <TermId xmlns="http://schemas.microsoft.com/office/infopath/2007/PartnerControls">826e22d7-d029-4ec0-a450-0c28ff673572</TermId>
        </TermInfo>
      </Terms>
    </Confidentiality_0>
    <MeetingDate xmlns="1299d781-265f-4ceb-999e-e1eca3df2c90" xsi:nil="true"/>
    <TaxCatchAll xmlns="1299d781-265f-4ceb-999e-e1eca3df2c90">
      <Value>63</Value>
      <Value>55</Value>
      <Value>54</Value>
      <Value>49</Value>
      <Value>46</Value>
      <Value>45</Value>
      <Value>44</Value>
      <Value>43</Value>
      <Value>42</Value>
      <Value>41</Value>
      <Value>40</Value>
      <Value>38</Value>
      <Value>37</Value>
      <Value>36</Value>
      <Value>35</Value>
      <Value>34</Value>
      <Value>33</Value>
      <Value>32</Value>
      <Value>31</Value>
      <Value>30</Value>
      <Value>29</Value>
      <Value>90</Value>
      <Value>26</Value>
      <Value>22</Value>
      <Value>11</Value>
      <Value>9</Value>
      <Value>7</Value>
      <Value>6</Value>
      <Value>4</Value>
      <Value>1</Value>
    </TaxCatchAll>
    <DocumentLanguage_0 xmlns="http://schemas.microsoft.com/sharepoint/v3/fields">
      <Terms xmlns="http://schemas.microsoft.com/office/infopath/2007/PartnerControls">
        <TermInfo xmlns="http://schemas.microsoft.com/office/infopath/2007/PartnerControls">
          <TermName xmlns="http://schemas.microsoft.com/office/infopath/2007/PartnerControls">LV</TermName>
          <TermId xmlns="http://schemas.microsoft.com/office/infopath/2007/PartnerControls">46f7e311-5d9f-4663-b433-18aeccb7ace7</TermId>
        </TermInfo>
      </Terms>
    </DocumentLanguage_0>
    <Rapporteur xmlns="1299d781-265f-4ceb-999e-e1eca3df2c90">KROPP</Rapporteur>
    <VersionStatus_0 xmlns="http://schemas.microsoft.com/sharepoint/v3/fields">
      <Terms xmlns="http://schemas.microsoft.com/office/infopath/2007/PartnerControls">
        <TermInfo xmlns="http://schemas.microsoft.com/office/infopath/2007/PartnerControls">
          <TermName xmlns="http://schemas.microsoft.com/office/infopath/2007/PartnerControls">Final</TermName>
          <TermId xmlns="http://schemas.microsoft.com/office/infopath/2007/PartnerControls">ea5e6674-7b27-4bac-b091-73adbb394efe</TermId>
        </TermInfo>
      </Terms>
    </VersionStatus_0>
    <DocumentYear xmlns="1299d781-265f-4ceb-999e-e1eca3df2c90">2022</DocumentYear>
    <FicheNumber xmlns="1299d781-265f-4ceb-999e-e1eca3df2c90">11973</FicheNumber>
    <OriginalSender xmlns="1299d781-265f-4ceb-999e-e1eca3df2c90">
      <UserInfo>
        <DisplayName>Skubina Ieva</DisplayName>
        <AccountId>2263</AccountId>
        <AccountType/>
      </UserInfo>
    </OriginalSender>
    <DocumentPart xmlns="1299d781-265f-4ceb-999e-e1eca3df2c90">0</DocumentPart>
    <AdoptionDate xmlns="1299d781-265f-4ceb-999e-e1eca3df2c90">2022-09-21T12:00:00+00:00</AdoptionDate>
    <RequestingService xmlns="1299d781-265f-4ceb-999e-e1eca3df2c90">Transports, énergie, infrastructures, société de l'information</RequestingService>
    <MeetingName_0 xmlns="http://schemas.microsoft.com/sharepoint/v3/fields">
      <Terms xmlns="http://schemas.microsoft.com/office/infopath/2007/PartnerControls"/>
    </MeetingName_0>
    <AvailableTranslations_0 xmlns="http://schemas.microsoft.com/sharepoint/v3/fields">
      <Terms xmlns="http://schemas.microsoft.com/office/infopath/2007/PartnerControls">
        <TermInfo xmlns="http://schemas.microsoft.com/office/infopath/2007/PartnerControls">
          <TermName xmlns="http://schemas.microsoft.com/office/infopath/2007/PartnerControls">NL</TermName>
          <TermId xmlns="http://schemas.microsoft.com/office/infopath/2007/PartnerControls">55c6556c-b4f4-441d-9acf-c498d4f838bd</TermId>
        </TermInfo>
        <TermInfo xmlns="http://schemas.microsoft.com/office/infopath/2007/PartnerControls">
          <TermName xmlns="http://schemas.microsoft.com/office/infopath/2007/PartnerControls">BG</TermName>
          <TermId xmlns="http://schemas.microsoft.com/office/infopath/2007/PartnerControls">1a1b3951-7821-4e6a-85f5-5673fc08bd2c</TermId>
        </TermInfo>
        <TermInfo xmlns="http://schemas.microsoft.com/office/infopath/2007/PartnerControls">
          <TermName xmlns="http://schemas.microsoft.com/office/infopath/2007/PartnerControls">LT</TermName>
          <TermId xmlns="http://schemas.microsoft.com/office/infopath/2007/PartnerControls">a7ff5ce7-6123-4f68-865a-a57c31810414</TermId>
        </TermInfo>
        <TermInfo xmlns="http://schemas.microsoft.com/office/infopath/2007/PartnerControls">
          <TermName xmlns="http://schemas.microsoft.com/office/infopath/2007/PartnerControls">CS</TermName>
          <TermId xmlns="http://schemas.microsoft.com/office/infopath/2007/PartnerControls">72f9705b-0217-4fd3-bea2-cbc7ed80e26e</TermId>
        </TermInfo>
        <TermInfo xmlns="http://schemas.microsoft.com/office/infopath/2007/PartnerControls">
          <TermName xmlns="http://schemas.microsoft.com/office/infopath/2007/PartnerControls">GA</TermName>
          <TermId xmlns="http://schemas.microsoft.com/office/infopath/2007/PartnerControls">762d2456-c427-4ecb-b312-af3dad8e258c</TermId>
        </TermInfo>
        <TermInfo xmlns="http://schemas.microsoft.com/office/infopath/2007/PartnerControls">
          <TermName xmlns="http://schemas.microsoft.com/office/infopath/2007/PartnerControls">LV</TermName>
          <TermId xmlns="http://schemas.microsoft.com/office/infopath/2007/PartnerControls">46f7e311-5d9f-4663-b433-18aeccb7ace7</TermId>
        </TermInfo>
        <TermInfo xmlns="http://schemas.microsoft.com/office/infopath/2007/PartnerControls">
          <TermName xmlns="http://schemas.microsoft.com/office/infopath/2007/PartnerControls">SL</TermName>
          <TermId xmlns="http://schemas.microsoft.com/office/infopath/2007/PartnerControls">98a412ae-eb01-49e9-ae3d-585a81724cfc</TermId>
        </TermInfo>
        <TermInfo xmlns="http://schemas.microsoft.com/office/infopath/2007/PartnerControls">
          <TermName xmlns="http://schemas.microsoft.com/office/infopath/2007/PartnerControls">DA</TermName>
          <TermId xmlns="http://schemas.microsoft.com/office/infopath/2007/PartnerControls">5d49c027-8956-412b-aa16-e85a0f96ad0e</TermId>
        </TermInfo>
        <TermInfo xmlns="http://schemas.microsoft.com/office/infopath/2007/PartnerControls">
          <TermName xmlns="http://schemas.microsoft.com/office/infopath/2007/PartnerControls">MT</TermName>
          <TermId xmlns="http://schemas.microsoft.com/office/infopath/2007/PartnerControls">7df99101-6854-4a26-b53a-b88c0da02c26</TermId>
        </TermInfo>
        <TermInfo xmlns="http://schemas.microsoft.com/office/infopath/2007/PartnerControls">
          <TermName xmlns="http://schemas.microsoft.com/office/infopath/2007/PartnerControls">PL</TermName>
          <TermId xmlns="http://schemas.microsoft.com/office/infopath/2007/PartnerControls">1e03da61-4678-4e07-b136-b5024ca9197b</TermId>
        </TermInfo>
        <TermInfo xmlns="http://schemas.microsoft.com/office/infopath/2007/PartnerControls">
          <TermName xmlns="http://schemas.microsoft.com/office/infopath/2007/PartnerControls">SK</TermName>
          <TermId xmlns="http://schemas.microsoft.com/office/infopath/2007/PartnerControls">46d9fce0-ef79-4f71-b89b-cd6aa82426b8</TermId>
        </TermInfo>
        <TermInfo xmlns="http://schemas.microsoft.com/office/infopath/2007/PartnerControls">
          <TermName xmlns="http://schemas.microsoft.com/office/infopath/2007/PartnerControls">HR</TermName>
          <TermId xmlns="http://schemas.microsoft.com/office/infopath/2007/PartnerControls">2f555653-ed1a-4fe6-8362-9082d95989e5</TermId>
        </TermInfo>
        <TermInfo xmlns="http://schemas.microsoft.com/office/infopath/2007/PartnerControls">
          <TermName xmlns="http://schemas.microsoft.com/office/infopath/2007/PartnerControls">ET</TermName>
          <TermId xmlns="http://schemas.microsoft.com/office/infopath/2007/PartnerControls">ff6c3f4c-b02c-4c3c-ab07-2c37995a7a0a</TermId>
        </TermInfo>
        <TermInfo xmlns="http://schemas.microsoft.com/office/infopath/2007/PartnerControls">
          <TermName xmlns="http://schemas.microsoft.com/office/infopath/2007/PartnerControls">FR</TermName>
          <TermId xmlns="http://schemas.microsoft.com/office/infopath/2007/PartnerControls">d2afafd3-4c81-4f60-8f52-ee33f2f54ff3</TermId>
        </TermInfo>
        <TermInfo xmlns="http://schemas.microsoft.com/office/infopath/2007/PartnerControls">
          <TermName xmlns="http://schemas.microsoft.com/office/infopath/2007/PartnerControls">FI</TermName>
          <TermId xmlns="http://schemas.microsoft.com/office/infopath/2007/PartnerControls">87606a43-d45f-42d6-b8c9-e1a3457db5b7</TermId>
        </TermInfo>
        <TermInfo xmlns="http://schemas.microsoft.com/office/infopath/2007/PartnerControls">
          <TermName xmlns="http://schemas.microsoft.com/office/infopath/2007/PartnerControls">HU</TermName>
          <TermId xmlns="http://schemas.microsoft.com/office/infopath/2007/PartnerControls">6b229040-c589-4408-b4c1-4285663d20a8</TermId>
        </TermInfo>
        <TermInfo xmlns="http://schemas.microsoft.com/office/infopath/2007/PartnerControls">
          <TermName xmlns="http://schemas.microsoft.com/office/infopath/2007/PartnerControls">PT</TermName>
          <TermId xmlns="http://schemas.microsoft.com/office/infopath/2007/PartnerControls">50ccc04a-eadd-42ae-a0cb-acaf45f812ba</TermId>
        </TermInfo>
        <TermInfo xmlns="http://schemas.microsoft.com/office/infopath/2007/PartnerControls">
          <TermName xmlns="http://schemas.microsoft.com/office/infopath/2007/PartnerControls">DE</TermName>
          <TermId xmlns="http://schemas.microsoft.com/office/infopath/2007/PartnerControls">f6b31e5a-26fa-4935-b661-318e46daf27e</TermId>
        </TermInfo>
        <TermInfo xmlns="http://schemas.microsoft.com/office/infopath/2007/PartnerControls">
          <TermName xmlns="http://schemas.microsoft.com/office/infopath/2007/PartnerControls">RO</TermName>
          <TermId xmlns="http://schemas.microsoft.com/office/infopath/2007/PartnerControls">feb747a2-64cd-4299-af12-4833ddc30497</TermId>
        </TermInfo>
        <TermInfo xmlns="http://schemas.microsoft.com/office/infopath/2007/PartnerControls">
          <TermName xmlns="http://schemas.microsoft.com/office/infopath/2007/PartnerControls">ES</TermName>
          <TermId xmlns="http://schemas.microsoft.com/office/infopath/2007/PartnerControls">e7a6b05b-ae16-40c8-add9-68b64b03aeba</TermId>
        </TermInfo>
        <TermInfo xmlns="http://schemas.microsoft.com/office/infopath/2007/PartnerControls">
          <TermName xmlns="http://schemas.microsoft.com/office/infopath/2007/PartnerControls">EN</TermName>
          <TermId xmlns="http://schemas.microsoft.com/office/infopath/2007/PartnerControls">f2175f21-25d7-44a3-96da-d6a61b075e1b</TermId>
        </TermInfo>
        <TermInfo xmlns="http://schemas.microsoft.com/office/infopath/2007/PartnerControls">
          <TermName xmlns="http://schemas.microsoft.com/office/infopath/2007/PartnerControls">EL</TermName>
          <TermId xmlns="http://schemas.microsoft.com/office/infopath/2007/PartnerControls">6d4f4d51-af9b-4650-94b4-4276bee85c91</TermId>
        </TermInfo>
        <TermInfo xmlns="http://schemas.microsoft.com/office/infopath/2007/PartnerControls">
          <TermName xmlns="http://schemas.microsoft.com/office/infopath/2007/PartnerControls">SV</TermName>
          <TermId xmlns="http://schemas.microsoft.com/office/infopath/2007/PartnerControls">c2ed69e7-a339-43d7-8f22-d93680a92aa0</TermId>
        </TermInfo>
        <TermInfo xmlns="http://schemas.microsoft.com/office/infopath/2007/PartnerControls">
          <TermName xmlns="http://schemas.microsoft.com/office/infopath/2007/PartnerControls">IT</TermName>
          <TermId xmlns="http://schemas.microsoft.com/office/infopath/2007/PartnerControls">0774613c-01ed-4e5d-a25d-11d2388de825</TermId>
        </TermInfo>
      </Terms>
    </AvailableTranslations_0>
    <DocumentStatus_0 xmlns="http://schemas.microsoft.com/sharepoint/v3/fields">
      <Terms xmlns="http://schemas.microsoft.com/office/infopath/2007/PartnerControls">
        <TermInfo xmlns="http://schemas.microsoft.com/office/infopath/2007/PartnerControls">
          <TermName xmlns="http://schemas.microsoft.com/office/infopath/2007/PartnerControls">TRA</TermName>
          <TermId xmlns="http://schemas.microsoft.com/office/infopath/2007/PartnerControls">150d2a88-1431-44e6-a8ca-0bb753ab8672</TermId>
        </TermInfo>
      </Terms>
    </DocumentStatus_0>
    <OriginalLanguage_0 xmlns="http://schemas.microsoft.com/sharepoint/v3/fields">
      <Terms xmlns="http://schemas.microsoft.com/office/infopath/2007/PartnerControls">
        <TermInfo xmlns="http://schemas.microsoft.com/office/infopath/2007/PartnerControls">
          <TermName xmlns="http://schemas.microsoft.com/office/infopath/2007/PartnerControls">EN</TermName>
          <TermId xmlns="http://schemas.microsoft.com/office/infopath/2007/PartnerControls">f2175f21-25d7-44a3-96da-d6a61b075e1b</TermId>
        </TermInfo>
      </Terms>
    </OriginalLanguage_0>
    <MeetingNumber xmlns="4e5ad790-8ffd-4f61-866f-51e1599a4efe" xsi:nil="true"/>
    <DossierName_0 xmlns="http://schemas.microsoft.com/sharepoint/v3/fields">
      <Terms xmlns="http://schemas.microsoft.com/office/infopath/2007/PartnerControls">
        <TermInfo xmlns="http://schemas.microsoft.com/office/infopath/2007/PartnerControls">
          <TermName xmlns="http://schemas.microsoft.com/office/infopath/2007/PartnerControls">TEN</TermName>
          <TermId xmlns="http://schemas.microsoft.com/office/infopath/2007/PartnerControls">5e12260d-3aca-41f8-baf2-ad3d18475f10</TermId>
        </TermInfo>
      </Terms>
    </DossierName_0>
  </documentManagement>
</p:properties>
</file>

<file path=customXml/item2.xml><?xml version="1.0" encoding="utf-8"?>
<ct:contentTypeSchema xmlns:ct="http://schemas.microsoft.com/office/2006/metadata/contentType" xmlns:ma="http://schemas.microsoft.com/office/2006/metadata/properties/metaAttributes" ct:_="" ma:_="" ma:contentTypeName="DM Document" ma:contentTypeID="0x010100EA97B91038054C99906057A708A1480A00626EADD26EE0CA468385E76F4CAC56BA" ma:contentTypeVersion="6" ma:contentTypeDescription="Defines the documents for Document Manager V2" ma:contentTypeScope="" ma:versionID="0706ea8d3b9a7e087b6b0325ec64b2af">
  <xsd:schema xmlns:xsd="http://www.w3.org/2001/XMLSchema" xmlns:xs="http://www.w3.org/2001/XMLSchema" xmlns:p="http://schemas.microsoft.com/office/2006/metadata/properties" xmlns:ns2="1299d781-265f-4ceb-999e-e1eca3df2c90" xmlns:ns3="http://schemas.microsoft.com/sharepoint/v3/fields" xmlns:ns4="4e5ad790-8ffd-4f61-866f-51e1599a4efe" targetNamespace="http://schemas.microsoft.com/office/2006/metadata/properties" ma:root="true" ma:fieldsID="37d26b06415ea66cb6502f4057d4db51" ns2:_="" ns3:_="" ns4:_="">
    <xsd:import namespace="1299d781-265f-4ceb-999e-e1eca3df2c90"/>
    <xsd:import namespace="http://schemas.microsoft.com/sharepoint/v3/fields"/>
    <xsd:import namespace="4e5ad790-8ffd-4f61-866f-51e1599a4efe"/>
    <xsd:element name="properties">
      <xsd:complexType>
        <xsd:sequence>
          <xsd:element name="documentManagement">
            <xsd:complexType>
              <xsd:all>
                <xsd:element ref="ns2:_dlc_DocId" minOccurs="0"/>
                <xsd:element ref="ns2:_dlc_DocIdUrl" minOccurs="0"/>
                <xsd:element ref="ns2:_dlc_DocIdPersistId" minOccurs="0"/>
                <xsd:element ref="ns2:ProductionDate" minOccurs="0"/>
                <xsd:element ref="ns2:OriginalSender" minOccurs="0"/>
                <xsd:element ref="ns3:DocumentLanguage_0" minOccurs="0"/>
                <xsd:element ref="ns2:DossierNumber" minOccurs="0"/>
                <xsd:element ref="ns4:MeetingNumber" minOccurs="0"/>
                <xsd:element ref="ns2:Rapporteur" minOccurs="0"/>
                <xsd:element ref="ns2:AdoptionDate" minOccurs="0"/>
                <xsd:element ref="ns3:Confidentiality_0" minOccurs="0"/>
                <xsd:element ref="ns2:TaxCatchAll" minOccurs="0"/>
                <xsd:element ref="ns2:TaxCatchAllLabel" minOccurs="0"/>
                <xsd:element ref="ns3:DocumentSource_0" minOccurs="0"/>
                <xsd:element ref="ns4:DocumentNumber" minOccurs="0"/>
                <xsd:element ref="ns2:MeetingDate" minOccurs="0"/>
                <xsd:element ref="ns3:OriginalLanguage_0" minOccurs="0"/>
                <xsd:element ref="ns2:Procedure" minOccurs="0"/>
                <xsd:element ref="ns3:VersionStatus_0" minOccurs="0"/>
                <xsd:element ref="ns3:DocumentStatus_0" minOccurs="0"/>
                <xsd:element ref="ns2:DocumentYear"/>
                <xsd:element ref="ns3:DocumentType_0" minOccurs="0"/>
                <xsd:element ref="ns2:DocumentPart" minOccurs="0"/>
                <xsd:element ref="ns3:MeetingName_0" minOccurs="0"/>
                <xsd:element ref="ns3:AvailableTranslations_0" minOccurs="0"/>
                <xsd:element ref="ns2:FicheYear" minOccurs="0"/>
                <xsd:element ref="ns2:RequestingService" minOccurs="0"/>
                <xsd:element ref="ns2:FicheNumber" minOccurs="0"/>
                <xsd:element ref="ns3:DossierName_0" minOccurs="0"/>
                <xsd:element ref="ns2:Document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99d781-265f-4ceb-999e-e1eca3df2c90"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ProductionDate" ma:index="12" nillable="true" ma:displayName="Production Date" ma:format="DateOnly" ma:internalName="ProductionDate">
      <xsd:simpleType>
        <xsd:restriction base="dms:DateTime"/>
      </xsd:simpleType>
    </xsd:element>
    <xsd:element name="OriginalSender" ma:index="13" nillable="true" ma:displayName="Original Sender" ma:internalName="OriginalSend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ssierNumber" ma:index="15" nillable="true" ma:displayName="Dossier Number" ma:decimals="0" ma:internalName="DossierNumber">
      <xsd:simpleType>
        <xsd:restriction base="dms:Unknown"/>
      </xsd:simpleType>
    </xsd:element>
    <xsd:element name="Rapporteur" ma:index="17" nillable="true" ma:displayName="Rapporteur" ma:internalName="Rapporteur">
      <xsd:simpleType>
        <xsd:restriction base="dms:Text"/>
      </xsd:simpleType>
    </xsd:element>
    <xsd:element name="AdoptionDate" ma:index="18" nillable="true" ma:displayName="Adoption Date" ma:format="DateOnly" ma:internalName="AdoptionDate">
      <xsd:simpleType>
        <xsd:restriction base="dms:DateTime"/>
      </xsd:simpleType>
    </xsd:element>
    <xsd:element name="TaxCatchAll" ma:index="20" nillable="true" ma:displayName="Taxonomy Catch All Column" ma:hidden="true" ma:list="{7ea9cc77-7db7-4067-9972-efc9a75de26f}" ma:internalName="TaxCatchAll" ma:showField="CatchAllData" ma:web="1299d781-265f-4ceb-999e-e1eca3df2c90">
      <xsd:complexType>
        <xsd:complexContent>
          <xsd:extension base="dms:MultiChoiceLookup">
            <xsd:sequence>
              <xsd:element name="Value" type="dms:Lookup" maxOccurs="unbounded" minOccurs="0" nillable="true"/>
            </xsd:sequence>
          </xsd:extension>
        </xsd:complexContent>
      </xsd:complexType>
    </xsd:element>
    <xsd:element name="TaxCatchAllLabel" ma:index="21" nillable="true" ma:displayName="Taxonomy Catch All Column1" ma:hidden="true" ma:list="{7ea9cc77-7db7-4067-9972-efc9a75de26f}" ma:internalName="TaxCatchAllLabel" ma:readOnly="true" ma:showField="CatchAllDataLabel" ma:web="1299d781-265f-4ceb-999e-e1eca3df2c90">
      <xsd:complexType>
        <xsd:complexContent>
          <xsd:extension base="dms:MultiChoiceLookup">
            <xsd:sequence>
              <xsd:element name="Value" type="dms:Lookup" maxOccurs="unbounded" minOccurs="0" nillable="true"/>
            </xsd:sequence>
          </xsd:extension>
        </xsd:complexContent>
      </xsd:complexType>
    </xsd:element>
    <xsd:element name="MeetingDate" ma:index="26" nillable="true" ma:displayName="Meeting Date" ma:format="DateOnly" ma:internalName="MeetingDate">
      <xsd:simpleType>
        <xsd:restriction base="dms:DateTime"/>
      </xsd:simpleType>
    </xsd:element>
    <xsd:element name="Procedure" ma:index="29" nillable="true" ma:displayName="Procedure" ma:internalName="Procedure">
      <xsd:simpleType>
        <xsd:restriction base="dms:Text"/>
      </xsd:simpleType>
    </xsd:element>
    <xsd:element name="DocumentYear" ma:index="34" ma:displayName="Document Year" ma:decimals="0" ma:internalName="DocumentYear">
      <xsd:simpleType>
        <xsd:restriction base="dms:Unknown"/>
      </xsd:simpleType>
    </xsd:element>
    <xsd:element name="DocumentPart" ma:index="37" nillable="true" ma:displayName="Document Part" ma:decimals="0" ma:internalName="DocumentPart">
      <xsd:simpleType>
        <xsd:restriction base="dms:Unknown"/>
      </xsd:simpleType>
    </xsd:element>
    <xsd:element name="FicheYear" ma:index="42" nillable="true" ma:displayName="Fiche Year" ma:decimals="0" ma:internalName="FicheYear">
      <xsd:simpleType>
        <xsd:restriction base="dms:Unknown"/>
      </xsd:simpleType>
    </xsd:element>
    <xsd:element name="RequestingService" ma:index="43" nillable="true" ma:displayName="Requesting Service" ma:internalName="RequestingService">
      <xsd:simpleType>
        <xsd:restriction base="dms:Text"/>
      </xsd:simpleType>
    </xsd:element>
    <xsd:element name="FicheNumber" ma:index="44" nillable="true" ma:displayName="Fiche Number" ma:decimals="0" ma:internalName="FicheNumber">
      <xsd:simpleType>
        <xsd:restriction base="dms:Unknown"/>
      </xsd:simpleType>
    </xsd:element>
    <xsd:element name="DocumentVersion" ma:index="47" nillable="true" ma:displayName="Document Version" ma:decimals="0" ma:internalName="DocumentVersion">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ocumentLanguage_0" ma:index="14" nillable="true" ma:taxonomy="true" ma:internalName="DocumentLanguage_0" ma:taxonomyFieldName="DocumentLanguage" ma:displayName="Document Language" ma:fieldId="{ee5c55ab-e8dd-441f-8840-fdce66906fe3}"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Confidentiality_0" ma:index="19" nillable="true" ma:taxonomy="true" ma:internalName="Confidentiality_0" ma:taxonomyFieldName="Confidentiality" ma:displayName="Confidentiality" ma:fieldId="{ee5c4bfe-2b62-4831-9131-22edf8f3665c}" ma:sspId="5004ddca-ed1a-45fa-b2df-508b3c5dfc98" ma:termSetId="11d040ac-3a9a-4d4c-b9cf-922342a701d6" ma:anchorId="00000000-0000-0000-0000-000000000000" ma:open="false" ma:isKeyword="false">
      <xsd:complexType>
        <xsd:sequence>
          <xsd:element ref="pc:Terms" minOccurs="0" maxOccurs="1"/>
        </xsd:sequence>
      </xsd:complexType>
    </xsd:element>
    <xsd:element name="DocumentSource_0" ma:index="23" ma:taxonomy="true" ma:internalName="DocumentSource_0" ma:taxonomyFieldName="DocumentSource" ma:displayName="Document Source" ma:fieldId="{ee5c1c29-f257-4aae-8e5e-529c0040e17a}" ma:sspId="5004ddca-ed1a-45fa-b2df-508b3c5dfc98" ma:termSetId="ca143256-a90d-4d26-b249-02646b17c0c5" ma:anchorId="00000000-0000-0000-0000-000000000000" ma:open="false" ma:isKeyword="false">
      <xsd:complexType>
        <xsd:sequence>
          <xsd:element ref="pc:Terms" minOccurs="0" maxOccurs="1"/>
        </xsd:sequence>
      </xsd:complexType>
    </xsd:element>
    <xsd:element name="OriginalLanguage_0" ma:index="27" nillable="true" ma:taxonomy="true" ma:internalName="OriginalLanguage_0" ma:taxonomyFieldName="OriginalLanguage" ma:displayName="Original Language" ma:fieldId="{ee5ce750-ff6c-4875-8192-ef11fb51efba}" ma:taxonomyMulti="true"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VersionStatus_0" ma:index="30" ma:taxonomy="true" ma:internalName="VersionStatus_0" ma:taxonomyFieldName="VersionStatus" ma:displayName="Version Status" ma:indexed="true" ma:fieldId="{ee5cb94b-3df1-4df3-b49b-6e47ce2a7e87}" ma:sspId="5004ddca-ed1a-45fa-b2df-508b3c5dfc98" ma:termSetId="adeca67b-2bdd-4d0f-b3af-a690b4c6d95d" ma:anchorId="00000000-0000-0000-0000-000000000000" ma:open="false" ma:isKeyword="false">
      <xsd:complexType>
        <xsd:sequence>
          <xsd:element ref="pc:Terms" minOccurs="0" maxOccurs="1"/>
        </xsd:sequence>
      </xsd:complexType>
    </xsd:element>
    <xsd:element name="DocumentStatus_0" ma:index="32" nillable="true" ma:taxonomy="true" ma:internalName="DocumentStatus_0" ma:taxonomyFieldName="DocumentStatus" ma:displayName="Document Status" ma:fieldId="{ee5cab93-ac4d-4e2f-b298-e5342324388c}" ma:sspId="5004ddca-ed1a-45fa-b2df-508b3c5dfc98" ma:termSetId="54b85ca4-9023-4cbf-8e96-81af7735228f" ma:anchorId="00000000-0000-0000-0000-000000000000" ma:open="false" ma:isKeyword="false">
      <xsd:complexType>
        <xsd:sequence>
          <xsd:element ref="pc:Terms" minOccurs="0" maxOccurs="1"/>
        </xsd:sequence>
      </xsd:complexType>
    </xsd:element>
    <xsd:element name="DocumentType_0" ma:index="35" nillable="true" ma:taxonomy="true" ma:internalName="DocumentType_0" ma:taxonomyFieldName="DocumentType" ma:displayName="Document Type" ma:indexed="true" ma:fieldId="{ee5cf431-2d10-41e6-bd88-1b6bd5b84f5f}" ma:sspId="5004ddca-ed1a-45fa-b2df-508b3c5dfc98" ma:termSetId="67a76952-94e0-437b-9a60-5085083dde02" ma:anchorId="00000000-0000-0000-0000-000000000000" ma:open="false" ma:isKeyword="false">
      <xsd:complexType>
        <xsd:sequence>
          <xsd:element ref="pc:Terms" minOccurs="0" maxOccurs="1"/>
        </xsd:sequence>
      </xsd:complexType>
    </xsd:element>
    <xsd:element name="MeetingName_0" ma:index="38" nillable="true" ma:taxonomy="true" ma:internalName="MeetingName_0" ma:taxonomyFieldName="MeetingName" ma:displayName="Meeting Name" ma:indexed="true" ma:fieldId="{ee5c9b55-8403-4f9e-a156-b6ce5b7b9456}" ma:sspId="5004ddca-ed1a-45fa-b2df-508b3c5dfc98" ma:termSetId="a04e9634-de73-4a41-8cb5-e1efdb89060c" ma:anchorId="00000000-0000-0000-0000-000000000000" ma:open="false" ma:isKeyword="false">
      <xsd:complexType>
        <xsd:sequence>
          <xsd:element ref="pc:Terms" minOccurs="0" maxOccurs="1"/>
        </xsd:sequence>
      </xsd:complexType>
    </xsd:element>
    <xsd:element name="AvailableTranslations_0" ma:index="40" nillable="true" ma:taxonomy="true" ma:internalName="AvailableTranslations_0" ma:taxonomyFieldName="AvailableTranslations" ma:displayName="Available Translations" ma:fieldId="{ee5c7c01-1a65-4138-aa64-80e01e34d799}" ma:taxonomyMulti="true"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DossierName_0" ma:index="45" nillable="true" ma:taxonomy="true" ma:internalName="DossierName_0" ma:taxonomyFieldName="DossierName" ma:displayName="Dossier Name" ma:fieldId="{ee5cf7da-503b-4593-8db2-4f0e09c901fd}" ma:sspId="5004ddca-ed1a-45fa-b2df-508b3c5dfc98" ma:termSetId="2b392f04-1222-4352-87c1-6fd60ec33b64"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e5ad790-8ffd-4f61-866f-51e1599a4efe" elementFormDefault="qualified">
    <xsd:import namespace="http://schemas.microsoft.com/office/2006/documentManagement/types"/>
    <xsd:import namespace="http://schemas.microsoft.com/office/infopath/2007/PartnerControls"/>
    <xsd:element name="MeetingNumber" ma:index="16" nillable="true" ma:displayName="Meeting Number" ma:decimals="0" ma:indexed="true" ma:internalName="MeetingNumber">
      <xsd:simpleType>
        <xsd:restriction base="dms:Unknown"/>
      </xsd:simpleType>
    </xsd:element>
    <xsd:element name="DocumentNumber" ma:index="25" nillable="true" ma:displayName="Document Number" ma:decimals="0" ma:indexed="true" ma:internalName="DocumentNumber">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BF85E2F-1153-455F-B898-E6242C729DE5}"/>
</file>

<file path=customXml/itemProps2.xml><?xml version="1.0" encoding="utf-8"?>
<ds:datastoreItem xmlns:ds="http://schemas.openxmlformats.org/officeDocument/2006/customXml" ds:itemID="{648FBDA5-081C-4780-B953-8436A071A44D}"/>
</file>

<file path=customXml/itemProps3.xml><?xml version="1.0" encoding="utf-8"?>
<ds:datastoreItem xmlns:ds="http://schemas.openxmlformats.org/officeDocument/2006/customXml" ds:itemID="{AC9B54EB-658C-4FAC-AC1B-167E9F5177F2}"/>
</file>

<file path=customXml/itemProps4.xml><?xml version="1.0" encoding="utf-8"?>
<ds:datastoreItem xmlns:ds="http://schemas.openxmlformats.org/officeDocument/2006/customXml" ds:itemID="{82FD00AA-6BCE-4EE1-B90A-8A59096B1C01}"/>
</file>

<file path=docProps/app.xml><?xml version="1.0" encoding="utf-8"?>
<Properties xmlns="http://schemas.openxmlformats.org/officeDocument/2006/extended-properties" xmlns:vt="http://schemas.openxmlformats.org/officeDocument/2006/docPropsVTypes">
  <Template>Normal.dotm</Template>
  <TotalTime>7</TotalTime>
  <Pages>7</Pages>
  <Words>2163</Words>
  <Characters>12332</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Temporary airport slot relief due to COVID-19</vt:lpstr>
    </vt:vector>
  </TitlesOfParts>
  <Company>CESE-CdR</Company>
  <LinksUpToDate>false</LinksUpToDate>
  <CharactersWithSpaces>14467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Pagaidu atbrīvojums no laika nišām lidostās Covid-19 pandēmijas dēļ</dc:title>
  <dc:subject>AC</dc:subject>
  <dc:creator>Francois Aude</dc:creator>
  <cp:keywords>EESC-2022-03866-00-02-AC-TRA-EN</cp:keywords>
  <dc:description>Rapporteur: KROPP - Original language: EN - Date of document: 14/10/2022 - Date of meeting:  - External documents: COM(2022)334- final - Administrator:  NAPOLITANO FRANCESCO</dc:description>
  <cp:lastModifiedBy>Skubina Ieva</cp:lastModifiedBy>
  <cp:revision>9</cp:revision>
  <dcterms:created xsi:type="dcterms:W3CDTF">2022-10-13T13:09:00Z</dcterms:created>
  <dcterms:modified xsi:type="dcterms:W3CDTF">2022-10-14T12:19:00Z</dcterms:modified>
  <cp:category>TEN/787</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ef_formatted">
    <vt:bool>true</vt:bool>
  </property>
  <property fmtid="{D5CDD505-2E9C-101B-9397-08002B2CF9AE}" pid="3" name="Pref_Date">
    <vt:lpwstr>13/10/2022, 07/10/2022, 28/09/2022, 17/05/2022</vt:lpwstr>
  </property>
  <property fmtid="{D5CDD505-2E9C-101B-9397-08002B2CF9AE}" pid="4" name="Pref_Time">
    <vt:lpwstr>15:02:52, 08:58:35, 08:52:32, 14:58:36</vt:lpwstr>
  </property>
  <property fmtid="{D5CDD505-2E9C-101B-9397-08002B2CF9AE}" pid="5" name="Pref_User">
    <vt:lpwstr>pacup, amett, pacup, enied</vt:lpwstr>
  </property>
  <property fmtid="{D5CDD505-2E9C-101B-9397-08002B2CF9AE}" pid="6" name="Pref_FileName">
    <vt:lpwstr>EESC-2022-03866-00-02-AC-TRA.docx, EESC-2022-03866-00-01-AC-ORI.docx, EESC-2022-03866-00-00-AC-TRA-EN-CRR.docx, COR-EESC-2022-02592-00-00-ADMIN-ORI.docx</vt:lpwstr>
  </property>
  <property fmtid="{D5CDD505-2E9C-101B-9397-08002B2CF9AE}" pid="7" name="ContentTypeId">
    <vt:lpwstr>0x010100EA97B91038054C99906057A708A1480A00626EADD26EE0CA468385E76F4CAC56BA</vt:lpwstr>
  </property>
  <property fmtid="{D5CDD505-2E9C-101B-9397-08002B2CF9AE}" pid="8" name="_dlc_DocIdItemGuid">
    <vt:lpwstr>73f516c4-0543-4b61-8f4c-3b20a50c500a</vt:lpwstr>
  </property>
  <property fmtid="{D5CDD505-2E9C-101B-9397-08002B2CF9AE}" pid="9" name="Procedure">
    <vt:lpwstr>2022/0214(COD)</vt:lpwstr>
  </property>
  <property fmtid="{D5CDD505-2E9C-101B-9397-08002B2CF9AE}" pid="10" name="AvailableTranslations">
    <vt:lpwstr>43;#NL|55c6556c-b4f4-441d-9acf-c498d4f838bd;#40;#BG|1a1b3951-7821-4e6a-85f5-5673fc08bd2c;#44;#LT|a7ff5ce7-6123-4f68-865a-a57c31810414;#41;#CS|72f9705b-0217-4fd3-bea2-cbc7ed80e26e;#63;#GA|762d2456-c427-4ecb-b312-af3dad8e258c;#26;#LV|46f7e311-5d9f-4663-b433-18aeccb7ace7;#42;#SL|98a412ae-eb01-49e9-ae3d-585a81724cfc;#32;#DA|5d49c027-8956-412b-aa16-e85a0f96ad0e;#35;#MT|7df99101-6854-4a26-b53a-b88c0da02c26;#30;#PL|1e03da61-4678-4e07-b136-b5024ca9197b;#34;#SK|46d9fce0-ef79-4f71-b89b-cd6aa82426b8;#55;#HR|2f555653-ed1a-4fe6-8362-9082d95989e5;#54;#ET|ff6c3f4c-b02c-4c3c-ab07-2c37995a7a0a;#11;#FR|d2afafd3-4c81-4f60-8f52-ee33f2f54ff3;#38;#FI|87606a43-d45f-42d6-b8c9-e1a3457db5b7;#36;#HU|6b229040-c589-4408-b4c1-4285663d20a8;#37;#PT|50ccc04a-eadd-42ae-a0cb-acaf45f812ba;#22;#DE|f6b31e5a-26fa-4935-b661-318e46daf27e;#45;#RO|feb747a2-64cd-4299-af12-4833ddc30497;#31;#ES|e7a6b05b-ae16-40c8-add9-68b64b03aeba;#4;#EN|f2175f21-25d7-44a3-96da-d6a61b075e1b;#46;#EL|6d4f4d51-af9b-4650-94b4-4276bee85c91;#29;#SV|c2ed69e7-a339-43d7-8f22-d93680a92aa0;#33;#IT|0774613c-01ed-4e5d-a25d-11d2388de825</vt:lpwstr>
  </property>
  <property fmtid="{D5CDD505-2E9C-101B-9397-08002B2CF9AE}" pid="11" name="DocumentType_0">
    <vt:lpwstr>AC|a4cc1d15-fb08-4679-ad46-e4e0cba5fe92</vt:lpwstr>
  </property>
  <property fmtid="{D5CDD505-2E9C-101B-9397-08002B2CF9AE}" pid="12" name="DossierName_0">
    <vt:lpwstr>TEN|5e12260d-3aca-41f8-baf2-ad3d18475f10</vt:lpwstr>
  </property>
  <property fmtid="{D5CDD505-2E9C-101B-9397-08002B2CF9AE}" pid="13" name="DocumentSource_0">
    <vt:lpwstr>EESC|422833ec-8d7e-4e65-8e4e-8bed07ffb729</vt:lpwstr>
  </property>
  <property fmtid="{D5CDD505-2E9C-101B-9397-08002B2CF9AE}" pid="14" name="DocumentNumber">
    <vt:i4>3866</vt:i4>
  </property>
  <property fmtid="{D5CDD505-2E9C-101B-9397-08002B2CF9AE}" pid="15" name="DocumentVersion">
    <vt:i4>2</vt:i4>
  </property>
  <property fmtid="{D5CDD505-2E9C-101B-9397-08002B2CF9AE}" pid="16" name="DossierNumber">
    <vt:i4>787</vt:i4>
  </property>
  <property fmtid="{D5CDD505-2E9C-101B-9397-08002B2CF9AE}" pid="17" name="DocumentStatus">
    <vt:lpwstr>7;#TRA|150d2a88-1431-44e6-a8ca-0bb753ab8672</vt:lpwstr>
  </property>
  <property fmtid="{D5CDD505-2E9C-101B-9397-08002B2CF9AE}" pid="18" name="DocumentPart">
    <vt:i4>0</vt:i4>
  </property>
  <property fmtid="{D5CDD505-2E9C-101B-9397-08002B2CF9AE}" pid="19" name="DossierName">
    <vt:lpwstr>49;#TEN|5e12260d-3aca-41f8-baf2-ad3d18475f10</vt:lpwstr>
  </property>
  <property fmtid="{D5CDD505-2E9C-101B-9397-08002B2CF9AE}" pid="20" name="DocumentSource">
    <vt:lpwstr>1;#EESC|422833ec-8d7e-4e65-8e4e-8bed07ffb729</vt:lpwstr>
  </property>
  <property fmtid="{D5CDD505-2E9C-101B-9397-08002B2CF9AE}" pid="21" name="AdoptionDate">
    <vt:filetime>2022-09-21T12:00:00Z</vt:filetime>
  </property>
  <property fmtid="{D5CDD505-2E9C-101B-9397-08002B2CF9AE}" pid="22" name="DocumentType">
    <vt:lpwstr>90;#AC|a4cc1d15-fb08-4679-ad46-e4e0cba5fe92</vt:lpwstr>
  </property>
  <property fmtid="{D5CDD505-2E9C-101B-9397-08002B2CF9AE}" pid="23" name="RequestingService">
    <vt:lpwstr>Transports, énergie, infrastructures, société de l'information</vt:lpwstr>
  </property>
  <property fmtid="{D5CDD505-2E9C-101B-9397-08002B2CF9AE}" pid="24" name="Confidentiality">
    <vt:lpwstr>9;#Unrestricted|826e22d7-d029-4ec0-a450-0c28ff673572</vt:lpwstr>
  </property>
  <property fmtid="{D5CDD505-2E9C-101B-9397-08002B2CF9AE}" pid="25" name="MeetingName_0">
    <vt:lpwstr/>
  </property>
  <property fmtid="{D5CDD505-2E9C-101B-9397-08002B2CF9AE}" pid="26" name="Confidentiality_0">
    <vt:lpwstr>Unrestricted|826e22d7-d029-4ec0-a450-0c28ff673572</vt:lpwstr>
  </property>
  <property fmtid="{D5CDD505-2E9C-101B-9397-08002B2CF9AE}" pid="27" name="OriginalLanguage">
    <vt:lpwstr>4;#EN|f2175f21-25d7-44a3-96da-d6a61b075e1b</vt:lpwstr>
  </property>
  <property fmtid="{D5CDD505-2E9C-101B-9397-08002B2CF9AE}" pid="28" name="MeetingName">
    <vt:lpwstr/>
  </property>
  <property fmtid="{D5CDD505-2E9C-101B-9397-08002B2CF9AE}" pid="30" name="AvailableTranslations_0">
    <vt:lpwstr>NL|55c6556c-b4f4-441d-9acf-c498d4f838bd;LT|a7ff5ce7-6123-4f68-865a-a57c31810414;CS|72f9705b-0217-4fd3-bea2-cbc7ed80e26e;SL|98a412ae-eb01-49e9-ae3d-585a81724cfc;DA|5d49c027-8956-412b-aa16-e85a0f96ad0e;FR|d2afafd3-4c81-4f60-8f52-ee33f2f54ff3;FI|87606a43-d45f-42d6-b8c9-e1a3457db5b7;PT|50ccc04a-eadd-42ae-a0cb-acaf45f812ba;DE|f6b31e5a-26fa-4935-b661-318e46daf27e;EN|f2175f21-25d7-44a3-96da-d6a61b075e1b;IT|0774613c-01ed-4e5d-a25d-11d2388de825</vt:lpwstr>
  </property>
  <property fmtid="{D5CDD505-2E9C-101B-9397-08002B2CF9AE}" pid="31" name="DocumentStatus_0">
    <vt:lpwstr>TRA|150d2a88-1431-44e6-a8ca-0bb753ab8672</vt:lpwstr>
  </property>
  <property fmtid="{D5CDD505-2E9C-101B-9397-08002B2CF9AE}" pid="32" name="OriginalLanguage_0">
    <vt:lpwstr>EN|f2175f21-25d7-44a3-96da-d6a61b075e1b</vt:lpwstr>
  </property>
  <property fmtid="{D5CDD505-2E9C-101B-9397-08002B2CF9AE}" pid="33" name="TaxCatchAll">
    <vt:lpwstr>33;#IT|0774613c-01ed-4e5d-a25d-11d2388de825;#32;#DA|5d49c027-8956-412b-aa16-e85a0f96ad0e;#37;#PT|50ccc04a-eadd-42ae-a0cb-acaf45f812ba;#44;#LT|a7ff5ce7-6123-4f68-865a-a57c31810414;#22;#DE|f6b31e5a-26fa-4935-b661-318e46daf27e;#90;#AC|a4cc1d15-fb08-4679-ad46-e4e0cba5fe92;#49;#TEN|5e12260d-3aca-41f8-baf2-ad3d18475f10;#11;#FR|d2afafd3-4c81-4f60-8f52-ee33f2f54ff3;#38;#FI|87606a43-d45f-42d6-b8c9-e1a3457db5b7;#9;#Unrestricted|826e22d7-d029-4ec0-a450-0c28ff673572;#41;#CS|72f9705b-0217-4fd3-bea2-cbc7ed80e26e;#7;#TRA|150d2a88-1431-44e6-a8ca-0bb753ab8672;#43;#NL|55c6556c-b4f4-441d-9acf-c498d4f838bd;#42;#SL|98a412ae-eb01-49e9-ae3d-585a81724cfc;#4;#EN|f2175f21-25d7-44a3-96da-d6a61b075e1b;#1;#EESC|422833ec-8d7e-4e65-8e4e-8bed07ffb729;#6;#Final|ea5e6674-7b27-4bac-b091-73adbb394efe</vt:lpwstr>
  </property>
  <property fmtid="{D5CDD505-2E9C-101B-9397-08002B2CF9AE}" pid="34" name="Rapporteur">
    <vt:lpwstr>KROPP</vt:lpwstr>
  </property>
  <property fmtid="{D5CDD505-2E9C-101B-9397-08002B2CF9AE}" pid="35" name="VersionStatus_0">
    <vt:lpwstr>Final|ea5e6674-7b27-4bac-b091-73adbb394efe</vt:lpwstr>
  </property>
  <property fmtid="{D5CDD505-2E9C-101B-9397-08002B2CF9AE}" pid="36" name="VersionStatus">
    <vt:lpwstr>6;#Final|ea5e6674-7b27-4bac-b091-73adbb394efe</vt:lpwstr>
  </property>
  <property fmtid="{D5CDD505-2E9C-101B-9397-08002B2CF9AE}" pid="37" name="DocumentYear">
    <vt:i4>2022</vt:i4>
  </property>
  <property fmtid="{D5CDD505-2E9C-101B-9397-08002B2CF9AE}" pid="38" name="FicheNumber">
    <vt:i4>11973</vt:i4>
  </property>
  <property fmtid="{D5CDD505-2E9C-101B-9397-08002B2CF9AE}" pid="39" name="DocumentLanguage">
    <vt:lpwstr>26;#LV|46f7e311-5d9f-4663-b433-18aeccb7ace7</vt:lpwstr>
  </property>
</Properties>
</file>