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6.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7.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3E6C87" w14:paraId="51CA4476" w14:textId="77777777">
        <w:trPr>
          <w:jc w:val="center"/>
        </w:trPr>
        <w:tc>
          <w:tcPr>
            <w:tcW w:w="5000" w:type="pct"/>
            <w:vAlign w:val="center"/>
          </w:tcPr>
          <w:p w:rsidRPr="008238CC" w:rsidR="00574C9B" w:rsidP="006125A1" w:rsidRDefault="00574C9B" w14:paraId="22A93E5D" w14:textId="77777777">
            <w:pPr>
              <w:jc w:val="center"/>
              <w:rPr>
                <w:b/>
                <w:sz w:val="72"/>
                <w:szCs w:val="72"/>
              </w:rPr>
            </w:pPr>
            <w:bookmarkStart w:name="_GoBack" w:id="0"/>
            <w:bookmarkEnd w:id="0"/>
            <w:r w:rsidRPr="008238CC">
              <w:rPr>
                <w:b/>
                <w:sz w:val="72"/>
                <w:szCs w:val="72"/>
              </w:rPr>
              <w:t>OPINION</w:t>
            </w:r>
          </w:p>
        </w:tc>
      </w:tr>
      <w:tr w:rsidR="003E6C87" w14:paraId="43DA8FCA" w14:textId="77777777">
        <w:trPr>
          <w:trHeight w:val="567"/>
          <w:jc w:val="center"/>
        </w:trPr>
        <w:tc>
          <w:tcPr>
            <w:tcW w:w="5000" w:type="pct"/>
            <w:vAlign w:val="center"/>
          </w:tcPr>
          <w:p w:rsidRPr="008238CC" w:rsidR="00574C9B" w:rsidP="006125A1" w:rsidRDefault="00574C9B" w14:paraId="57B13211" w14:textId="77777777">
            <w:pPr>
              <w:jc w:val="center"/>
              <w:rPr>
                <w:sz w:val="24"/>
                <w:szCs w:val="24"/>
              </w:rPr>
            </w:pPr>
            <w:r w:rsidRPr="008238CC">
              <w:rPr>
                <w:sz w:val="24"/>
                <w:szCs w:val="24"/>
              </w:rPr>
              <w:t>E</w:t>
            </w:r>
            <w:r w:rsidRPr="008238CC" w:rsidR="006125A1">
              <w:rPr>
                <w:sz w:val="24"/>
                <w:szCs w:val="24"/>
              </w:rPr>
              <w:t>uropean E</w:t>
            </w:r>
            <w:r w:rsidRPr="008238CC">
              <w:rPr>
                <w:sz w:val="24"/>
                <w:szCs w:val="24"/>
              </w:rPr>
              <w:t>conomic and Social Committee</w:t>
            </w:r>
          </w:p>
        </w:tc>
      </w:tr>
      <w:tr w:rsidR="003E6C87" w14:paraId="34EB5658" w14:textId="77777777">
        <w:trPr>
          <w:jc w:val="center"/>
        </w:trPr>
        <w:tc>
          <w:tcPr>
            <w:tcW w:w="5000" w:type="pct"/>
            <w:vAlign w:val="center"/>
          </w:tcPr>
          <w:p w:rsidRPr="008238CC" w:rsidR="00574C9B" w:rsidP="006125A1" w:rsidRDefault="009C4100" w14:paraId="32CB1B84" w14:textId="77777777">
            <w:pPr>
              <w:jc w:val="center"/>
              <w:rPr>
                <w:b/>
                <w:sz w:val="44"/>
                <w:szCs w:val="44"/>
              </w:rPr>
            </w:pPr>
            <w:r w:rsidRPr="008238CC">
              <w:rPr>
                <w:b/>
                <w:sz w:val="44"/>
                <w:szCs w:val="44"/>
              </w:rPr>
              <w:t>COVID-19: The role of civil society in the reconstruction and resilience of the Euro-Mediterranean region</w:t>
            </w:r>
          </w:p>
        </w:tc>
      </w:tr>
      <w:tr w:rsidR="003E6C87" w14:paraId="4452F7DB" w14:textId="77777777">
        <w:trPr>
          <w:jc w:val="center"/>
        </w:trPr>
        <w:tc>
          <w:tcPr>
            <w:tcW w:w="5000" w:type="pct"/>
            <w:vAlign w:val="center"/>
          </w:tcPr>
          <w:p w:rsidRPr="00833285" w:rsidR="00574C9B" w:rsidP="006125A1" w:rsidRDefault="00574C9B" w14:paraId="435C3B12" w14:textId="77777777">
            <w:pPr>
              <w:overflowPunct w:val="0"/>
              <w:autoSpaceDE w:val="0"/>
              <w:autoSpaceDN w:val="0"/>
              <w:adjustRightInd w:val="0"/>
              <w:jc w:val="center"/>
              <w:textAlignment w:val="baseline"/>
              <w:rPr>
                <w:b/>
                <w:position w:val="24"/>
                <w:sz w:val="24"/>
                <w:szCs w:val="24"/>
              </w:rPr>
            </w:pPr>
            <w:r w:rsidRPr="00833285">
              <w:rPr>
                <w:position w:val="24"/>
                <w:sz w:val="24"/>
                <w:szCs w:val="24"/>
              </w:rPr>
              <w:t>_____________</w:t>
            </w:r>
          </w:p>
        </w:tc>
      </w:tr>
      <w:tr w:rsidR="003E6C87" w14:paraId="7204182C" w14:textId="77777777">
        <w:trPr>
          <w:jc w:val="center"/>
        </w:trPr>
        <w:tc>
          <w:tcPr>
            <w:tcW w:w="5000" w:type="pct"/>
            <w:vAlign w:val="center"/>
          </w:tcPr>
          <w:p w:rsidRPr="00833285" w:rsidR="00574C9B" w:rsidP="006125A1" w:rsidRDefault="009C4100" w14:paraId="3DFB6FFD" w14:textId="77777777">
            <w:pPr>
              <w:jc w:val="center"/>
              <w:rPr>
                <w:sz w:val="24"/>
                <w:szCs w:val="24"/>
              </w:rPr>
            </w:pPr>
            <w:r w:rsidRPr="00833285">
              <w:rPr>
                <w:sz w:val="24"/>
                <w:szCs w:val="24"/>
              </w:rPr>
              <w:t>COVID-19: The role of civil society in the reconstruction and resilience of the Euro-Mediterranean region</w:t>
            </w:r>
          </w:p>
        </w:tc>
      </w:tr>
      <w:tr w:rsidR="003E6C87" w14:paraId="4850059F" w14:textId="77777777">
        <w:trPr>
          <w:jc w:val="center"/>
        </w:trPr>
        <w:tc>
          <w:tcPr>
            <w:tcW w:w="5000" w:type="pct"/>
            <w:vAlign w:val="center"/>
          </w:tcPr>
          <w:p w:rsidRPr="00833285" w:rsidR="00574C9B" w:rsidP="006125A1" w:rsidRDefault="00574C9B" w14:paraId="222032F8" w14:textId="77777777">
            <w:pPr>
              <w:jc w:val="center"/>
              <w:rPr>
                <w:sz w:val="24"/>
                <w:szCs w:val="24"/>
              </w:rPr>
            </w:pPr>
          </w:p>
        </w:tc>
      </w:tr>
      <w:tr w:rsidR="003E6C87" w14:paraId="7F088759" w14:textId="77777777">
        <w:trPr>
          <w:jc w:val="center"/>
        </w:trPr>
        <w:tc>
          <w:tcPr>
            <w:tcW w:w="5000" w:type="pct"/>
            <w:vAlign w:val="center"/>
          </w:tcPr>
          <w:p w:rsidRPr="00833285" w:rsidR="00574C9B" w:rsidP="006125A1" w:rsidRDefault="009C4100" w14:paraId="40F48113" w14:textId="77777777">
            <w:pPr>
              <w:jc w:val="center"/>
              <w:rPr>
                <w:b/>
                <w:sz w:val="24"/>
                <w:szCs w:val="24"/>
              </w:rPr>
            </w:pPr>
            <w:r w:rsidRPr="00833285">
              <w:rPr>
                <w:b/>
                <w:sz w:val="24"/>
                <w:szCs w:val="24"/>
              </w:rPr>
              <w:t>REX/537</w:t>
            </w:r>
          </w:p>
        </w:tc>
      </w:tr>
      <w:tr w:rsidR="003E6C87" w14:paraId="1BA05B74" w14:textId="77777777">
        <w:trPr>
          <w:jc w:val="center"/>
        </w:trPr>
        <w:tc>
          <w:tcPr>
            <w:tcW w:w="5000" w:type="pct"/>
            <w:vAlign w:val="center"/>
          </w:tcPr>
          <w:p w:rsidRPr="00833285" w:rsidR="00574C9B" w:rsidP="006125A1" w:rsidRDefault="00574C9B" w14:paraId="053D4C2F" w14:textId="77777777">
            <w:pPr>
              <w:jc w:val="center"/>
              <w:rPr>
                <w:sz w:val="24"/>
                <w:szCs w:val="24"/>
              </w:rPr>
            </w:pPr>
          </w:p>
        </w:tc>
      </w:tr>
      <w:tr w:rsidR="003E6C87" w14:paraId="6515B544" w14:textId="77777777">
        <w:trPr>
          <w:jc w:val="center"/>
        </w:trPr>
        <w:tc>
          <w:tcPr>
            <w:tcW w:w="5000" w:type="pct"/>
            <w:vAlign w:val="center"/>
          </w:tcPr>
          <w:p w:rsidRPr="00833285" w:rsidR="00574C9B" w:rsidP="006125A1" w:rsidRDefault="00574C9B" w14:paraId="71E12357" w14:textId="77777777">
            <w:pPr>
              <w:jc w:val="center"/>
              <w:rPr>
                <w:sz w:val="24"/>
                <w:szCs w:val="24"/>
              </w:rPr>
            </w:pPr>
            <w:r w:rsidRPr="00833285">
              <w:rPr>
                <w:sz w:val="24"/>
                <w:szCs w:val="24"/>
              </w:rPr>
              <w:t xml:space="preserve">Rapporteur: </w:t>
            </w:r>
            <w:r w:rsidRPr="007D2117" w:rsidR="009C4100">
              <w:rPr>
                <w:b/>
                <w:color w:val="000000"/>
                <w:sz w:val="24"/>
                <w:szCs w:val="24"/>
              </w:rPr>
              <w:t xml:space="preserve">Angelo PAGLIARA </w:t>
            </w:r>
          </w:p>
        </w:tc>
      </w:tr>
    </w:tbl>
    <w:p w:rsidRPr="008238CC" w:rsidR="00574C9B" w:rsidP="00574C9B" w:rsidRDefault="00574C9B" w14:paraId="5F36E24E" w14:textId="77777777">
      <w:r w:rsidRPr="008238CC">
        <w:rPr>
          <w:noProof/>
          <w:sz w:val="20"/>
          <w:lang w:val="en-US"/>
        </w:rPr>
        <mc:AlternateContent>
          <mc:Choice Requires="wps">
            <w:drawing>
              <wp:anchor distT="0" distB="0" distL="114300" distR="114300" simplePos="0" relativeHeight="251659264" behindDoc="1" locked="0" layoutInCell="0" allowOverlap="1" wp14:editId="26DA523B" wp14:anchorId="3465221C">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238CC" w:rsidR="00574C9B" w:rsidP="00574C9B" w:rsidRDefault="00574C9B" w14:paraId="470D743F" w14:textId="77777777">
                            <w:pPr>
                              <w:jc w:val="center"/>
                            </w:pPr>
                            <w:r w:rsidRPr="008238CC">
                              <w:rPr>
                                <w:rFonts w:ascii="Arial" w:hAnsi="Arial" w:cs="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465221C">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Pr="008238CC" w:rsidR="00574C9B" w:rsidP="00574C9B" w:rsidRDefault="00574C9B" w14:paraId="470D743F" w14:textId="77777777">
                      <w:pPr>
                        <w:jc w:val="center"/>
                      </w:pPr>
                      <w:r w:rsidRPr="008238CC">
                        <w:rPr>
                          <w:rFonts w:ascii="Arial" w:hAnsi="Arial" w:cs="Arial"/>
                          <w:b/>
                          <w:bCs/>
                          <w:sz w:val="48"/>
                        </w:rPr>
                        <w:t>EN</w:t>
                      </w:r>
                    </w:p>
                  </w:txbxContent>
                </v:textbox>
                <w10:wrap anchorx="margin" anchory="page"/>
              </v:shape>
            </w:pict>
          </mc:Fallback>
        </mc:AlternateContent>
      </w:r>
    </w:p>
    <w:p w:rsidRPr="008238CC" w:rsidR="00574C9B" w:rsidP="00574C9B" w:rsidRDefault="00574C9B" w14:paraId="5794C212" w14:textId="77777777"/>
    <w:p w:rsidRPr="008238CC" w:rsidR="00574C9B" w:rsidP="00574C9B" w:rsidRDefault="00574C9B" w14:paraId="00E6106C" w14:textId="77777777">
      <w:pPr>
        <w:sectPr w:rsidRPr="008238CC" w:rsidR="00574C9B" w:rsidSect="00833285">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3E6C87" w14:paraId="4B3B7834" w14:textId="77777777">
        <w:tc>
          <w:tcPr>
            <w:tcW w:w="3085" w:type="dxa"/>
          </w:tcPr>
          <w:p w:rsidRPr="008238CC" w:rsidR="00AC5114" w:rsidP="0058411F" w:rsidRDefault="00AC5114" w14:paraId="244900F9" w14:textId="77777777">
            <w:pPr>
              <w:autoSpaceDE w:val="0"/>
              <w:autoSpaceDN w:val="0"/>
              <w:jc w:val="left"/>
              <w:rPr>
                <w:szCs w:val="20"/>
              </w:rPr>
            </w:pPr>
            <w:r w:rsidRPr="008238CC">
              <w:rPr>
                <w:szCs w:val="20"/>
              </w:rPr>
              <w:lastRenderedPageBreak/>
              <w:t>Plenary Assembly decision</w:t>
            </w:r>
          </w:p>
        </w:tc>
        <w:tc>
          <w:tcPr>
            <w:tcW w:w="6204" w:type="dxa"/>
            <w:vAlign w:val="bottom"/>
          </w:tcPr>
          <w:p w:rsidRPr="008238CC" w:rsidR="00AC5114" w:rsidP="0058411F" w:rsidRDefault="00373016" w14:paraId="1FB704AF" w14:textId="77777777">
            <w:pPr>
              <w:autoSpaceDE w:val="0"/>
              <w:autoSpaceDN w:val="0"/>
              <w:jc w:val="left"/>
              <w:rPr>
                <w:szCs w:val="20"/>
              </w:rPr>
            </w:pPr>
            <w:r w:rsidRPr="008238CC">
              <w:t>25/03/2021</w:t>
            </w:r>
          </w:p>
        </w:tc>
      </w:tr>
      <w:tr w:rsidR="003E6C87" w14:paraId="46FC1782" w14:textId="77777777">
        <w:tc>
          <w:tcPr>
            <w:tcW w:w="3085" w:type="dxa"/>
          </w:tcPr>
          <w:p w:rsidRPr="008238CC" w:rsidR="00AC5114" w:rsidP="0058411F" w:rsidRDefault="00AC5114" w14:paraId="437F396F" w14:textId="77777777">
            <w:pPr>
              <w:autoSpaceDE w:val="0"/>
              <w:autoSpaceDN w:val="0"/>
              <w:jc w:val="left"/>
              <w:rPr>
                <w:szCs w:val="20"/>
              </w:rPr>
            </w:pPr>
            <w:r w:rsidRPr="008238CC">
              <w:rPr>
                <w:szCs w:val="20"/>
              </w:rPr>
              <w:t>Legal basis</w:t>
            </w:r>
          </w:p>
        </w:tc>
        <w:tc>
          <w:tcPr>
            <w:tcW w:w="6204" w:type="dxa"/>
            <w:vAlign w:val="bottom"/>
          </w:tcPr>
          <w:p w:rsidRPr="008238CC" w:rsidR="00AC5114" w:rsidP="0058411F" w:rsidRDefault="00AC5114" w14:paraId="02CB294D" w14:textId="77777777">
            <w:pPr>
              <w:autoSpaceDE w:val="0"/>
              <w:autoSpaceDN w:val="0"/>
              <w:jc w:val="left"/>
              <w:rPr>
                <w:szCs w:val="20"/>
              </w:rPr>
            </w:pPr>
            <w:r w:rsidRPr="008238CC">
              <w:t xml:space="preserve">Rule </w:t>
            </w:r>
            <w:r w:rsidRPr="008238CC" w:rsidR="007B6C64">
              <w:t>5</w:t>
            </w:r>
            <w:r w:rsidRPr="008238CC">
              <w:t>2(2) of the Rules of Procedure</w:t>
            </w:r>
          </w:p>
        </w:tc>
      </w:tr>
      <w:tr w:rsidR="003E6C87" w14:paraId="1EB97A8B" w14:textId="77777777">
        <w:tc>
          <w:tcPr>
            <w:tcW w:w="3085" w:type="dxa"/>
          </w:tcPr>
          <w:p w:rsidRPr="008238CC" w:rsidR="00AC5114" w:rsidP="0058411F" w:rsidRDefault="00AC5114" w14:paraId="501EBA55" w14:textId="77777777">
            <w:pPr>
              <w:autoSpaceDE w:val="0"/>
              <w:autoSpaceDN w:val="0"/>
              <w:jc w:val="left"/>
              <w:rPr>
                <w:szCs w:val="20"/>
              </w:rPr>
            </w:pPr>
          </w:p>
        </w:tc>
        <w:tc>
          <w:tcPr>
            <w:tcW w:w="6204" w:type="dxa"/>
            <w:vAlign w:val="bottom"/>
          </w:tcPr>
          <w:p w:rsidRPr="008238CC" w:rsidR="00AC5114" w:rsidP="0058411F" w:rsidRDefault="00AC5114" w14:paraId="45DF3322" w14:textId="77777777">
            <w:pPr>
              <w:autoSpaceDE w:val="0"/>
              <w:autoSpaceDN w:val="0"/>
              <w:jc w:val="left"/>
              <w:rPr>
                <w:szCs w:val="20"/>
              </w:rPr>
            </w:pPr>
            <w:r w:rsidRPr="008238CC">
              <w:t>Own-initiative opinion</w:t>
            </w:r>
          </w:p>
        </w:tc>
      </w:tr>
      <w:tr w:rsidR="003E6C87" w14:paraId="413B8535" w14:textId="77777777">
        <w:tc>
          <w:tcPr>
            <w:tcW w:w="3085" w:type="dxa"/>
          </w:tcPr>
          <w:p w:rsidRPr="008238CC" w:rsidR="00AC5114" w:rsidP="0058411F" w:rsidRDefault="00AC5114" w14:paraId="4C9EDC25" w14:textId="77777777">
            <w:pPr>
              <w:autoSpaceDE w:val="0"/>
              <w:autoSpaceDN w:val="0"/>
              <w:jc w:val="left"/>
            </w:pPr>
            <w:r w:rsidRPr="008238CC">
              <w:t>Section responsible</w:t>
            </w:r>
          </w:p>
        </w:tc>
        <w:tc>
          <w:tcPr>
            <w:tcW w:w="6204" w:type="dxa"/>
            <w:vAlign w:val="bottom"/>
          </w:tcPr>
          <w:p w:rsidRPr="008238CC" w:rsidR="00AC5114" w:rsidP="0058411F" w:rsidRDefault="00373016" w14:paraId="05705362" w14:textId="77777777">
            <w:pPr>
              <w:autoSpaceDE w:val="0"/>
              <w:autoSpaceDN w:val="0"/>
              <w:jc w:val="left"/>
            </w:pPr>
            <w:r w:rsidRPr="008238CC">
              <w:t>External Relations</w:t>
            </w:r>
            <w:r w:rsidRPr="008238CC" w:rsidR="00AC5114">
              <w:t>…</w:t>
            </w:r>
          </w:p>
        </w:tc>
      </w:tr>
      <w:tr w:rsidR="003E6C87" w14:paraId="085230D1" w14:textId="77777777">
        <w:tc>
          <w:tcPr>
            <w:tcW w:w="3085" w:type="dxa"/>
          </w:tcPr>
          <w:p w:rsidRPr="008238CC" w:rsidR="00AC5114" w:rsidP="0058411F" w:rsidRDefault="00AC5114" w14:paraId="23721B59" w14:textId="77777777">
            <w:pPr>
              <w:autoSpaceDE w:val="0"/>
              <w:autoSpaceDN w:val="0"/>
              <w:jc w:val="left"/>
            </w:pPr>
            <w:r w:rsidRPr="008238CC">
              <w:t>Adopted in section</w:t>
            </w:r>
          </w:p>
        </w:tc>
        <w:tc>
          <w:tcPr>
            <w:tcW w:w="6204" w:type="dxa"/>
            <w:vAlign w:val="bottom"/>
          </w:tcPr>
          <w:p w:rsidRPr="008238CC" w:rsidR="00AC5114" w:rsidP="0058411F" w:rsidRDefault="00373016" w14:paraId="6B8FD7AE" w14:textId="77777777">
            <w:pPr>
              <w:autoSpaceDE w:val="0"/>
              <w:autoSpaceDN w:val="0"/>
              <w:jc w:val="left"/>
            </w:pPr>
            <w:r w:rsidRPr="008238CC">
              <w:t>20/12/2022</w:t>
            </w:r>
          </w:p>
        </w:tc>
      </w:tr>
      <w:tr w:rsidR="003E6C87" w14:paraId="4539640D" w14:textId="77777777">
        <w:tc>
          <w:tcPr>
            <w:tcW w:w="3085" w:type="dxa"/>
          </w:tcPr>
          <w:p w:rsidRPr="008238CC" w:rsidR="0058411F" w:rsidP="0058411F" w:rsidRDefault="0058411F" w14:paraId="5427661E" w14:textId="77777777">
            <w:pPr>
              <w:autoSpaceDE w:val="0"/>
              <w:autoSpaceDN w:val="0"/>
              <w:jc w:val="left"/>
            </w:pPr>
            <w:r w:rsidRPr="008238CC">
              <w:t>Adopted at plenary</w:t>
            </w:r>
          </w:p>
        </w:tc>
        <w:tc>
          <w:tcPr>
            <w:tcW w:w="6204" w:type="dxa"/>
            <w:vAlign w:val="bottom"/>
          </w:tcPr>
          <w:p w:rsidRPr="008238CC" w:rsidR="0058411F" w:rsidP="0058411F" w:rsidRDefault="00373016" w14:paraId="06855C7A" w14:textId="77777777">
            <w:pPr>
              <w:autoSpaceDE w:val="0"/>
              <w:autoSpaceDN w:val="0"/>
              <w:jc w:val="left"/>
            </w:pPr>
            <w:r w:rsidRPr="008238CC">
              <w:t>24/01/2023</w:t>
            </w:r>
          </w:p>
        </w:tc>
      </w:tr>
      <w:tr w:rsidR="003E6C87" w14:paraId="019FF873" w14:textId="77777777">
        <w:tc>
          <w:tcPr>
            <w:tcW w:w="3085" w:type="dxa"/>
          </w:tcPr>
          <w:p w:rsidRPr="008238CC" w:rsidR="0058411F" w:rsidP="0058411F" w:rsidRDefault="0058411F" w14:paraId="45C0153F" w14:textId="77777777">
            <w:pPr>
              <w:autoSpaceDE w:val="0"/>
              <w:autoSpaceDN w:val="0"/>
              <w:jc w:val="left"/>
            </w:pPr>
            <w:r w:rsidRPr="008238CC">
              <w:t>Plenary session No</w:t>
            </w:r>
          </w:p>
        </w:tc>
        <w:tc>
          <w:tcPr>
            <w:tcW w:w="6204" w:type="dxa"/>
            <w:vAlign w:val="bottom"/>
          </w:tcPr>
          <w:p w:rsidRPr="008238CC" w:rsidR="0058411F" w:rsidP="0058411F" w:rsidRDefault="00373016" w14:paraId="74FBF982" w14:textId="77777777">
            <w:pPr>
              <w:autoSpaceDE w:val="0"/>
              <w:autoSpaceDN w:val="0"/>
              <w:jc w:val="left"/>
            </w:pPr>
            <w:r w:rsidRPr="008238CC">
              <w:t>575</w:t>
            </w:r>
          </w:p>
        </w:tc>
      </w:tr>
      <w:tr w:rsidR="003E6C87" w14:paraId="623F42C3" w14:textId="77777777">
        <w:tc>
          <w:tcPr>
            <w:tcW w:w="3085" w:type="dxa"/>
          </w:tcPr>
          <w:p w:rsidRPr="008238CC" w:rsidR="0058411F" w:rsidP="0058411F" w:rsidRDefault="0058411F" w14:paraId="710B0FF1" w14:textId="77777777">
            <w:pPr>
              <w:autoSpaceDE w:val="0"/>
              <w:autoSpaceDN w:val="0"/>
              <w:jc w:val="left"/>
            </w:pPr>
            <w:r w:rsidRPr="008238CC">
              <w:t>Outcome of vote</w:t>
            </w:r>
            <w:r w:rsidRPr="008238CC">
              <w:br/>
              <w:t>(for/against/abstentions)</w:t>
            </w:r>
          </w:p>
        </w:tc>
        <w:tc>
          <w:tcPr>
            <w:tcW w:w="6204" w:type="dxa"/>
            <w:vAlign w:val="bottom"/>
          </w:tcPr>
          <w:p w:rsidRPr="008238CC" w:rsidR="0058411F" w:rsidP="0058411F" w:rsidRDefault="00DA1AA8" w14:paraId="506F8B49" w14:textId="77777777">
            <w:pPr>
              <w:autoSpaceDE w:val="0"/>
              <w:autoSpaceDN w:val="0"/>
              <w:jc w:val="left"/>
            </w:pPr>
            <w:r w:rsidRPr="008238CC">
              <w:t>183/0/5</w:t>
            </w:r>
          </w:p>
        </w:tc>
      </w:tr>
    </w:tbl>
    <w:p w:rsidRPr="008238CC" w:rsidR="00AC5114" w:rsidP="00574C9B" w:rsidRDefault="00AC5114" w14:paraId="2FF12B7A" w14:textId="77777777"/>
    <w:p w:rsidRPr="008238CC" w:rsidR="00AC5114" w:rsidP="00574C9B" w:rsidRDefault="00AC5114" w14:paraId="521DABBB" w14:textId="77777777">
      <w:pPr>
        <w:sectPr w:rsidRPr="008238CC" w:rsidR="00AC5114" w:rsidSect="00833285">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4C2B98" w:rsidR="007915C2" w:rsidP="004C2B98" w:rsidRDefault="007915C2" w14:paraId="5751F88D" w14:textId="77777777">
      <w:pPr>
        <w:pStyle w:val="Heading1"/>
        <w:keepNext/>
        <w:rPr>
          <w:bCs/>
        </w:rPr>
      </w:pPr>
      <w:r w:rsidRPr="004C2B98">
        <w:rPr>
          <w:b/>
        </w:rPr>
        <w:t>Introduction</w:t>
      </w:r>
    </w:p>
    <w:p w:rsidRPr="008238CC" w:rsidR="007915C2" w:rsidP="007915C2" w:rsidRDefault="007915C2" w14:paraId="7EB92E55" w14:textId="77777777">
      <w:pPr>
        <w:keepNext/>
        <w:rPr>
          <w:color w:val="000000"/>
        </w:rPr>
      </w:pPr>
    </w:p>
    <w:p w:rsidRPr="008238CC" w:rsidR="007915C2" w:rsidP="004C2B98" w:rsidRDefault="007915C2" w14:paraId="21336F69" w14:textId="77777777">
      <w:pPr>
        <w:pStyle w:val="Heading2"/>
        <w:rPr>
          <w:rFonts w:eastAsia="Calibri"/>
        </w:rPr>
      </w:pPr>
      <w:r w:rsidRPr="008238CC">
        <w:t>The pandemic crisis has hit the Euro-Mediterranean region hard, exacerbating existing problems and creating new challenges to add to previous ones. The socio-economic consequences of this are likely to increase inequalities, especially in countries with weak economic and productive systems.</w:t>
      </w:r>
    </w:p>
    <w:p w:rsidRPr="008238CC" w:rsidR="007915C2" w:rsidP="007915C2" w:rsidRDefault="007915C2" w14:paraId="4D45E4C9" w14:textId="77777777">
      <w:pPr>
        <w:rPr>
          <w:rFonts w:eastAsia="Calibri"/>
          <w:color w:val="000000"/>
        </w:rPr>
      </w:pPr>
    </w:p>
    <w:p w:rsidRPr="008238CC" w:rsidR="007915C2" w:rsidP="004C2B98" w:rsidRDefault="007915C2" w14:paraId="0D66E477" w14:textId="77777777">
      <w:pPr>
        <w:pStyle w:val="Heading2"/>
        <w:rPr>
          <w:rFonts w:eastAsia="Calibri"/>
        </w:rPr>
      </w:pPr>
      <w:r w:rsidRPr="008238CC">
        <w:t xml:space="preserve">The EESC's Euromed Follow-up Committee has decided to focus on the role of civil society in reconstruction and resilience in the Euro-Mediterranean region. </w:t>
      </w:r>
    </w:p>
    <w:p w:rsidRPr="008238CC" w:rsidR="007915C2" w:rsidP="007915C2" w:rsidRDefault="007915C2" w14:paraId="3F575CDB" w14:textId="77777777">
      <w:pPr>
        <w:rPr>
          <w:rFonts w:eastAsia="Calibri"/>
          <w:color w:val="000000"/>
        </w:rPr>
      </w:pPr>
    </w:p>
    <w:p w:rsidRPr="008238CC" w:rsidR="007915C2" w:rsidP="004C2B98" w:rsidRDefault="007915C2" w14:paraId="15921D2C" w14:textId="77777777">
      <w:pPr>
        <w:pStyle w:val="Heading2"/>
        <w:rPr>
          <w:rFonts w:eastAsia="Calibri"/>
        </w:rPr>
      </w:pPr>
      <w:r w:rsidRPr="008238CC">
        <w:t xml:space="preserve">Civil society organisations from the Euro-Mediterranean region and the economic and social councils of various countries have been involved in drafting the report. A particular and close collaboration has been pursued with Morocco's Economic, Social and Environmental Council, which co-hosted the 2021 Euromed Summit. </w:t>
      </w:r>
    </w:p>
    <w:p w:rsidRPr="008238CC" w:rsidR="007915C2" w:rsidP="007915C2" w:rsidRDefault="007915C2" w14:paraId="2175CBC5" w14:textId="77777777">
      <w:pPr>
        <w:rPr>
          <w:rFonts w:eastAsia="Calibri"/>
          <w:color w:val="000000"/>
        </w:rPr>
      </w:pPr>
    </w:p>
    <w:p w:rsidRPr="008238CC" w:rsidR="007915C2" w:rsidP="004C2B98" w:rsidRDefault="007915C2" w14:paraId="3F17138B" w14:textId="77777777">
      <w:pPr>
        <w:pStyle w:val="Heading2"/>
        <w:rPr>
          <w:rFonts w:eastAsia="Calibri"/>
        </w:rPr>
      </w:pPr>
      <w:r w:rsidRPr="008238CC">
        <w:t>This information report therefore has an important added value thanks to the involvement of civil society on both sides of the Mediterranean.</w:t>
      </w:r>
    </w:p>
    <w:p w:rsidRPr="008238CC" w:rsidR="007915C2" w:rsidP="007915C2" w:rsidRDefault="007915C2" w14:paraId="73558034" w14:textId="77777777">
      <w:pPr>
        <w:rPr>
          <w:rFonts w:eastAsia="Calibri"/>
          <w:color w:val="000000"/>
        </w:rPr>
      </w:pPr>
    </w:p>
    <w:p w:rsidRPr="008238CC" w:rsidR="007915C2" w:rsidP="004C2B98" w:rsidRDefault="007915C2" w14:paraId="32243A63" w14:textId="77777777">
      <w:pPr>
        <w:pStyle w:val="Heading2"/>
        <w:rPr>
          <w:rFonts w:eastAsia="Calibri"/>
        </w:rPr>
      </w:pPr>
      <w:r w:rsidRPr="008238CC">
        <w:t>This report complements previous information reports on Education and vocational training in the Euro-Mediterranean region, Digitalisation and SMEs in the Mediterranean region and Sustainable Development in the Mediterranean region</w:t>
      </w:r>
      <w:r w:rsidRPr="008238CC">
        <w:rPr>
          <w:rFonts w:eastAsia="Calibri"/>
          <w:sz w:val="24"/>
          <w:vertAlign w:val="superscript"/>
        </w:rPr>
        <w:footnoteReference w:id="1"/>
      </w:r>
      <w:r w:rsidRPr="008238CC">
        <w:t>.</w:t>
      </w:r>
    </w:p>
    <w:p w:rsidRPr="008238CC" w:rsidR="007915C2" w:rsidP="007915C2" w:rsidRDefault="007915C2" w14:paraId="32E0A63B" w14:textId="77777777">
      <w:pPr>
        <w:outlineLvl w:val="1"/>
        <w:rPr>
          <w:rFonts w:eastAsia="Calibri"/>
          <w:color w:val="000000"/>
          <w:sz w:val="20"/>
          <w:szCs w:val="20"/>
        </w:rPr>
      </w:pPr>
    </w:p>
    <w:p w:rsidRPr="004C2B98" w:rsidR="007915C2" w:rsidP="004C2B98" w:rsidRDefault="007915C2" w14:paraId="6F55FD19" w14:textId="77777777">
      <w:pPr>
        <w:pStyle w:val="Heading1"/>
        <w:rPr>
          <w:bCs/>
        </w:rPr>
      </w:pPr>
      <w:r w:rsidRPr="004C2B98">
        <w:rPr>
          <w:b/>
        </w:rPr>
        <w:t>Conclusions</w:t>
      </w:r>
    </w:p>
    <w:p w:rsidRPr="008238CC" w:rsidR="007915C2" w:rsidP="007915C2" w:rsidRDefault="007915C2" w14:paraId="50DB95DA" w14:textId="77777777">
      <w:pPr>
        <w:keepNext/>
        <w:rPr>
          <w:color w:val="000000"/>
        </w:rPr>
      </w:pPr>
    </w:p>
    <w:p w:rsidRPr="008238CC" w:rsidR="007915C2" w:rsidP="004C2B98" w:rsidRDefault="007915C2" w14:paraId="1310AA15" w14:textId="77777777">
      <w:pPr>
        <w:pStyle w:val="Heading2"/>
      </w:pPr>
      <w:r w:rsidRPr="008238CC">
        <w:t>Civil society worldwide responded immediately to the pandemic, working on the front line and providing assistance and help to the population. In the Euro-Mediterranean area, too, the role of civil society has been crucial in mitigating the adverse effects of COVID-19.</w:t>
      </w:r>
    </w:p>
    <w:p w:rsidRPr="008238CC" w:rsidR="007915C2" w:rsidP="007915C2" w:rsidRDefault="007915C2" w14:paraId="0159B1F6" w14:textId="77777777">
      <w:pPr>
        <w:rPr>
          <w:color w:val="000000"/>
        </w:rPr>
      </w:pPr>
    </w:p>
    <w:p w:rsidRPr="008238CC" w:rsidR="007915C2" w:rsidP="004C2B98" w:rsidRDefault="007915C2" w14:paraId="690CE509" w14:textId="77777777">
      <w:pPr>
        <w:pStyle w:val="Heading2"/>
      </w:pPr>
      <w:r w:rsidRPr="008238CC">
        <w:t xml:space="preserve">Civil society organisations in the Euro-Mediterranean region have backed up government action by providing essential services and healthcare; they have distributed personal protective equipment and helped to disseminate vital information, especially in remote areas. Their work has also been of paramount importance in cushioning the impact of the pandemic on the most vulnerable sections of society, such as women, young people, immigrants and those with disabilities. </w:t>
      </w:r>
    </w:p>
    <w:p w:rsidRPr="008238CC" w:rsidR="007915C2" w:rsidP="007915C2" w:rsidRDefault="007915C2" w14:paraId="2EBB6CBA" w14:textId="77777777">
      <w:pPr>
        <w:rPr>
          <w:color w:val="000000"/>
        </w:rPr>
      </w:pPr>
    </w:p>
    <w:p w:rsidRPr="008238CC" w:rsidR="007915C2" w:rsidP="004C2B98" w:rsidRDefault="007915C2" w14:paraId="6746F46F" w14:textId="77777777">
      <w:pPr>
        <w:pStyle w:val="Heading2"/>
      </w:pPr>
      <w:r w:rsidRPr="008238CC">
        <w:t>Civil society's active involvement has buttressed solidarity in the Euro-Mediterranean region; many civil society organisations in the Southern Neighbourhood have played a part in setting up civic solidarity groups, experimenting with innovative methodologies and stepping up their online information and coordination work.</w:t>
      </w:r>
    </w:p>
    <w:p w:rsidRPr="008238CC" w:rsidR="007915C2" w:rsidP="007915C2" w:rsidRDefault="007915C2" w14:paraId="281C3080" w14:textId="77777777">
      <w:pPr>
        <w:rPr>
          <w:rFonts w:eastAsia="Calibri"/>
          <w:color w:val="000000"/>
        </w:rPr>
      </w:pPr>
    </w:p>
    <w:p w:rsidRPr="008238CC" w:rsidR="007915C2" w:rsidP="004C2B98" w:rsidRDefault="007915C2" w14:paraId="5C7D60BC" w14:textId="77777777">
      <w:pPr>
        <w:pStyle w:val="Heading2"/>
        <w:rPr>
          <w:rFonts w:eastAsia="Calibri"/>
        </w:rPr>
      </w:pPr>
      <w:r w:rsidRPr="008238CC">
        <w:t>The EESC firmly believes that a fair and equitable economic and social recovery is only possible through the involvement of the social partners and civil society organisations, the private sector and, in particular, SMEs. The recovery of the Mediterranean area and the development of sustainable and resilient socio-economic models must be guided by principles such as respect for the rule of law, the protection of democratic values and social and human rights, the implementation of ILO core conventions, and a shared commitment to attaining the sustainable development and climate neutrality goals.</w:t>
      </w:r>
    </w:p>
    <w:p w:rsidRPr="008238CC" w:rsidR="007915C2" w:rsidP="007915C2" w:rsidRDefault="007915C2" w14:paraId="50F4FC04" w14:textId="77777777">
      <w:pPr>
        <w:rPr>
          <w:rFonts w:eastAsia="Calibri"/>
          <w:color w:val="000000"/>
        </w:rPr>
      </w:pPr>
    </w:p>
    <w:p w:rsidRPr="008238CC" w:rsidR="007915C2" w:rsidP="004C2B98" w:rsidRDefault="007915C2" w14:paraId="6174F89F" w14:textId="77777777">
      <w:pPr>
        <w:pStyle w:val="Heading2"/>
        <w:rPr>
          <w:rFonts w:eastAsia="Calibri"/>
          <w:kern w:val="28"/>
        </w:rPr>
      </w:pPr>
      <w:r w:rsidRPr="008238CC">
        <w:t>The EESC welcomes the adoption of the new Agenda for the Mediterranean and underscores the need for all measures in support of the recovery to serve the dual aims of development and improving the quality of life of the region's people.</w:t>
      </w:r>
    </w:p>
    <w:p w:rsidRPr="008238CC" w:rsidR="007915C2" w:rsidP="007915C2" w:rsidRDefault="007915C2" w14:paraId="5F72DD6D" w14:textId="77777777">
      <w:pPr>
        <w:rPr>
          <w:rFonts w:eastAsia="Calibri"/>
          <w:color w:val="000000"/>
        </w:rPr>
      </w:pPr>
    </w:p>
    <w:p w:rsidRPr="008238CC" w:rsidR="007915C2" w:rsidP="004C2B98" w:rsidRDefault="007915C2" w14:paraId="54A58D7E" w14:textId="77777777">
      <w:pPr>
        <w:pStyle w:val="Heading2"/>
        <w:rPr>
          <w:rFonts w:eastAsia="Calibri"/>
        </w:rPr>
      </w:pPr>
      <w:r w:rsidRPr="008238CC">
        <w:t>A number of social, political, environmental, geopolitical and immigration challenges are currently concentrated in the Mediterranean that are key challenges not just for Europe but for the world as a whole. The EESC believes that the area's growing multidimensional challenges can only be grappled with through renewed and effective multilateralism supported by the European Union.</w:t>
      </w:r>
    </w:p>
    <w:p w:rsidRPr="008238CC" w:rsidR="007915C2" w:rsidP="007915C2" w:rsidRDefault="007915C2" w14:paraId="6E31EE04" w14:textId="77777777">
      <w:pPr>
        <w:outlineLvl w:val="1"/>
        <w:rPr>
          <w:rFonts w:eastAsia="Calibri"/>
          <w:color w:val="000000"/>
        </w:rPr>
      </w:pPr>
    </w:p>
    <w:p w:rsidRPr="008238CC" w:rsidR="007915C2" w:rsidP="004C2B98" w:rsidRDefault="007915C2" w14:paraId="0C850817" w14:textId="77777777">
      <w:pPr>
        <w:pStyle w:val="Heading2"/>
        <w:rPr>
          <w:rFonts w:eastAsia="Calibri"/>
          <w:kern w:val="28"/>
        </w:rPr>
      </w:pPr>
      <w:r w:rsidRPr="008238CC">
        <w:t>The impact of climate change is also affecting the Mediterranean area in the form of desertification, water scarcity and rising temperatures. The current crisis has cast into relief the need to strengthen common resilience and open up new cooperation initiatives on the environment and digitalisation. The EESC considers it useful, not least given the increasing civil society awareness and through greater stakeholder participation, to extend and reinforce initiatives such as WestMED so that they help achieve the climate and environment goals through blue economy models targeting job creation and the protection of the ecosystem and diversity.</w:t>
      </w:r>
    </w:p>
    <w:p w:rsidRPr="008238CC" w:rsidR="007915C2" w:rsidP="007915C2" w:rsidRDefault="007915C2" w14:paraId="66941EEA" w14:textId="77777777">
      <w:pPr>
        <w:outlineLvl w:val="1"/>
        <w:rPr>
          <w:rFonts w:eastAsia="Calibri"/>
          <w:color w:val="000000"/>
          <w:kern w:val="28"/>
        </w:rPr>
      </w:pPr>
    </w:p>
    <w:p w:rsidRPr="008238CC" w:rsidR="007915C2" w:rsidP="004C2B98" w:rsidRDefault="007915C2" w14:paraId="5B72D890" w14:textId="77777777">
      <w:pPr>
        <w:pStyle w:val="Heading2"/>
        <w:rPr>
          <w:kern w:val="28"/>
        </w:rPr>
      </w:pPr>
      <w:r w:rsidRPr="008238CC">
        <w:t>Ten years on from the Arab Spring, the European Union has renewed its cooperation strategy with its Mediterranean neighbourhood. In this connection, the EESC sees the new Agenda for the Mediterranean as a key instrument for the social and economic recovery of the region following the COVID-19 crisis. The renewed partnership commitment must be tightly bound not only to economic and social challenges, but also to environmental, demographic and immigration ones, while fully respecting the Union's progress and founding values. The situation of health systems has proven fragile in many parts of the region, and the pandemic crisis is an important test that could also impinge on political stability.</w:t>
      </w:r>
    </w:p>
    <w:p w:rsidRPr="008238CC" w:rsidR="007915C2" w:rsidP="007915C2" w:rsidRDefault="007915C2" w14:paraId="5FEAF92F" w14:textId="77777777">
      <w:pPr>
        <w:rPr>
          <w:rFonts w:eastAsia="Calibri"/>
          <w:color w:val="000000"/>
        </w:rPr>
      </w:pPr>
    </w:p>
    <w:p w:rsidRPr="008238CC" w:rsidR="007915C2" w:rsidP="004C2B98" w:rsidRDefault="007915C2" w14:paraId="546656FD" w14:textId="77777777">
      <w:pPr>
        <w:pStyle w:val="Heading2"/>
      </w:pPr>
      <w:r w:rsidRPr="008238CC">
        <w:t>The Mediterranean area's recovery and reconstruction programmes should put particular weight on the swift recovery of the tourism sector and especially of small- and medium-sized enterprises that employ more than half of the employees in the EU. A lingering impact of the crisis, including structural unemployment – especially of the young and women – would have serious social consequences.</w:t>
      </w:r>
    </w:p>
    <w:p w:rsidRPr="008238CC" w:rsidR="007915C2" w:rsidP="007915C2" w:rsidRDefault="007915C2" w14:paraId="75241CB8" w14:textId="77777777">
      <w:pPr>
        <w:rPr>
          <w:rFonts w:eastAsia="Calibri"/>
          <w:color w:val="000000"/>
        </w:rPr>
      </w:pPr>
    </w:p>
    <w:p w:rsidRPr="008238CC" w:rsidR="007915C2" w:rsidP="004C2B98" w:rsidRDefault="007915C2" w14:paraId="056EC5DE" w14:textId="77777777">
      <w:pPr>
        <w:pStyle w:val="Heading2"/>
        <w:rPr>
          <w:rFonts w:eastAsia="Calibri"/>
        </w:rPr>
      </w:pPr>
      <w:r w:rsidRPr="008238CC">
        <w:t>The development of the human capital of the workforce is particularly important for the sustainable development of the EU's Mediterranean partners. Especially in the tourism sector, staff training should be promoted. Moreover, the EESC notes that the problem of the "brain drain" from the southern partner countries to the highly developed industrialised countries is a major obstacle, particularly to the digital transformation of their economies. The Member States of the European Union should therefore facilitate short- and medium-term work permits in the EU for both self-employed workers and employees, especially in the IT sector. Furthermore, the Commission should support the implementation of digital projects in partner countries so that IT technicians in particular find good employment opportunities in their home countries.</w:t>
      </w:r>
    </w:p>
    <w:p w:rsidRPr="008238CC" w:rsidR="007915C2" w:rsidP="007915C2" w:rsidRDefault="007915C2" w14:paraId="05A9956B" w14:textId="77777777">
      <w:pPr>
        <w:outlineLvl w:val="0"/>
        <w:rPr>
          <w:bCs/>
          <w:color w:val="000000"/>
          <w:kern w:val="28"/>
        </w:rPr>
      </w:pPr>
    </w:p>
    <w:p w:rsidRPr="008238CC" w:rsidR="007915C2" w:rsidP="004C2B98" w:rsidRDefault="007915C2" w14:paraId="55D5CD16" w14:textId="77777777">
      <w:pPr>
        <w:pStyle w:val="Heading2"/>
        <w:rPr>
          <w:rFonts w:eastAsia="Calibri"/>
          <w:kern w:val="28"/>
        </w:rPr>
      </w:pPr>
      <w:r w:rsidRPr="008238CC">
        <w:t>The EU will make use of existing cooperation instruments and programmes to strengthen its dialogue with the Southern Neighbourhood. The European Economic and Social Committee recommends the broadest possible involvement of civil society organisations, through inclusive social and civil dialogue at all levels that takes into account the specific characteristics and roles of the various players involved and that emphasises their contribution to the design and implementation of the policies and measures needed to manage the impact of the current changes and crises, starting with the effects of climate change.</w:t>
      </w:r>
    </w:p>
    <w:p w:rsidRPr="008238CC" w:rsidR="007915C2" w:rsidP="007915C2" w:rsidRDefault="007915C2" w14:paraId="0629AD12" w14:textId="77777777">
      <w:pPr>
        <w:rPr>
          <w:color w:val="000000"/>
        </w:rPr>
      </w:pPr>
    </w:p>
    <w:p w:rsidRPr="008238CC" w:rsidR="007915C2" w:rsidP="004C2B98" w:rsidRDefault="007915C2" w14:paraId="07E14A7C" w14:textId="77777777">
      <w:pPr>
        <w:pStyle w:val="Heading2"/>
      </w:pPr>
      <w:r w:rsidRPr="008238CC">
        <w:t>It is estimated that many countries in the Southern Neighbourhood will experience a fall in GDP per capita and have major challenges in confronting the growing social, economic and poverty risks. Economic and financial reconstruction plans are therefore needed, with measures in them that can also address the problems accounting for growing social insecurity.</w:t>
      </w:r>
    </w:p>
    <w:p w:rsidRPr="008238CC" w:rsidR="007915C2" w:rsidP="007915C2" w:rsidRDefault="007915C2" w14:paraId="68F31A56" w14:textId="77777777">
      <w:pPr>
        <w:rPr>
          <w:rFonts w:eastAsia="Calibri"/>
          <w:color w:val="000000"/>
        </w:rPr>
      </w:pPr>
    </w:p>
    <w:p w:rsidRPr="008238CC" w:rsidR="007915C2" w:rsidP="004C2B98" w:rsidRDefault="007915C2" w14:paraId="51464449" w14:textId="77777777">
      <w:pPr>
        <w:pStyle w:val="Heading2"/>
        <w:rPr>
          <w:rFonts w:eastAsia="Calibri"/>
        </w:rPr>
      </w:pPr>
      <w:r w:rsidRPr="008238CC">
        <w:t>The economic recovery of many countries in the Mediterranean neighbourhood very much hinges on the effectiveness of a proper vaccination campaign, and the EESC accordingly recommends the strengthening of COVAX, and the maximum logistical and supply support from the European institutions, also through bilateral agreements. The EESC stresses that it is particularly important to support partner countries south of the Mediterranean in establishing self-determined production facilities for vaccines and medical products in their countries. In this context, it reiterates its call for the release of patents on vaccines and medical products to combat pandemics to be seriously discussed.</w:t>
      </w:r>
    </w:p>
    <w:p w:rsidRPr="008238CC" w:rsidR="007915C2" w:rsidP="007915C2" w:rsidRDefault="007915C2" w14:paraId="0FB685B4" w14:textId="77777777">
      <w:pPr>
        <w:rPr>
          <w:rFonts w:eastAsia="Calibri"/>
          <w:color w:val="000000"/>
        </w:rPr>
      </w:pPr>
    </w:p>
    <w:p w:rsidRPr="008238CC" w:rsidR="007915C2" w:rsidP="004C2B98" w:rsidRDefault="007915C2" w14:paraId="6834146B" w14:textId="77777777">
      <w:pPr>
        <w:pStyle w:val="Heading2"/>
        <w:rPr>
          <w:rFonts w:eastAsia="Calibri"/>
        </w:rPr>
      </w:pPr>
      <w:r w:rsidRPr="008238CC">
        <w:t>The EESC believes that the active involvement of civil society in the post-COVID-19 recovery will be instrumental in reaching goals such as improving people's quality of life and developing a new model of sustainable development. It therefore calls on the European institutions, using the partnership with the Southern Neighbourhood, to further strengthen all instruments for involving civil society organisations.</w:t>
      </w:r>
    </w:p>
    <w:p w:rsidRPr="008238CC" w:rsidR="007915C2" w:rsidP="007915C2" w:rsidRDefault="007915C2" w14:paraId="31003865" w14:textId="77777777">
      <w:pPr>
        <w:rPr>
          <w:rFonts w:eastAsia="Calibri"/>
          <w:color w:val="000000"/>
        </w:rPr>
      </w:pPr>
    </w:p>
    <w:p w:rsidRPr="008238CC" w:rsidR="007915C2" w:rsidP="004C2B98" w:rsidRDefault="007915C2" w14:paraId="70804744" w14:textId="77777777">
      <w:pPr>
        <w:pStyle w:val="Heading2"/>
      </w:pPr>
      <w:r w:rsidRPr="008238CC">
        <w:t>Civil society organisations have been at the vanguard of supporting the health and social response to the pandemic and their hands-on involvement has helped palliate the social and health fallout on the population. However, as the EESC has already pointed out, their ability to respond to society's needs is shaped by the reality that resources are often limited and can fluctuate. The EESC is convinced of the need to strengthen support mechanisms for civil society organisations, partly so as to better protect the most vulnerable groups afflicted particularly badly by the pandemic, such as young people, women, migrants and people with disabilities.</w:t>
      </w:r>
    </w:p>
    <w:p w:rsidRPr="008238CC" w:rsidR="007915C2" w:rsidP="007915C2" w:rsidRDefault="007915C2" w14:paraId="043AEDF9" w14:textId="77777777">
      <w:pPr>
        <w:rPr>
          <w:rFonts w:eastAsia="Calibri"/>
          <w:color w:val="000000"/>
        </w:rPr>
      </w:pPr>
    </w:p>
    <w:p w:rsidRPr="008238CC" w:rsidR="007915C2" w:rsidP="004C2B98" w:rsidRDefault="007915C2" w14:paraId="63C81D15" w14:textId="77777777">
      <w:pPr>
        <w:pStyle w:val="Heading2"/>
        <w:rPr>
          <w:rFonts w:eastAsia="Calibri"/>
        </w:rPr>
      </w:pPr>
      <w:r w:rsidRPr="008238CC">
        <w:t>The EESC calls for further action by the European institutions in support of peace, democracies and respect for human rights in conflict areas in the Mediterranean neighbourhood. The conditions experienced by the populations in conflict areas have further deteriorated because of the pandemic and vigorous efforts are required to ensure a complete peace plan.</w:t>
      </w:r>
    </w:p>
    <w:p w:rsidRPr="008238CC" w:rsidR="007915C2" w:rsidP="007915C2" w:rsidRDefault="007915C2" w14:paraId="0F108E3E" w14:textId="77777777">
      <w:pPr>
        <w:rPr>
          <w:rFonts w:eastAsia="Calibri"/>
          <w:color w:val="000000"/>
          <w:highlight w:val="green"/>
        </w:rPr>
      </w:pPr>
    </w:p>
    <w:p w:rsidRPr="008238CC" w:rsidR="007915C2" w:rsidP="004C2B98" w:rsidRDefault="007915C2" w14:paraId="092D8B50" w14:textId="77777777">
      <w:pPr>
        <w:pStyle w:val="Heading2"/>
      </w:pPr>
      <w:r w:rsidRPr="008238CC">
        <w:t>In view of the certainly difficult recovery from the pandemic crisis, the ongoing trade negotiations between the EU and Morocco and Tunisia, as well as the upcoming negotiations with Jordan, are becoming more important. The EU should take greater account of existing asymmetries and adequately accommodate its southern trading partners. The EESC calls for better involvement of civil society organisations and social partners in the negotiation processes and for a formal anchoring in the Treaties to enable them to make positive contributions to the trade relations between the partner countries, in particular, to ensure the implementation of the mandatory sustainability chapters of the upcoming trade agreements.</w:t>
      </w:r>
    </w:p>
    <w:p w:rsidRPr="008238CC" w:rsidR="007915C2" w:rsidP="007915C2" w:rsidRDefault="007915C2" w14:paraId="334624AD" w14:textId="77777777">
      <w:pPr>
        <w:outlineLvl w:val="1"/>
        <w:rPr>
          <w:color w:val="000000"/>
        </w:rPr>
      </w:pPr>
    </w:p>
    <w:p w:rsidRPr="008238CC" w:rsidR="007915C2" w:rsidP="004C2B98" w:rsidRDefault="007915C2" w14:paraId="24F9C58F" w14:textId="77777777">
      <w:pPr>
        <w:pStyle w:val="Heading2"/>
      </w:pPr>
      <w:r w:rsidRPr="008238CC">
        <w:t>In addition, the EESC suggests that the CSOs and social partners be given responsibility not only for the sustainability chapters but also for the entire scope of trade and investment agreements as part of their formally structured involvement.</w:t>
      </w:r>
    </w:p>
    <w:p w:rsidRPr="008238CC" w:rsidR="007915C2" w:rsidP="007915C2" w:rsidRDefault="007915C2" w14:paraId="1D1CC815" w14:textId="77777777">
      <w:pPr>
        <w:rPr>
          <w:color w:val="000000"/>
        </w:rPr>
      </w:pPr>
    </w:p>
    <w:p w:rsidRPr="008238CC" w:rsidR="007915C2" w:rsidP="004C2B98" w:rsidRDefault="007915C2" w14:paraId="74348BE4" w14:textId="77777777">
      <w:pPr>
        <w:pStyle w:val="Heading2"/>
        <w:rPr>
          <w:rFonts w:eastAsia="Calibri"/>
        </w:rPr>
      </w:pPr>
      <w:r w:rsidRPr="008238CC">
        <w:rPr>
          <w:rFonts w:eastAsia="Calibri"/>
        </w:rPr>
        <w:t>The EESC reiterates its view that the EU should target part of its Aid for Trade funds to support CSO participation and capacity building in sustainable trade and investment efforts.</w:t>
      </w:r>
    </w:p>
    <w:p w:rsidRPr="008238CC" w:rsidR="007915C2" w:rsidP="007915C2" w:rsidRDefault="007915C2" w14:paraId="1EE7A7DC" w14:textId="77777777">
      <w:pPr>
        <w:rPr>
          <w:rFonts w:eastAsia="Calibri"/>
          <w:color w:val="000000"/>
          <w:highlight w:val="green"/>
        </w:rPr>
      </w:pPr>
    </w:p>
    <w:p w:rsidRPr="008238CC" w:rsidR="007915C2" w:rsidP="004C2B98" w:rsidRDefault="007915C2" w14:paraId="381F6A7B" w14:textId="77777777">
      <w:pPr>
        <w:pStyle w:val="Heading2"/>
      </w:pPr>
      <w:r w:rsidRPr="008238CC">
        <w:t>The EESC has already called in the past for digital skills to be bolstered on both sides of the Mediterranean. Following the adoption of the new strategy for the Mediterranean and with a view to post-pandemic reconstruction, the EESC points to the need to boost investment in digital infrastructure and support the digital transformation of SMEs as drivers of employment and social development, including through the involvement of the social partners, acknowledging the potential of collective bargaining and social dialogue at the various levels.</w:t>
      </w:r>
    </w:p>
    <w:p w:rsidRPr="008238CC" w:rsidR="007915C2" w:rsidP="007915C2" w:rsidRDefault="007915C2" w14:paraId="2844B612" w14:textId="77777777">
      <w:pPr>
        <w:outlineLvl w:val="0"/>
        <w:rPr>
          <w:bCs/>
          <w:color w:val="000000"/>
          <w:kern w:val="28"/>
        </w:rPr>
      </w:pPr>
    </w:p>
    <w:p w:rsidRPr="004C2B98" w:rsidR="007915C2" w:rsidP="004C2B98" w:rsidRDefault="007915C2" w14:paraId="6F098BA8" w14:textId="77777777">
      <w:pPr>
        <w:pStyle w:val="Heading1"/>
        <w:rPr>
          <w:bCs/>
        </w:rPr>
      </w:pPr>
      <w:r w:rsidRPr="004C2B98">
        <w:rPr>
          <w:b/>
        </w:rPr>
        <w:t>General comments</w:t>
      </w:r>
    </w:p>
    <w:p w:rsidRPr="008238CC" w:rsidR="007915C2" w:rsidP="007915C2" w:rsidRDefault="007915C2" w14:paraId="5C3F91EF" w14:textId="77777777">
      <w:pPr>
        <w:keepNext/>
        <w:keepLines/>
        <w:rPr>
          <w:color w:val="000000"/>
          <w:sz w:val="20"/>
          <w:szCs w:val="20"/>
          <w:highlight w:val="green"/>
        </w:rPr>
      </w:pPr>
    </w:p>
    <w:p w:rsidRPr="008238CC" w:rsidR="007915C2" w:rsidP="004C2B98" w:rsidRDefault="007915C2" w14:paraId="0DCE58DE" w14:textId="77777777">
      <w:pPr>
        <w:pStyle w:val="Heading2"/>
        <w:rPr>
          <w:rFonts w:eastAsia="Calibri"/>
        </w:rPr>
      </w:pPr>
      <w:r w:rsidRPr="008238CC">
        <w:t>The pandemic crisis has made the Mediterranean neighbourhood's difficulties worse: 25 years after the Barcelona Declaration and ten years after the Arab Spring, the Mediterranean's challenges remain colossal. The European Union and its partners in the Mediterranean region have recently decided to relaunch and strengthen cooperation through the ambitious new Agenda for the Mediterranean.</w:t>
      </w:r>
    </w:p>
    <w:p w:rsidRPr="008238CC" w:rsidR="007915C2" w:rsidP="007915C2" w:rsidRDefault="007915C2" w14:paraId="4033E45C" w14:textId="77777777">
      <w:pPr>
        <w:outlineLvl w:val="1"/>
        <w:rPr>
          <w:rFonts w:eastAsia="Calibri"/>
          <w:color w:val="000000"/>
        </w:rPr>
      </w:pPr>
    </w:p>
    <w:p w:rsidRPr="008238CC" w:rsidR="007915C2" w:rsidP="004C2B98" w:rsidRDefault="007915C2" w14:paraId="21CC819A" w14:textId="77777777">
      <w:pPr>
        <w:pStyle w:val="Heading2"/>
      </w:pPr>
      <w:r w:rsidRPr="008238CC">
        <w:t>This is grounded in the conviction that only by working together and in a spirit of partnership can the strategic challenges of the future be successfully addressed in the interests of both sides. The Agenda includes a bespoke economic investment plan to support the Mediterranean Neighbourhood's socio-economic recovery in the period 2021-2027. The shared goal, as announced by High Representative Josep Borrell, is to build a peaceful, secure, more democratic, environmentally friendly, prosperous and inclusive Southern Neighbourhood.</w:t>
      </w:r>
    </w:p>
    <w:p w:rsidRPr="008238CC" w:rsidR="007915C2" w:rsidP="007915C2" w:rsidRDefault="007915C2" w14:paraId="3D94C52A" w14:textId="77777777">
      <w:pPr>
        <w:rPr>
          <w:rFonts w:eastAsia="Calibri"/>
          <w:color w:val="000000"/>
        </w:rPr>
      </w:pPr>
    </w:p>
    <w:p w:rsidRPr="008238CC" w:rsidR="007915C2" w:rsidP="004C2B98" w:rsidRDefault="007915C2" w14:paraId="0F5CBC65" w14:textId="77777777">
      <w:pPr>
        <w:pStyle w:val="Heading2"/>
      </w:pPr>
      <w:r w:rsidRPr="008238CC">
        <w:rPr>
          <w:i/>
        </w:rPr>
        <w:t>Bridging the Sea</w:t>
      </w:r>
      <w:r w:rsidRPr="008238CC">
        <w:rPr>
          <w:sz w:val="24"/>
          <w:vertAlign w:val="superscript"/>
        </w:rPr>
        <w:footnoteReference w:id="2"/>
      </w:r>
      <w:r w:rsidRPr="008238CC">
        <w:t>, a recent study published by the Med Dialogue for Rights and Equality, found that almost 63% of civil society organisations operating in the Southern Neighbourhood dealt with issues such as the consolidation of democracy and rights, while more than 53% dealt with, among other things, grappling with socio-economic inequalities. Their awareness of and attention to ecological and environmental issues is increasingly important. These figures confirm that a solid foundation exists and that support to civil society needs to be ramped up to better address the challenges of the future.</w:t>
      </w:r>
    </w:p>
    <w:p w:rsidRPr="008238CC" w:rsidR="007915C2" w:rsidP="007915C2" w:rsidRDefault="007915C2" w14:paraId="73B423E3" w14:textId="77777777">
      <w:pPr>
        <w:rPr>
          <w:color w:val="000000"/>
        </w:rPr>
      </w:pPr>
    </w:p>
    <w:p w:rsidRPr="008238CC" w:rsidR="007915C2" w:rsidP="004C2B98" w:rsidRDefault="007915C2" w14:paraId="60D1BA51" w14:textId="77777777">
      <w:pPr>
        <w:pStyle w:val="Heading2"/>
      </w:pPr>
      <w:r w:rsidRPr="008238CC">
        <w:t>Civil society in the Southern Neighbourhood has increased its presence over the last two decades. Its active approach has enabled mitigation of the social and health consequences for the population, but at the same time brought to prominence the need for action to reinforce the capacity and skills of civil society to function better.</w:t>
      </w:r>
    </w:p>
    <w:p w:rsidRPr="008238CC" w:rsidR="007915C2" w:rsidP="007915C2" w:rsidRDefault="007915C2" w14:paraId="68E5A332" w14:textId="77777777">
      <w:pPr>
        <w:outlineLvl w:val="1"/>
        <w:rPr>
          <w:color w:val="000000"/>
        </w:rPr>
      </w:pPr>
    </w:p>
    <w:p w:rsidRPr="008238CC" w:rsidR="007915C2" w:rsidP="004C2B98" w:rsidRDefault="007915C2" w14:paraId="4CB292F9" w14:textId="77777777">
      <w:pPr>
        <w:pStyle w:val="Heading2"/>
      </w:pPr>
      <w:r w:rsidRPr="008238CC">
        <w:t>The Mediterranean area, like the rest of the world, has undergone a severe economic and social shock as a result of the COVID-19 pandemic. The social and health consequences have been aggravated by the lack of adequate public health infrastructure, especially in the most fragile countries. The pandemic crisis has compounded the crises that already existed in a number of countries, the result of a series of factors such as already precarious economic and social trajectories, high unemployment and the consequences of conflicts in certain areas, such as Libya and Syria.</w:t>
      </w:r>
    </w:p>
    <w:p w:rsidRPr="008238CC" w:rsidR="007915C2" w:rsidP="007915C2" w:rsidRDefault="007915C2" w14:paraId="79BD442D" w14:textId="77777777">
      <w:pPr>
        <w:outlineLvl w:val="1"/>
        <w:rPr>
          <w:color w:val="000000"/>
        </w:rPr>
      </w:pPr>
    </w:p>
    <w:p w:rsidRPr="008238CC" w:rsidR="007915C2" w:rsidP="004C2B98" w:rsidRDefault="007915C2" w14:paraId="6CED7DDD" w14:textId="77777777">
      <w:pPr>
        <w:pStyle w:val="Heading2"/>
        <w:rPr>
          <w:rFonts w:eastAsia="Calibri"/>
        </w:rPr>
      </w:pPr>
      <w:r w:rsidRPr="008238CC">
        <w:t>Governments in the Mediterranean region reacted immediately, albeit in very different ways, to contain the spread of the pandemic by putting support measures in place for workers and businesses, including in collaboration with the social partners and civil society organisations, although they were often insufficiently involved and in some cases not at all. To contain the effects of the pandemic, almost all countries in the Mediterranean area imposed lockdowns, like in Morocco, Egypt, Jordan and Lebanon, curfews and travel restrictions.</w:t>
      </w:r>
    </w:p>
    <w:p w:rsidRPr="008238CC" w:rsidR="007915C2" w:rsidP="007915C2" w:rsidRDefault="007915C2" w14:paraId="6E026983" w14:textId="77777777">
      <w:pPr>
        <w:outlineLvl w:val="1"/>
        <w:rPr>
          <w:rFonts w:eastAsia="Calibri"/>
          <w:color w:val="000000"/>
        </w:rPr>
      </w:pPr>
    </w:p>
    <w:p w:rsidRPr="008238CC" w:rsidR="007915C2" w:rsidP="004C2B98" w:rsidRDefault="007915C2" w14:paraId="6D96CBE3" w14:textId="77777777">
      <w:pPr>
        <w:pStyle w:val="Heading2"/>
        <w:rPr>
          <w:rFonts w:eastAsia="Calibri"/>
        </w:rPr>
      </w:pPr>
      <w:r w:rsidRPr="008238CC">
        <w:t>In the wake of the pandemic crisis, many governments in the area have put in place expansionary policies to address the economic crisis and support particular sectors by stimulating production and introducing tax and economic benefits and measures to attract investment</w:t>
      </w:r>
    </w:p>
    <w:p w:rsidRPr="008238CC" w:rsidR="007915C2" w:rsidP="007915C2" w:rsidRDefault="007915C2" w14:paraId="4D18A2B3" w14:textId="77777777">
      <w:pPr>
        <w:outlineLvl w:val="1"/>
        <w:rPr>
          <w:rFonts w:eastAsia="Calibri"/>
          <w:strike/>
          <w:color w:val="000000"/>
        </w:rPr>
      </w:pPr>
    </w:p>
    <w:p w:rsidRPr="008238CC" w:rsidR="007915C2" w:rsidP="004C2B98" w:rsidRDefault="007915C2" w14:paraId="452681C5" w14:textId="77777777">
      <w:pPr>
        <w:pStyle w:val="Heading2"/>
        <w:rPr>
          <w:rFonts w:eastAsia="Calibri"/>
        </w:rPr>
      </w:pPr>
      <w:r w:rsidRPr="008238CC">
        <w:t>The pandemic has engendered adverse economic consequences across the Mediterranean region, not just because of factors such as reduced internal and external demand and falling consumption, but also because of the worsening financial and public debt situation. Since the outbreak of the pandemic crisis, the region's governments have allocated additional resources to the health and economic systems to support certain sectors. The public deficits of almost all the countries in the Mediterranean region will increase considerably as a result.</w:t>
      </w:r>
    </w:p>
    <w:p w:rsidRPr="008238CC" w:rsidR="007915C2" w:rsidP="007915C2" w:rsidRDefault="007915C2" w14:paraId="714D4D1D" w14:textId="77777777">
      <w:pPr>
        <w:outlineLvl w:val="1"/>
        <w:rPr>
          <w:rFonts w:eastAsia="Calibri"/>
          <w:strike/>
          <w:color w:val="000000"/>
        </w:rPr>
      </w:pPr>
    </w:p>
    <w:p w:rsidRPr="008238CC" w:rsidR="007915C2" w:rsidP="004C2B98" w:rsidRDefault="007915C2" w14:paraId="3D94369D" w14:textId="77777777">
      <w:pPr>
        <w:pStyle w:val="Heading2"/>
        <w:rPr>
          <w:rFonts w:eastAsia="Calibri"/>
        </w:rPr>
      </w:pPr>
      <w:r w:rsidRPr="008238CC">
        <w:t>The transport sector has been hard hit by the restrictive measures that have prevented or reduced international travel, making tourism one of the sectors worst affected by the pandemic. The OECD has estimated a contraction in the sector of between 45 and 70%, and a drop in international tourism of between 60 and 80%</w:t>
      </w:r>
      <w:r w:rsidRPr="008238CC">
        <w:rPr>
          <w:rFonts w:eastAsia="Calibri"/>
          <w:sz w:val="24"/>
          <w:vertAlign w:val="superscript"/>
        </w:rPr>
        <w:footnoteReference w:id="3"/>
      </w:r>
      <w:r w:rsidRPr="008238CC">
        <w:t>. Tourism is one of the prime economic sectors for the Mediterranean countries and, according to the United Nations Conference on Trade and Development (UNCTAD), Egypt and Morocco will be among the countries most impacted worldwide</w:t>
      </w:r>
      <w:r w:rsidRPr="008238CC">
        <w:rPr>
          <w:rFonts w:eastAsia="Calibri"/>
          <w:sz w:val="24"/>
          <w:vertAlign w:val="superscript"/>
        </w:rPr>
        <w:footnoteReference w:id="4"/>
      </w:r>
      <w:r w:rsidRPr="008238CC">
        <w:t>.</w:t>
      </w:r>
    </w:p>
    <w:p w:rsidRPr="008238CC" w:rsidR="007915C2" w:rsidP="007915C2" w:rsidRDefault="007915C2" w14:paraId="7A000038" w14:textId="77777777">
      <w:pPr>
        <w:outlineLvl w:val="1"/>
        <w:rPr>
          <w:rFonts w:eastAsia="Calibri"/>
          <w:color w:val="000000"/>
        </w:rPr>
      </w:pPr>
    </w:p>
    <w:p w:rsidRPr="008238CC" w:rsidR="007915C2" w:rsidP="004C2B98" w:rsidRDefault="007915C2" w14:paraId="6D1566B7" w14:textId="77777777">
      <w:pPr>
        <w:pStyle w:val="Heading2"/>
        <w:rPr>
          <w:rFonts w:eastAsia="Calibri"/>
        </w:rPr>
      </w:pPr>
      <w:r w:rsidRPr="008238CC">
        <w:t xml:space="preserve">Micro and small- and medium-sized enterprises and the self-employed are one of the important components of the economy of the countries on the southern shore. They have seen a significant reduction in their turnover and most of them have been forced to reduce the number of employees. In this regard, structural measures will be needed to help SMEs emerge from the crisis and to grow and innovate by addressing the dual challenge of digitalisation and decarbonisation. </w:t>
      </w:r>
    </w:p>
    <w:p w:rsidRPr="008238CC" w:rsidR="007915C2" w:rsidP="007915C2" w:rsidRDefault="007915C2" w14:paraId="69127CC7" w14:textId="77777777">
      <w:pPr>
        <w:rPr>
          <w:rFonts w:eastAsia="Calibri"/>
          <w:color w:val="000000"/>
        </w:rPr>
      </w:pPr>
    </w:p>
    <w:p w:rsidRPr="008238CC" w:rsidR="007915C2" w:rsidP="004C2B98" w:rsidRDefault="007915C2" w14:paraId="0549D9B4" w14:textId="77777777">
      <w:pPr>
        <w:pStyle w:val="Heading2"/>
      </w:pPr>
      <w:r w:rsidRPr="008238CC">
        <w:t>Although the pandemic crisis in the Mediterranean region has affected all social groups, the worst hit have particularly been: young people, due to the worsening of the labour market and the lockdown measures for schools and universities; women employed, in some areas such as the Southern Neighbourhood, primarily in the informal economy, agriculture and in a tourism sector severely affected by lockdown measures; vulnerable groups such as informal workers and refugees, who are often not beneficiaries of social protection measures, and people with disabilities, due to the often poor services.</w:t>
      </w:r>
    </w:p>
    <w:p w:rsidRPr="008238CC" w:rsidR="007915C2" w:rsidP="007915C2" w:rsidRDefault="007915C2" w14:paraId="7D318815" w14:textId="77777777">
      <w:pPr>
        <w:rPr>
          <w:rFonts w:eastAsia="Calibri"/>
          <w:color w:val="000000"/>
        </w:rPr>
      </w:pPr>
    </w:p>
    <w:p w:rsidRPr="008238CC" w:rsidR="007915C2" w:rsidP="004C2B98" w:rsidRDefault="007915C2" w14:paraId="703E8895" w14:textId="77777777">
      <w:pPr>
        <w:pStyle w:val="Heading2"/>
      </w:pPr>
      <w:r w:rsidRPr="008238CC">
        <w:t>In some parts of the Southern Neighbourhood, factors such as water scarcity and poor access to sanitation have exacerbated the impact of the pandemic, especially in the most socially isolated strata, conflict areas and refugee camps.</w:t>
      </w:r>
    </w:p>
    <w:p w:rsidRPr="008238CC" w:rsidR="007915C2" w:rsidP="007915C2" w:rsidRDefault="007915C2" w14:paraId="2A0ABF2E" w14:textId="77777777">
      <w:pPr>
        <w:rPr>
          <w:color w:val="000000"/>
        </w:rPr>
      </w:pPr>
    </w:p>
    <w:p w:rsidRPr="004C2B98" w:rsidR="007915C2" w:rsidP="004C2B98" w:rsidRDefault="007915C2" w14:paraId="795515B5" w14:textId="77777777">
      <w:pPr>
        <w:pStyle w:val="Heading1"/>
        <w:keepNext/>
        <w:rPr>
          <w:bCs/>
        </w:rPr>
      </w:pPr>
      <w:r w:rsidRPr="004C2B98">
        <w:rPr>
          <w:b/>
        </w:rPr>
        <w:t>Challenges and opportunities</w:t>
      </w:r>
    </w:p>
    <w:p w:rsidRPr="008238CC" w:rsidR="007915C2" w:rsidP="007915C2" w:rsidRDefault="007915C2" w14:paraId="502EC454" w14:textId="77777777">
      <w:pPr>
        <w:keepNext/>
        <w:keepLines/>
        <w:rPr>
          <w:color w:val="000000"/>
          <w:sz w:val="20"/>
          <w:szCs w:val="20"/>
          <w:highlight w:val="green"/>
        </w:rPr>
      </w:pPr>
    </w:p>
    <w:p w:rsidRPr="008238CC" w:rsidR="007915C2" w:rsidP="004C2B98" w:rsidRDefault="007915C2" w14:paraId="2D2EA2DC" w14:textId="77777777">
      <w:pPr>
        <w:pStyle w:val="Heading2"/>
        <w:rPr>
          <w:rFonts w:eastAsia="Calibri"/>
        </w:rPr>
      </w:pPr>
      <w:r w:rsidRPr="008238CC">
        <w:t>As highlighted by the secretary general of the Union for the Mediterranean</w:t>
      </w:r>
      <w:r w:rsidRPr="008238CC">
        <w:rPr>
          <w:sz w:val="24"/>
          <w:vertAlign w:val="superscript"/>
        </w:rPr>
        <w:footnoteReference w:id="5"/>
      </w:r>
      <w:r w:rsidRPr="008238CC">
        <w:t xml:space="preserve">, the current health crisis is jeopardising the area's socio-economic progress of recent years. Nevertheless, the crisis is an opportunity to strengthen integration and make economies more resilient. </w:t>
      </w:r>
    </w:p>
    <w:p w:rsidRPr="008238CC" w:rsidR="007915C2" w:rsidP="007915C2" w:rsidRDefault="007915C2" w14:paraId="712A8B50" w14:textId="77777777">
      <w:pPr>
        <w:rPr>
          <w:rFonts w:eastAsia="Calibri"/>
          <w:color w:val="000000"/>
        </w:rPr>
      </w:pPr>
    </w:p>
    <w:p w:rsidRPr="008238CC" w:rsidR="007915C2" w:rsidP="004C2B98" w:rsidRDefault="007915C2" w14:paraId="082F8183" w14:textId="77777777">
      <w:pPr>
        <w:pStyle w:val="Heading2"/>
      </w:pPr>
      <w:r w:rsidRPr="008238CC">
        <w:t>The role of civil society in the Euro-Mediterranean region is of paramount importance in building a fairer and more inclusive society after the pandemic; similarly, as highlighted at the Porto Social</w:t>
      </w:r>
      <w:r w:rsidRPr="008238CC">
        <w:rPr>
          <w:sz w:val="24"/>
          <w:vertAlign w:val="superscript"/>
        </w:rPr>
        <w:footnoteReference w:id="6"/>
      </w:r>
      <w:r w:rsidRPr="008238CC">
        <w:t xml:space="preserve"> Summit, the active involvement of the social partners and civil society organisations is crucial in making sure no-one is left behind and for the effective implementation of the European Pillar of Social Rights.</w:t>
      </w:r>
    </w:p>
    <w:p w:rsidRPr="008238CC" w:rsidR="007915C2" w:rsidP="007915C2" w:rsidRDefault="007915C2" w14:paraId="21884566" w14:textId="77777777">
      <w:pPr>
        <w:rPr>
          <w:color w:val="000000"/>
        </w:rPr>
      </w:pPr>
    </w:p>
    <w:p w:rsidRPr="008238CC" w:rsidR="007915C2" w:rsidP="004C2B98" w:rsidRDefault="007915C2" w14:paraId="03DB267C" w14:textId="77777777">
      <w:pPr>
        <w:pStyle w:val="Heading2"/>
      </w:pPr>
      <w:r w:rsidRPr="008238CC">
        <w:t>COVID-19 and related measures put civil society sustainability at risk. Governments and many donors have suspended grants and have frozen funding, redirecting funds to COVID-19 relief efforts. The result is threatening CSO's already fragile sustainability, the possibility to continue serving communities, and the jobs of many civil society workers, although there are big expectations of CSOs. The EESC stresses that organisational sustainability grants and core support funding is crucial for CSOs to adapt to rapidly changing situations and to continue operations during crises.</w:t>
      </w:r>
    </w:p>
    <w:p w:rsidRPr="008238CC" w:rsidR="007915C2" w:rsidP="007915C2" w:rsidRDefault="007915C2" w14:paraId="09602104" w14:textId="77777777">
      <w:pPr>
        <w:rPr>
          <w:rFonts w:eastAsia="Calibri"/>
          <w:color w:val="000000"/>
        </w:rPr>
      </w:pPr>
    </w:p>
    <w:p w:rsidRPr="008238CC" w:rsidR="007915C2" w:rsidP="004C2B98" w:rsidRDefault="007915C2" w14:paraId="47DF523F" w14:textId="77777777">
      <w:pPr>
        <w:pStyle w:val="Heading2"/>
        <w:rPr>
          <w:rFonts w:eastAsia="Calibri"/>
        </w:rPr>
      </w:pPr>
      <w:r w:rsidRPr="008238CC">
        <w:t>The EESC has highlighted the fact that the Mediterranean is one of the parts of the world most vulnerable to the impacts of climate change. COVID-19 has adversely affected the social situation and development, making the adoption of sustainable development and green economy strategies a matter of urgency.</w:t>
      </w:r>
    </w:p>
    <w:p w:rsidRPr="008238CC" w:rsidR="007915C2" w:rsidP="007915C2" w:rsidRDefault="007915C2" w14:paraId="5D6312C7" w14:textId="77777777">
      <w:pPr>
        <w:outlineLvl w:val="1"/>
        <w:rPr>
          <w:rFonts w:eastAsia="Calibri"/>
          <w:color w:val="000000"/>
        </w:rPr>
      </w:pPr>
    </w:p>
    <w:p w:rsidRPr="008238CC" w:rsidR="007915C2" w:rsidP="004C2B98" w:rsidRDefault="007915C2" w14:paraId="3CD4389B" w14:textId="77777777">
      <w:pPr>
        <w:pStyle w:val="Heading2"/>
        <w:rPr>
          <w:rFonts w:eastAsia="Calibri"/>
        </w:rPr>
      </w:pPr>
      <w:r w:rsidRPr="008238CC">
        <w:t>The adoption of recovery plans in the Mediterranean area constitutes a potential opportunity to ensure the region's economic, social and environmental development. It is essential to link development opportunities with adherence to principles such as solidarity, combating inequalities and safeguarding and respecting the rule of law. Active civil society involvement is essential if all the goals are to be attained.</w:t>
      </w:r>
    </w:p>
    <w:p w:rsidRPr="008238CC" w:rsidR="007915C2" w:rsidP="007915C2" w:rsidRDefault="007915C2" w14:paraId="348C63C2" w14:textId="77777777">
      <w:pPr>
        <w:outlineLvl w:val="1"/>
        <w:rPr>
          <w:rFonts w:eastAsia="Calibri"/>
          <w:color w:val="000000"/>
        </w:rPr>
      </w:pPr>
    </w:p>
    <w:p w:rsidRPr="008238CC" w:rsidR="007915C2" w:rsidP="004C2B98" w:rsidRDefault="007915C2" w14:paraId="08DBCDF7" w14:textId="77777777">
      <w:pPr>
        <w:pStyle w:val="Heading2"/>
      </w:pPr>
      <w:r w:rsidRPr="008238CC">
        <w:t>Future post-COVID-19 reconstruction plans, alongside economic growth, should occupy an important place in the Southern Neighbourhood in measures to contain environmental problems associated with climate change, water scarcity, desertification and pollution. Environmental conservation and protection measures could have a positive impact in the Mediterranean region by diversifying the economy and creating quality jobs. In this context, the EESC draws attention to the very high potential for renewable energies (especially solar and wind energy) in the southern partner countries and calls on the EU and its member countries to push for more sustainable common investments in this field.</w:t>
      </w:r>
    </w:p>
    <w:p w:rsidRPr="008238CC" w:rsidR="007915C2" w:rsidP="007915C2" w:rsidRDefault="007915C2" w14:paraId="737930F4" w14:textId="77777777">
      <w:pPr>
        <w:outlineLvl w:val="1"/>
        <w:rPr>
          <w:rFonts w:eastAsia="Calibri"/>
          <w:color w:val="000000"/>
        </w:rPr>
      </w:pPr>
    </w:p>
    <w:p w:rsidRPr="008238CC" w:rsidR="007915C2" w:rsidP="004C2B98" w:rsidRDefault="007915C2" w14:paraId="0B57F1A3" w14:textId="77777777">
      <w:pPr>
        <w:pStyle w:val="Heading2"/>
        <w:rPr>
          <w:rFonts w:eastAsia="Calibri"/>
        </w:rPr>
      </w:pPr>
      <w:r w:rsidRPr="008238CC">
        <w:t xml:space="preserve">The EESC has already highlighted the need to promote a just transition in the Mediterranean area, partly to bring benefits in terms of health, education and gender. In order to ensure a recovery effectively geared to the principles of the transition and digitalisation, it will be crucial to promote awareness-raising and the development of particular entrepreneurial mindsets and digital skills. The EESC supports the call of its southern partner countries for a stronger commitment of the EU and its Member States in the field of research and development cooperation in the Mediterranean </w:t>
      </w:r>
    </w:p>
    <w:p w:rsidRPr="008238CC" w:rsidR="007915C2" w:rsidP="007915C2" w:rsidRDefault="007915C2" w14:paraId="47DDAA65" w14:textId="77777777">
      <w:pPr>
        <w:outlineLvl w:val="1"/>
        <w:rPr>
          <w:color w:val="000000"/>
        </w:rPr>
      </w:pPr>
    </w:p>
    <w:p w:rsidRPr="008238CC" w:rsidR="007915C2" w:rsidP="004C2B98" w:rsidRDefault="007915C2" w14:paraId="1DDEB6AA" w14:textId="77777777">
      <w:pPr>
        <w:pStyle w:val="Heading2"/>
      </w:pPr>
      <w:r w:rsidRPr="008238CC">
        <w:t>The recovery of the Southern Neighbourhood, in a situation characterised by a large share of employment in the informal economy, is also closely linked to the development of an effective model of vocational training and education. The EESC reiterates the need to strengthen professional skills, especially those of young people and women, so that they can be used in national and transnational settings, as part of a circular brain approach. CSOs also have an important role in strengthening skills through non-formal education, organising workshops and training and through promoting the social economy. The Committee also stresses the need, as already highlighted by the UfM Regional dialogue with social partners,</w:t>
      </w:r>
      <w:r w:rsidRPr="008238CC">
        <w:rPr>
          <w:i/>
          <w:iCs/>
        </w:rPr>
        <w:t xml:space="preserve"> inter alia</w:t>
      </w:r>
      <w:r w:rsidRPr="008238CC">
        <w:t>, to involve the social partners, with a view to tackling the mismatch between supply and demand on the labour market.</w:t>
      </w:r>
    </w:p>
    <w:p w:rsidRPr="008238CC" w:rsidR="007915C2" w:rsidRDefault="007915C2" w14:paraId="041266A9" w14:textId="77777777">
      <w:pPr>
        <w:overflowPunct w:val="0"/>
        <w:autoSpaceDE w:val="0"/>
        <w:autoSpaceDN w:val="0"/>
        <w:adjustRightInd w:val="0"/>
        <w:textAlignment w:val="baseline"/>
        <w:rPr>
          <w:color w:val="000000"/>
        </w:rPr>
      </w:pPr>
    </w:p>
    <w:p w:rsidRPr="008238CC" w:rsidR="00D95FB9" w:rsidP="004C2B98" w:rsidRDefault="00D95FB9" w14:paraId="50F91F22" w14:textId="77777777">
      <w:pPr>
        <w:jc w:val="left"/>
        <w:rPr>
          <w:color w:val="000000"/>
        </w:rPr>
      </w:pPr>
      <w:r w:rsidRPr="008238CC">
        <w:rPr>
          <w:color w:val="000000"/>
        </w:rPr>
        <w:t>Brussels, 24 January 2023</w:t>
      </w:r>
    </w:p>
    <w:p w:rsidRPr="008238CC" w:rsidR="00D95FB9" w:rsidP="004C2B98" w:rsidRDefault="00D95FB9" w14:paraId="002C4EF8" w14:textId="77777777">
      <w:pPr>
        <w:jc w:val="left"/>
        <w:rPr>
          <w:color w:val="000000"/>
        </w:rPr>
      </w:pPr>
    </w:p>
    <w:p w:rsidRPr="008238CC" w:rsidR="00D95FB9" w:rsidP="004C2B98" w:rsidRDefault="00D95FB9" w14:paraId="3EDE3DFC" w14:textId="77777777">
      <w:pPr>
        <w:jc w:val="left"/>
        <w:rPr>
          <w:color w:val="000000"/>
        </w:rPr>
      </w:pPr>
    </w:p>
    <w:p w:rsidRPr="008238CC" w:rsidR="00D95FB9" w:rsidP="004C2B98" w:rsidRDefault="00D95FB9" w14:paraId="6EFCC7BC" w14:textId="77777777">
      <w:pPr>
        <w:jc w:val="left"/>
        <w:rPr>
          <w:color w:val="000000"/>
        </w:rPr>
      </w:pPr>
    </w:p>
    <w:p w:rsidRPr="008238CC" w:rsidR="00D95FB9" w:rsidP="004C2B98" w:rsidRDefault="00D95FB9" w14:paraId="728761B1" w14:textId="77777777">
      <w:pPr>
        <w:jc w:val="left"/>
        <w:rPr>
          <w:color w:val="000000"/>
        </w:rPr>
      </w:pPr>
      <w:r w:rsidRPr="008238CC">
        <w:rPr>
          <w:color w:val="000000"/>
        </w:rPr>
        <w:t>Christa SCWENG</w:t>
      </w:r>
    </w:p>
    <w:p w:rsidRPr="008238CC" w:rsidR="007915C2" w:rsidP="004C2B98" w:rsidRDefault="00D95FB9" w14:paraId="4EBBC0CE" w14:textId="77777777">
      <w:pPr>
        <w:jc w:val="left"/>
        <w:rPr>
          <w:color w:val="000000"/>
        </w:rPr>
      </w:pPr>
      <w:r w:rsidRPr="008238CC">
        <w:rPr>
          <w:color w:val="000000"/>
        </w:rPr>
        <w:t>The president of the European Economic and Social Committee</w:t>
      </w:r>
    </w:p>
    <w:p w:rsidRPr="008238CC" w:rsidR="007915C2" w:rsidP="007915C2" w:rsidRDefault="007915C2" w14:paraId="13E08245" w14:textId="77777777">
      <w:pPr>
        <w:spacing w:line="240" w:lineRule="auto"/>
        <w:jc w:val="left"/>
        <w:rPr>
          <w:color w:val="000000"/>
        </w:rPr>
      </w:pPr>
      <w:r w:rsidRPr="008238CC">
        <w:rPr>
          <w:color w:val="000000"/>
        </w:rPr>
        <w:br w:type="page"/>
      </w:r>
    </w:p>
    <w:p w:rsidRPr="008238CC" w:rsidR="007915C2" w:rsidP="007915C2" w:rsidRDefault="007915C2" w14:paraId="26F245F8" w14:textId="77777777">
      <w:pPr>
        <w:jc w:val="right"/>
        <w:rPr>
          <w:b/>
          <w:color w:val="000000"/>
          <w:sz w:val="28"/>
          <w:szCs w:val="28"/>
        </w:rPr>
      </w:pPr>
      <w:r w:rsidRPr="008238CC">
        <w:rPr>
          <w:b/>
          <w:color w:val="000000"/>
          <w:sz w:val="28"/>
          <w:szCs w:val="28"/>
        </w:rPr>
        <w:t>Appendix I</w:t>
      </w:r>
    </w:p>
    <w:p w:rsidRPr="008238CC" w:rsidR="007915C2" w:rsidP="007915C2" w:rsidRDefault="007915C2" w14:paraId="3772F7B6" w14:textId="77777777">
      <w:pPr>
        <w:rPr>
          <w:color w:val="000000"/>
        </w:rPr>
      </w:pPr>
    </w:p>
    <w:p w:rsidRPr="008238CC" w:rsidR="007915C2" w:rsidP="004C2B98" w:rsidRDefault="007915C2" w14:paraId="5095D8EF" w14:textId="77777777">
      <w:pPr>
        <w:pStyle w:val="Heading1"/>
        <w:numPr>
          <w:ilvl w:val="0"/>
          <w:numId w:val="6"/>
        </w:numPr>
      </w:pPr>
      <w:r w:rsidRPr="008238CC">
        <w:t>Country update</w:t>
      </w:r>
    </w:p>
    <w:p w:rsidRPr="008238CC" w:rsidR="007915C2" w:rsidP="007915C2" w:rsidRDefault="007915C2" w14:paraId="1FB01E2B" w14:textId="77777777">
      <w:pPr>
        <w:keepNext/>
        <w:keepLines/>
        <w:rPr>
          <w:color w:val="000000"/>
        </w:rPr>
      </w:pPr>
    </w:p>
    <w:p w:rsidRPr="008238CC" w:rsidR="007915C2" w:rsidP="004C2B98" w:rsidRDefault="007915C2" w14:paraId="42822D30" w14:textId="77777777">
      <w:pPr>
        <w:pStyle w:val="Heading2"/>
      </w:pPr>
      <w:r w:rsidRPr="008238CC">
        <w:t>Egypt</w:t>
      </w:r>
    </w:p>
    <w:p w:rsidRPr="008238CC" w:rsidR="007915C2" w:rsidP="007915C2" w:rsidRDefault="007915C2" w14:paraId="170C74EA" w14:textId="77777777">
      <w:pPr>
        <w:keepNext/>
        <w:keepLines/>
        <w:rPr>
          <w:color w:val="000000"/>
        </w:rPr>
      </w:pPr>
    </w:p>
    <w:p w:rsidRPr="008238CC" w:rsidR="007915C2" w:rsidP="004C2B98" w:rsidRDefault="007915C2" w14:paraId="53EDECC1" w14:textId="77777777">
      <w:pPr>
        <w:pStyle w:val="Heading3"/>
      </w:pPr>
      <w:r w:rsidRPr="008238CC">
        <w:t>According to the World Bank, recent structural and macroeconomic reforms have helped stabilise the economy. However, the impact of COVID-19 has undermined progress. Some key sectors such as tourism, manufacturing, the Suez Canal and mining were particularly affected by the restrictive measures adopted. To tackle the impact of the crisis, support measures were put in place for the hardest hit sectors and aid given to irregular workers. The World Bank estimates that Egypt will recover to pre-crisis levels between 2021 and 2023, but much will depend on the vaccination campaign. The multidimensional nature of the crisis has highlighted the need to undertake deeper reforms in the social, digital transformation and green transition spheres .</w:t>
      </w:r>
    </w:p>
    <w:p w:rsidRPr="008238CC" w:rsidR="007915C2" w:rsidP="007915C2" w:rsidRDefault="007915C2" w14:paraId="69A08758" w14:textId="77777777">
      <w:pPr>
        <w:rPr>
          <w:color w:val="000000"/>
        </w:rPr>
      </w:pPr>
    </w:p>
    <w:p w:rsidRPr="008238CC" w:rsidR="007915C2" w:rsidP="004C2B98" w:rsidRDefault="007915C2" w14:paraId="4E753600" w14:textId="77777777">
      <w:pPr>
        <w:pStyle w:val="Heading2"/>
      </w:pPr>
      <w:r w:rsidRPr="008238CC">
        <w:t>Libya</w:t>
      </w:r>
    </w:p>
    <w:p w:rsidRPr="008238CC" w:rsidR="007915C2" w:rsidP="007915C2" w:rsidRDefault="007915C2" w14:paraId="01A58195" w14:textId="77777777">
      <w:pPr>
        <w:keepNext/>
        <w:keepLines/>
        <w:rPr>
          <w:color w:val="000000"/>
        </w:rPr>
      </w:pPr>
    </w:p>
    <w:p w:rsidRPr="008238CC" w:rsidR="007915C2" w:rsidP="004C2B98" w:rsidRDefault="007915C2" w14:paraId="4568F3F7" w14:textId="77777777">
      <w:pPr>
        <w:pStyle w:val="Heading3"/>
      </w:pPr>
      <w:r w:rsidRPr="008238CC">
        <w:t xml:space="preserve">Libya's economy is feeling the effects not only of the pandemic crisis but also of the uncertain political and institutional situation resulting from the ongoing conflict. The country's economy is largely dependent on the production and sale of oil; the fallout from the pandemic crisis and the restrictions imposed saw a sharp decline in mining and refining activities and reduced oil production. The Central Bank in Tripoli has reported that the blockade of key sectors has led to an estimated loss of tax revenue of around USD 11 billion. The World Bank expects a slow recovery from 2021 onwards and has highlighted the urgent need for structural investment and social reforms in particular for the most vulnerable groups . </w:t>
      </w:r>
    </w:p>
    <w:p w:rsidRPr="008238CC" w:rsidR="007915C2" w:rsidP="007915C2" w:rsidRDefault="007915C2" w14:paraId="66642578" w14:textId="77777777">
      <w:pPr>
        <w:rPr>
          <w:color w:val="000000"/>
        </w:rPr>
      </w:pPr>
    </w:p>
    <w:p w:rsidRPr="008238CC" w:rsidR="007915C2" w:rsidP="004C2B98" w:rsidRDefault="007915C2" w14:paraId="2AFE50A0" w14:textId="77777777">
      <w:pPr>
        <w:pStyle w:val="Heading2"/>
      </w:pPr>
      <w:r w:rsidRPr="008238CC">
        <w:t xml:space="preserve">Tunisia </w:t>
      </w:r>
    </w:p>
    <w:p w:rsidRPr="008238CC" w:rsidR="007915C2" w:rsidP="007915C2" w:rsidRDefault="007915C2" w14:paraId="7967D068" w14:textId="77777777">
      <w:pPr>
        <w:keepNext/>
        <w:keepLines/>
        <w:rPr>
          <w:color w:val="000000"/>
        </w:rPr>
      </w:pPr>
    </w:p>
    <w:p w:rsidRPr="008238CC" w:rsidR="007915C2" w:rsidP="004C2B98" w:rsidRDefault="007915C2" w14:paraId="1EB30E29" w14:textId="77777777">
      <w:pPr>
        <w:pStyle w:val="Heading3"/>
      </w:pPr>
      <w:r w:rsidRPr="008238CC">
        <w:t xml:space="preserve">The pandemic crisis came on top of an already difficult macroeconomic situation. Civil society and the trade unions are calling for development plans and measures to improve economic and social conditions. The World Bank reports that real GDP contracted by 8.8% in the course of 2020. There were sharp declines in certain sectors such as tourism and transport, with a fall of 80% in the number of passengers arriving into the country. For the current year, the World Bank projects growth of 4%. As in many countries, the recovery will hinge on the success of the vaccination campaign and on the adoption of a recovery plan that takes into account aspects such as social policy, employment and the green and digital transition. It is important to highlight the active role of the social partners, and the proposal put forward by the Tunisian General Labour Union (UGTT) for a national dialogue to address the country's structural problems, which have been exacerbated by the pandemic crisis. </w:t>
      </w:r>
    </w:p>
    <w:p w:rsidRPr="008238CC" w:rsidR="007915C2" w:rsidP="007915C2" w:rsidRDefault="007915C2" w14:paraId="5632EF6B" w14:textId="77777777">
      <w:pPr>
        <w:rPr>
          <w:color w:val="000000"/>
        </w:rPr>
      </w:pPr>
    </w:p>
    <w:p w:rsidRPr="008238CC" w:rsidR="007915C2" w:rsidP="004C2B98" w:rsidRDefault="007915C2" w14:paraId="7B17C25F" w14:textId="77777777">
      <w:pPr>
        <w:pStyle w:val="Heading2"/>
      </w:pPr>
      <w:r w:rsidRPr="008238CC">
        <w:t>Algeria</w:t>
      </w:r>
    </w:p>
    <w:p w:rsidRPr="008238CC" w:rsidR="007915C2" w:rsidP="007915C2" w:rsidRDefault="007915C2" w14:paraId="5988A2EF" w14:textId="77777777">
      <w:pPr>
        <w:keepNext/>
        <w:rPr>
          <w:color w:val="000000"/>
        </w:rPr>
      </w:pPr>
    </w:p>
    <w:p w:rsidRPr="008238CC" w:rsidR="007915C2" w:rsidP="004C2B98" w:rsidRDefault="007915C2" w14:paraId="69DF7E5E" w14:textId="77777777">
      <w:pPr>
        <w:pStyle w:val="Heading3"/>
      </w:pPr>
      <w:r w:rsidRPr="008238CC">
        <w:t xml:space="preserve">Just as in neighbouring countries, Algeria saw its economy contract sharply in 2020. To drive economic recovery, the Algerian authorities have announced plans for public investments and a number of reforms to support the recovery and protect households. The hydrocarbon sector was the sector hardest hit by the pandemic crisis, declining by 8.5% according to the World Bank's figures . </w:t>
      </w:r>
    </w:p>
    <w:p w:rsidRPr="008238CC" w:rsidR="007915C2" w:rsidP="007915C2" w:rsidRDefault="007915C2" w14:paraId="3DFFCA4B" w14:textId="77777777">
      <w:pPr>
        <w:rPr>
          <w:color w:val="000000"/>
        </w:rPr>
      </w:pPr>
    </w:p>
    <w:p w:rsidRPr="008238CC" w:rsidR="007915C2" w:rsidP="004C2B98" w:rsidRDefault="007915C2" w14:paraId="1900798A" w14:textId="77777777">
      <w:pPr>
        <w:pStyle w:val="Heading2"/>
      </w:pPr>
      <w:r w:rsidRPr="008238CC">
        <w:t>Morocco</w:t>
      </w:r>
    </w:p>
    <w:p w:rsidRPr="008238CC" w:rsidR="007915C2" w:rsidP="007915C2" w:rsidRDefault="007915C2" w14:paraId="424351E3" w14:textId="77777777">
      <w:pPr>
        <w:keepNext/>
        <w:keepLines/>
        <w:rPr>
          <w:color w:val="000000"/>
        </w:rPr>
      </w:pPr>
    </w:p>
    <w:p w:rsidRPr="008238CC" w:rsidR="007915C2" w:rsidP="004C2B98" w:rsidRDefault="007915C2" w14:paraId="2BA9587E" w14:textId="77777777">
      <w:pPr>
        <w:pStyle w:val="Heading3"/>
      </w:pPr>
      <w:r w:rsidRPr="008238CC">
        <w:t xml:space="preserve">Morocco's economy contracted sharply in the course of 2020, amounting to 7.6% of GDP, according to the World Bank. In response to the pandemic crisis, a number of measures were introduced to mitigate the adverse effects on households, businesses and workers . An economic recovery plan was announced in the summer of 2020 and legislative measures were adopted to strengthen the health sector and extend welfare especially to the most vulnerable sections of the population. </w:t>
      </w:r>
    </w:p>
    <w:p w:rsidRPr="008238CC" w:rsidR="007915C2" w:rsidP="007915C2" w:rsidRDefault="007915C2" w14:paraId="1AB4AA40" w14:textId="77777777">
      <w:pPr>
        <w:rPr>
          <w:color w:val="000000"/>
        </w:rPr>
      </w:pPr>
    </w:p>
    <w:p w:rsidRPr="008238CC" w:rsidR="007915C2" w:rsidP="004C2B98" w:rsidRDefault="007915C2" w14:paraId="1FF40FE0" w14:textId="77777777">
      <w:pPr>
        <w:pStyle w:val="Heading2"/>
      </w:pPr>
      <w:r w:rsidRPr="008238CC">
        <w:t>Jordan</w:t>
      </w:r>
    </w:p>
    <w:p w:rsidRPr="008238CC" w:rsidR="007915C2" w:rsidP="007915C2" w:rsidRDefault="007915C2" w14:paraId="7111C7CF" w14:textId="77777777">
      <w:pPr>
        <w:keepNext/>
        <w:keepLines/>
        <w:rPr>
          <w:color w:val="000000"/>
        </w:rPr>
      </w:pPr>
    </w:p>
    <w:p w:rsidRPr="008238CC" w:rsidR="007915C2" w:rsidP="004C2B98" w:rsidRDefault="007915C2" w14:paraId="522B3C52" w14:textId="77777777">
      <w:pPr>
        <w:pStyle w:val="Heading3"/>
      </w:pPr>
      <w:r w:rsidRPr="008238CC">
        <w:t>The pandemic crisis has had a negative effect on Jordan's economy, particularly affecting the tourism sector, which is one of the key sectors for the economy and one of its main sources of employment. Following a GDP contraction of 1.4% in 2020, the World Bank estimates growth of 1.4% in 2021.</w:t>
      </w:r>
    </w:p>
    <w:p w:rsidRPr="008238CC" w:rsidR="007915C2" w:rsidP="007915C2" w:rsidRDefault="007915C2" w14:paraId="5FB5F3D3" w14:textId="77777777">
      <w:pPr>
        <w:rPr>
          <w:color w:val="000000"/>
        </w:rPr>
      </w:pPr>
    </w:p>
    <w:p w:rsidRPr="008238CC" w:rsidR="007915C2" w:rsidP="004C2B98" w:rsidRDefault="007915C2" w14:paraId="6257BDEB" w14:textId="77777777">
      <w:pPr>
        <w:pStyle w:val="Heading2"/>
      </w:pPr>
      <w:r w:rsidRPr="008238CC">
        <w:t>Lebanon</w:t>
      </w:r>
    </w:p>
    <w:p w:rsidRPr="008238CC" w:rsidR="007915C2" w:rsidP="007915C2" w:rsidRDefault="007915C2" w14:paraId="5B1DB929" w14:textId="77777777">
      <w:pPr>
        <w:keepNext/>
        <w:keepLines/>
        <w:rPr>
          <w:color w:val="000000"/>
        </w:rPr>
      </w:pPr>
    </w:p>
    <w:p w:rsidRPr="008238CC" w:rsidR="007915C2" w:rsidP="004C2B98" w:rsidRDefault="007915C2" w14:paraId="1E553D1A" w14:textId="77777777">
      <w:pPr>
        <w:pStyle w:val="Heading3"/>
      </w:pPr>
      <w:r w:rsidRPr="008238CC">
        <w:t xml:space="preserve">Lebanon is experiencing a profound economic, social and political crisis. The pandemic crisis has made a bad situation worse with an increasing share of the population living in poverty. The economic crisis is the worst in recent decades, with GDP falling by 37.1% in 2020, according to the World Bank. The social situation is unstable and is exacerbated by the high numbers of refugees in Palestinian refugee camps. The tourism sector, and its related industries, has been among the sectors hardest hit by the pandemic crisis. Last December, the World Bank, in cooperation with the United Nations and the European Union, set up the Lebanon Financing Facility (LFF), a fund to support the country's socio-economic recovery and the Lebanese government in its reform and reconstruction process . </w:t>
      </w:r>
    </w:p>
    <w:p w:rsidRPr="008238CC" w:rsidR="007915C2" w:rsidP="007915C2" w:rsidRDefault="007915C2" w14:paraId="4715D4CE" w14:textId="77777777">
      <w:pPr>
        <w:rPr>
          <w:color w:val="000000"/>
        </w:rPr>
      </w:pPr>
    </w:p>
    <w:p w:rsidRPr="008238CC" w:rsidR="007915C2" w:rsidP="004C2B98" w:rsidRDefault="007915C2" w14:paraId="2B91ABD1" w14:textId="77777777">
      <w:pPr>
        <w:pStyle w:val="Heading2"/>
      </w:pPr>
      <w:r w:rsidRPr="008238CC">
        <w:t>Syria</w:t>
      </w:r>
    </w:p>
    <w:p w:rsidRPr="008238CC" w:rsidR="007915C2" w:rsidP="007915C2" w:rsidRDefault="007915C2" w14:paraId="0E79479F" w14:textId="77777777">
      <w:pPr>
        <w:keepNext/>
        <w:keepLines/>
        <w:rPr>
          <w:color w:val="000000"/>
        </w:rPr>
      </w:pPr>
    </w:p>
    <w:p w:rsidRPr="008238CC" w:rsidR="007915C2" w:rsidP="004C2B98" w:rsidRDefault="007915C2" w14:paraId="5DBD584E" w14:textId="77777777">
      <w:pPr>
        <w:pStyle w:val="Heading3"/>
      </w:pPr>
      <w:r w:rsidRPr="008238CC">
        <w:t xml:space="preserve">The pandemic crisis came against a political, economic and social backdrop already devastated by the conflict, which, according to the UN, has resulted in more than 6.6 million Syrian refugees and 6.7 million internally displaced persons (March 2021) after ten years. Years of conflict have left the healthcare system incredibly fragile and weak, and although attacks on healthcare facilities decreased in 2020, the COVID-19 pandemic has eroded the system further, stretching it to an even more critical level . As set out in the Final Declaration of the Fourth Conference of 30 June 2020 , on Supporting the future of Syria and the region, the international community pledged a total of EUR 6.9 billion for Syria and countries hosting Syrian refugees. </w:t>
      </w:r>
    </w:p>
    <w:p w:rsidRPr="008238CC" w:rsidR="007915C2" w:rsidP="007915C2" w:rsidRDefault="007915C2" w14:paraId="43F1955B" w14:textId="77777777">
      <w:pPr>
        <w:rPr>
          <w:color w:val="000000"/>
        </w:rPr>
      </w:pPr>
    </w:p>
    <w:p w:rsidRPr="008238CC" w:rsidR="007915C2" w:rsidP="004C2B98" w:rsidRDefault="007915C2" w14:paraId="25FBA8EA" w14:textId="77777777">
      <w:pPr>
        <w:pStyle w:val="Heading2"/>
      </w:pPr>
      <w:r w:rsidRPr="008238CC">
        <w:t>Palestine</w:t>
      </w:r>
    </w:p>
    <w:p w:rsidRPr="008238CC" w:rsidR="007915C2" w:rsidP="007915C2" w:rsidRDefault="007915C2" w14:paraId="428BDF37" w14:textId="77777777">
      <w:pPr>
        <w:keepNext/>
        <w:rPr>
          <w:color w:val="000000"/>
        </w:rPr>
      </w:pPr>
    </w:p>
    <w:p w:rsidRPr="008238CC" w:rsidR="007915C2" w:rsidP="004C2B98" w:rsidRDefault="007915C2" w14:paraId="0AFF2264" w14:textId="77777777">
      <w:pPr>
        <w:pStyle w:val="Heading3"/>
      </w:pPr>
      <w:r w:rsidRPr="008238CC">
        <w:t>Palestine's economy has been adversely affected by the pandemic crisis. According to the World Bank, after three years of economic growth above 2%, GDP contracted by 8% in 2020, while a modest recovery of around 2.5% is expected in 2021. The growth estimates may, however, not come to pass due to the political instability in the area and heightened Israeli-Palestinian tensions .</w:t>
      </w:r>
    </w:p>
    <w:p w:rsidRPr="008238CC" w:rsidR="007915C2" w:rsidP="007915C2" w:rsidRDefault="007915C2" w14:paraId="78D70EE5" w14:textId="77777777">
      <w:pPr>
        <w:rPr>
          <w:color w:val="000000"/>
        </w:rPr>
      </w:pPr>
    </w:p>
    <w:p w:rsidRPr="008238CC" w:rsidR="007915C2" w:rsidP="004C2B98" w:rsidRDefault="007915C2" w14:paraId="6D636CB6" w14:textId="77777777">
      <w:pPr>
        <w:pStyle w:val="Heading2"/>
      </w:pPr>
      <w:r w:rsidRPr="008238CC">
        <w:t>Israel</w:t>
      </w:r>
    </w:p>
    <w:p w:rsidRPr="008238CC" w:rsidR="007915C2" w:rsidP="007915C2" w:rsidRDefault="007915C2" w14:paraId="1A4E7655" w14:textId="77777777">
      <w:pPr>
        <w:keepNext/>
        <w:rPr>
          <w:color w:val="000000"/>
        </w:rPr>
      </w:pPr>
    </w:p>
    <w:p w:rsidRPr="008238CC" w:rsidR="007915C2" w:rsidP="004C2B98" w:rsidRDefault="007915C2" w14:paraId="4F1E6A3A" w14:textId="77777777">
      <w:pPr>
        <w:pStyle w:val="Heading3"/>
      </w:pPr>
      <w:r w:rsidRPr="008238CC">
        <w:t xml:space="preserve">Israel's economy, according to OECD figures, contracted by around 4.25% in the course of 2020, with growth forecast to be around 5% in 2021 and 4.5% in 2022 . The government introduced measures to support households and businesses in difficulty. Many sectors were hit by the pandemic crisis; young people and women were found to be the groups most affected by the effects of the pandemic containment measures. The Israeli government intervened in support of the most affected sectors by introducing economic stimulus packages, extending unemployment benefits and introducing supports for the self-employed, large families, older people and vulnerable groups. </w:t>
      </w:r>
    </w:p>
    <w:p w:rsidRPr="008238CC" w:rsidR="007915C2" w:rsidP="007915C2" w:rsidRDefault="007915C2" w14:paraId="5CDE1A9F" w14:textId="77777777">
      <w:pPr>
        <w:rPr>
          <w:color w:val="000000"/>
        </w:rPr>
      </w:pPr>
    </w:p>
    <w:p w:rsidRPr="008238CC" w:rsidR="007915C2" w:rsidP="007915C2" w:rsidRDefault="007915C2" w14:paraId="4FB020A6" w14:textId="77777777">
      <w:pPr>
        <w:overflowPunct w:val="0"/>
        <w:autoSpaceDE w:val="0"/>
        <w:autoSpaceDN w:val="0"/>
        <w:adjustRightInd w:val="0"/>
        <w:jc w:val="center"/>
        <w:textAlignment w:val="baseline"/>
        <w:rPr>
          <w:color w:val="000000"/>
        </w:rPr>
      </w:pPr>
      <w:r w:rsidRPr="008238CC">
        <w:rPr>
          <w:color w:val="000000"/>
        </w:rPr>
        <w:t>_____________</w:t>
      </w:r>
    </w:p>
    <w:p w:rsidRPr="008238CC" w:rsidR="007915C2" w:rsidP="007915C2" w:rsidRDefault="007915C2" w14:paraId="32E166CF" w14:textId="77777777">
      <w:pPr>
        <w:rPr>
          <w:color w:val="000000"/>
        </w:rPr>
      </w:pPr>
    </w:p>
    <w:p w:rsidRPr="008238CC" w:rsidR="007915C2" w:rsidP="007915C2" w:rsidRDefault="007915C2" w14:paraId="0C31D943" w14:textId="77777777">
      <w:pPr>
        <w:spacing w:line="240" w:lineRule="auto"/>
        <w:jc w:val="left"/>
        <w:rPr>
          <w:color w:val="000000"/>
        </w:rPr>
      </w:pPr>
      <w:r w:rsidRPr="008238CC">
        <w:rPr>
          <w:color w:val="000000"/>
        </w:rPr>
        <w:br w:type="page"/>
      </w:r>
    </w:p>
    <w:p w:rsidRPr="008238CC" w:rsidR="007915C2" w:rsidP="007915C2" w:rsidRDefault="007915C2" w14:paraId="6F688C72" w14:textId="77777777">
      <w:pPr>
        <w:keepNext/>
        <w:keepLines/>
        <w:spacing w:before="240" w:after="160" w:line="256" w:lineRule="auto"/>
        <w:ind w:left="360"/>
        <w:jc w:val="right"/>
        <w:outlineLvl w:val="0"/>
        <w:rPr>
          <w:rFonts w:ascii="Calibri" w:hAnsi="Calibri" w:cs="Calibri"/>
          <w:b/>
          <w:bCs/>
          <w:color w:val="000000"/>
          <w:sz w:val="28"/>
          <w:szCs w:val="28"/>
        </w:rPr>
      </w:pPr>
      <w:r w:rsidRPr="008238CC">
        <w:rPr>
          <w:rFonts w:ascii="Calibri" w:hAnsi="Calibri" w:cs="Calibri"/>
          <w:b/>
          <w:bCs/>
          <w:color w:val="000000"/>
          <w:sz w:val="28"/>
          <w:szCs w:val="28"/>
        </w:rPr>
        <w:t>Appendix II</w:t>
      </w:r>
    </w:p>
    <w:p w:rsidRPr="008238CC" w:rsidR="007915C2" w:rsidP="007915C2" w:rsidRDefault="007915C2" w14:paraId="18E0D898" w14:textId="77777777">
      <w:pPr>
        <w:spacing w:after="160" w:line="256" w:lineRule="auto"/>
        <w:jc w:val="left"/>
        <w:rPr>
          <w:rFonts w:ascii="Calibri" w:hAnsi="Calibri" w:eastAsia="Calibri" w:cs="Arial"/>
          <w:color w:val="000000"/>
        </w:rPr>
      </w:pPr>
    </w:p>
    <w:p w:rsidRPr="008238CC" w:rsidR="007915C2" w:rsidP="007915C2" w:rsidRDefault="007915C2" w14:paraId="04E1F758" w14:textId="77777777">
      <w:pPr>
        <w:spacing w:after="160" w:line="256" w:lineRule="auto"/>
        <w:jc w:val="left"/>
        <w:rPr>
          <w:rFonts w:ascii="Calibri" w:hAnsi="Calibri" w:eastAsia="Calibri" w:cs="Arial"/>
          <w:b/>
          <w:color w:val="000000"/>
        </w:rPr>
      </w:pPr>
      <w:r w:rsidRPr="008238CC">
        <w:rPr>
          <w:rFonts w:ascii="Calibri" w:hAnsi="Calibri" w:eastAsia="Calibri" w:cs="Arial"/>
          <w:b/>
          <w:color w:val="000000"/>
        </w:rPr>
        <w:t>L'expérience du Maroc</w:t>
      </w:r>
    </w:p>
    <w:p w:rsidRPr="008238CC" w:rsidR="007915C2" w:rsidP="007915C2" w:rsidRDefault="007915C2" w14:paraId="6BDAA051" w14:textId="77777777">
      <w:pPr>
        <w:spacing w:after="160" w:line="256" w:lineRule="auto"/>
        <w:rPr>
          <w:rFonts w:ascii="Calibri" w:hAnsi="Calibri" w:eastAsia="Calibri" w:cs="Calibri"/>
          <w:color w:val="000000"/>
        </w:rPr>
      </w:pPr>
      <w:r w:rsidRPr="008238CC">
        <w:rPr>
          <w:rFonts w:ascii="Calibri" w:hAnsi="Calibri" w:eastAsia="Calibri" w:cs="Calibri"/>
          <w:color w:val="000000"/>
        </w:rPr>
        <w:t>La présente étude intervient alors que la pandémie Covid-19 continue toujours de sévir, créant ainsi un climat chargé de craintes et d’incertitudes qui contribue à assombrir et rendre plus floues les perspectives à court et à moyen termes. Les effets réels demeurent donc difficiles à appréhender et un retour à la normale reste tributaire, d’une part, de la capacité de notre pays à atténuer les répercussions de la crise socio-économique, tant en termes de ressources que de stratégies, et d’autre part, du degré d’efficacité du système de santé national.</w:t>
      </w:r>
    </w:p>
    <w:p w:rsidRPr="008238CC" w:rsidR="007915C2" w:rsidP="007915C2" w:rsidRDefault="007915C2" w14:paraId="3D4529DA"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A ce jour, les impacts de la crise de la Covid-19, et malgré l’importance et le caractère volontariste des mesures prises dans le cadre de l’état d’urgence sanitaire, sont profonds et multiformes et touchent aussi bien la dynamique économique que le bien-être des citoyens, la qualité et l’efficacité des services publics ou encore les conditions environnementales. La gravité de ces répercussions n’est toutefois pas fortuite. En effet, l’existence préalable de faiblesses structurelles et de vulnérabilités systémiques dans notre modèle de développement actuel qui a atteint ses limites, a exacerbé les difficultés auxquelles notre pays reste confronté, résultat notamment du retard accumulé dans des chantiers capitaux tels que l’universalisation de la protection sociale, la mise à niveau du secteur de la santé, la réforme du secteur éducation, l’intégration des activités informelles, la consolidation des droits fondamentaux, la régionalisation avancée et le renforcement et la mise à niveau des entreprises marocaines. </w:t>
      </w:r>
    </w:p>
    <w:p w:rsidRPr="008238CC" w:rsidR="007915C2" w:rsidP="007915C2" w:rsidRDefault="007915C2" w14:paraId="216375BA"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Toutefois, au regard des évolutions observées jusqu’à maintenant, et au-delà de la gravité des impacts induits et anticipés, le CESE estime que cette crise représente une opportunité réelle pour un changement radical de nos modes d’organisation, de gestion, de production et de consommation. Une telle transformation requiert des réformes structurelles profondes, à même de contribuer à préparer le Maroc à une mise en œuvre optimale du modèle de développement qui est actuellement en cours de redéfinition. L’objectif final de ces réformes à caractère multidimensionnel et global consiste bien entendu à résorber les effets de cette crise sanitaire sur le court-terme (objet ambitieux mais atteignable), mais également à contribuer à poser les bases d’un Maroc plus juste, inclusif, résilient et prospère.    </w:t>
      </w:r>
    </w:p>
    <w:p w:rsidRPr="008238CC" w:rsidR="007915C2" w:rsidP="007915C2" w:rsidRDefault="007915C2" w14:paraId="7FA818C3" w14:textId="77777777">
      <w:pPr>
        <w:spacing w:after="160" w:line="256" w:lineRule="auto"/>
        <w:rPr>
          <w:rFonts w:ascii="Calibri" w:hAnsi="Calibri" w:eastAsia="Calibri" w:cs="Calibri"/>
          <w:strike/>
          <w:color w:val="000000"/>
        </w:rPr>
      </w:pPr>
      <w:r w:rsidRPr="008238CC">
        <w:rPr>
          <w:rFonts w:ascii="Calibri" w:hAnsi="Calibri" w:eastAsia="Calibri" w:cs="Calibri"/>
          <w:color w:val="000000"/>
        </w:rPr>
        <w:t xml:space="preserve">Afin de caractériser les dynamiques en cours et de formuler des recommandations opérationnelles, le CESE a organisé de nombreuses auditions, incluant tant les représentants des institutions publiques nationales (ministères, agences, conseils élus, </w:t>
      </w:r>
      <w:r w:rsidRPr="008238CC">
        <w:rPr>
          <w:rFonts w:ascii="Calibri" w:hAnsi="Calibri" w:eastAsia="Calibri" w:cs="Calibri"/>
          <w:i/>
          <w:iCs/>
          <w:color w:val="000000"/>
        </w:rPr>
        <w:t>etc.</w:t>
      </w:r>
      <w:r w:rsidRPr="008238CC">
        <w:rPr>
          <w:rFonts w:ascii="Calibri" w:hAnsi="Calibri" w:eastAsia="Calibri" w:cs="Calibri"/>
          <w:color w:val="000000"/>
        </w:rPr>
        <w:t xml:space="preserve">), que ceux d’institutions internationales, d’associations et fédérations professionnelles, de syndicats de la santé, de cabinets de conseil internationaux et d’experts reconnus (84 acteurs auditionnés). Il a également examiné les textes législatifs et réglementaires en vigueur, les différentes études nationales et internationales réalisées, ainsi que les contributions académiques publiées sur cette thématique. </w:t>
      </w:r>
    </w:p>
    <w:p w:rsidRPr="008238CC" w:rsidR="007915C2" w:rsidP="007915C2" w:rsidRDefault="007915C2" w14:paraId="6ECAF9E2" w14:textId="77777777">
      <w:pPr>
        <w:spacing w:after="160" w:line="256" w:lineRule="auto"/>
        <w:rPr>
          <w:rFonts w:ascii="Calibri" w:hAnsi="Calibri" w:eastAsia="Calibri" w:cs="Calibri"/>
          <w:b/>
          <w:bCs/>
          <w:i/>
          <w:iCs/>
          <w:color w:val="000000"/>
        </w:rPr>
      </w:pPr>
      <w:r w:rsidRPr="008238CC">
        <w:rPr>
          <w:rFonts w:ascii="Calibri" w:hAnsi="Calibri" w:eastAsia="Calibri" w:cs="Calibri"/>
          <w:b/>
          <w:bCs/>
          <w:i/>
          <w:iCs/>
          <w:color w:val="000000"/>
        </w:rPr>
        <w:t>La crise que vit le monde actuellement est inédite par sa nature et par l’ampleur des retombées socio-économiques qu’elle a induit, et continue d’induire</w:t>
      </w:r>
      <w:r w:rsidRPr="008238CC">
        <w:rPr>
          <w:rFonts w:ascii="Calibri" w:hAnsi="Calibri" w:eastAsia="Calibri" w:cs="Calibri"/>
          <w:b/>
          <w:bCs/>
          <w:i/>
          <w:iCs/>
          <w:color w:val="000000"/>
          <w:vertAlign w:val="superscript"/>
        </w:rPr>
        <w:footnoteReference w:id="7"/>
      </w:r>
    </w:p>
    <w:p w:rsidRPr="008238CC" w:rsidR="007915C2" w:rsidP="007915C2" w:rsidRDefault="007915C2" w14:paraId="7BE1357B"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S’étant propagée à tous les pays, la pandémie de la Covid-19 a mis les décideurs publics devant un dilemme, en les acculant à arbitrer entre l’imposition d’un confinement strict pour une logique surdéterminée par la sauvegarde de la vie des citoyens et la poursuite de règles sanitaires moins contraignantes, dans le sens de privilégier beaucoup plus l’activité économique. Mais quel que fût le choix, toutes les économies ont eu à subir, à des degrés divers et de façon concomitante, un double choc négatif : au niveau de l’offre, du fait du repli drastique de l’activité des entreprises ; au niveau de la demande, en lien avec la baisse du pouvoir d’achat d’un nombre très important de ménages.  </w:t>
      </w:r>
    </w:p>
    <w:p w:rsidRPr="008238CC" w:rsidR="007915C2" w:rsidP="007915C2" w:rsidRDefault="007915C2" w14:paraId="09CD9C8F" w14:textId="77777777">
      <w:pPr>
        <w:spacing w:after="160" w:line="256" w:lineRule="auto"/>
        <w:rPr>
          <w:rFonts w:ascii="Calibri" w:hAnsi="Calibri" w:eastAsia="Calibri" w:cs="Calibri"/>
          <w:color w:val="000000"/>
        </w:rPr>
      </w:pPr>
      <w:r w:rsidRPr="008238CC">
        <w:rPr>
          <w:rFonts w:ascii="Calibri" w:hAnsi="Calibri" w:eastAsia="Calibri" w:cs="Calibri"/>
          <w:color w:val="000000"/>
        </w:rPr>
        <w:t>Cette détérioration des conditions économiques n’a bien sûr pas manqué d’accentuer les inégalités préexistantes et les vulnérabilités de la population, les personnes les plus gravement touchées par la crise étant souvent celles qui subissent déjà de grandes discriminations comme les femmes, les enfants et les personnes âgées. En outre, les mesures restrictives temporaires adoptées durant le confinement ont restreint les déplacements des personnes, en même temps que leur accès aux soins, au travail, à l’éducation, à la culture et aux loisirs</w:t>
      </w:r>
      <w:r w:rsidRPr="008238CC">
        <w:rPr>
          <w:rFonts w:ascii="Calibri" w:hAnsi="Calibri" w:eastAsia="Calibri" w:cs="Calibri"/>
          <w:color w:val="000000"/>
          <w:vertAlign w:val="superscript"/>
        </w:rPr>
        <w:footnoteReference w:id="8"/>
      </w:r>
      <w:r w:rsidRPr="008238CC">
        <w:rPr>
          <w:rFonts w:ascii="Calibri" w:hAnsi="Calibri" w:eastAsia="Calibri" w:cs="Calibri"/>
          <w:color w:val="000000"/>
        </w:rPr>
        <w:t xml:space="preserve">.   </w:t>
      </w:r>
    </w:p>
    <w:p w:rsidRPr="008238CC" w:rsidR="007915C2" w:rsidP="007915C2" w:rsidRDefault="007915C2" w14:paraId="2FFBCA94" w14:textId="77777777">
      <w:pPr>
        <w:spacing w:after="160" w:line="256" w:lineRule="auto"/>
        <w:rPr>
          <w:rFonts w:ascii="Calibri" w:hAnsi="Calibri" w:eastAsia="Calibri" w:cs="Calibri"/>
          <w:color w:val="000000"/>
        </w:rPr>
      </w:pPr>
    </w:p>
    <w:p w:rsidRPr="008238CC" w:rsidR="007915C2" w:rsidP="007915C2" w:rsidRDefault="007915C2" w14:paraId="6997652F" w14:textId="77777777">
      <w:pPr>
        <w:spacing w:after="160" w:line="256" w:lineRule="auto"/>
        <w:rPr>
          <w:rFonts w:ascii="Calibri" w:hAnsi="Calibri" w:eastAsia="Calibri" w:cs="Calibri"/>
          <w:b/>
          <w:bCs/>
          <w:i/>
          <w:iCs/>
          <w:color w:val="000000"/>
        </w:rPr>
      </w:pPr>
      <w:r w:rsidRPr="008238CC">
        <w:rPr>
          <w:rFonts w:ascii="Calibri" w:hAnsi="Calibri" w:eastAsia="Calibri" w:cs="Calibri"/>
          <w:b/>
          <w:bCs/>
          <w:i/>
          <w:iCs/>
          <w:color w:val="000000"/>
        </w:rPr>
        <w:t xml:space="preserve">Pour lutter contre la pandémie et eu égard à la gravité de la situation, l’état d’urgence sanitaire a été décrété au Maroc </w:t>
      </w:r>
    </w:p>
    <w:p w:rsidRPr="008238CC" w:rsidR="007915C2" w:rsidP="007915C2" w:rsidRDefault="007915C2" w14:paraId="7011989C"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Notre pays n’a pas dérogé à cette règle. Ainsi, depuis la détection du premier cas importé de Covid-19 le 2 mars 2020, et tenant compte des développements rapides intervenant à l’échelle mondiale, le Maroc a graduellement mis en place un ensemble de mesures préventives et multiformes en mobilisant ses structures, tant au niveau central que local. Cette dynamique a culminé avec l’adoption le 20 mars de l’état d’urgence sanitaire sous la forme d’un confinement strict, au regard des carences du système de santé national et au risque de saturation des capacités hospitalières en cas de multiplication de cas graves nécessitant une prise en charge médicale lourde. </w:t>
      </w:r>
    </w:p>
    <w:p w:rsidRPr="008238CC" w:rsidR="007915C2" w:rsidP="007915C2" w:rsidRDefault="007915C2" w14:paraId="6E187F05" w14:textId="77777777">
      <w:pPr>
        <w:spacing w:after="160" w:line="256" w:lineRule="auto"/>
        <w:rPr>
          <w:rFonts w:ascii="Calibri" w:hAnsi="Calibri" w:eastAsia="Calibri" w:cs="Calibri"/>
          <w:color w:val="000000"/>
        </w:rPr>
      </w:pPr>
      <w:r w:rsidRPr="008238CC">
        <w:rPr>
          <w:rFonts w:ascii="Calibri" w:hAnsi="Calibri" w:eastAsia="Calibri" w:cs="Calibri"/>
          <w:color w:val="000000"/>
        </w:rPr>
        <w:t>Dans ce cadre, un ensemble de dispositions législatives et règlementaires ont été promulguées, restreignant la libre circulation des personnes (déplacements nocturnes ou interurbains), imposant la fermeture des lieux accueillant le public, raccourcissant les horaires d’ouverture des commerces et réduisant les capacités maximales dans les transports en commun. Pour sa part, la réponse sanitaire a consisté en une mise à niveau des établissements hospitaliers, qui s’est accompagnée d’une participation active de la médecine militaire, mais sans toutefois impliquer significativement le secteur privé dans ces efforts de lutte (hormis quelques initiatives ponctuelles dans certaines villes et pour des opérations particulières). La fermeture des établissements scolaires, annoncée le 13 mars 2020, a conduit à la mise en place d’un plan de travail à court terme pour assurer la continuité pédagogique à distance durant la période du confinement.</w:t>
      </w:r>
    </w:p>
    <w:p w:rsidRPr="008238CC" w:rsidR="007915C2" w:rsidP="007915C2" w:rsidRDefault="007915C2" w14:paraId="3CCDE7D1"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Bien que les autorités marocaines aient fait preuve d’une grande réactivité au début de la crise, il n’en demeure pas moins que depuis l’annonce du deuxième prolongement du confinement, une forme de ressentiment semble s’être installée chez les citoyens et les différents acteurs économiques. Cette réaction chez nos concitoyens fait suite à certaines déclarations officielles qui donnaient l’impression d’un manque de visibilité et de coordination, ainsi que d’une sorte d’hésitation dans la gestion des phases ultérieures. </w:t>
      </w:r>
    </w:p>
    <w:p w:rsidRPr="008238CC" w:rsidR="007915C2" w:rsidP="007915C2" w:rsidRDefault="007915C2" w14:paraId="42430049" w14:textId="77777777">
      <w:pPr>
        <w:spacing w:after="160" w:line="256" w:lineRule="auto"/>
        <w:rPr>
          <w:rFonts w:ascii="Calibri" w:hAnsi="Calibri" w:eastAsia="Calibri" w:cs="Calibri"/>
          <w:b/>
          <w:bCs/>
          <w:i/>
          <w:iCs/>
          <w:color w:val="000000"/>
        </w:rPr>
      </w:pPr>
      <w:r w:rsidRPr="008238CC">
        <w:rPr>
          <w:rFonts w:ascii="Calibri" w:hAnsi="Calibri" w:eastAsia="Calibri" w:cs="Calibri"/>
          <w:b/>
          <w:bCs/>
          <w:i/>
          <w:iCs/>
          <w:color w:val="000000"/>
        </w:rPr>
        <w:t>L’ampleur des retombées socio-économiques durant la période de confinement</w:t>
      </w:r>
    </w:p>
    <w:p w:rsidRPr="008238CC" w:rsidR="007915C2" w:rsidP="007915C2" w:rsidRDefault="007915C2" w14:paraId="1F6ED5AD" w14:textId="77777777">
      <w:pPr>
        <w:spacing w:after="160" w:line="256" w:lineRule="auto"/>
        <w:rPr>
          <w:rFonts w:ascii="Calibri" w:hAnsi="Calibri" w:eastAsia="Calibri" w:cs="Calibri"/>
          <w:color w:val="000000"/>
        </w:rPr>
      </w:pPr>
      <w:r w:rsidRPr="008238CC">
        <w:rPr>
          <w:rFonts w:ascii="Calibri" w:hAnsi="Calibri" w:eastAsia="Calibri" w:cs="Calibri"/>
          <w:color w:val="000000"/>
        </w:rPr>
        <w:t>Quatre chiffres édifiants illustrent à eux seuls la gravité de la situation actuelle : (i) une contraction prévue de la croissance économique comprise entre -5,8% (HCP et MEFRA) et -6,3% (BAM) pour l’année en cours, soit probablement la plus forte baisse enregistrée durant les 7 dernières décennies ; (ii) 958 000 salariés ont déclaré être en arrêt de travail dans le secteur formel, bénéficiant ainsi de l’indemnité Covid</w:t>
      </w:r>
      <w:r w:rsidRPr="008238CC">
        <w:rPr>
          <w:rFonts w:ascii="Calibri" w:hAnsi="Calibri" w:eastAsia="Calibri" w:cs="Calibri"/>
          <w:color w:val="000000"/>
          <w:vertAlign w:val="superscript"/>
        </w:rPr>
        <w:footnoteReference w:id="9"/>
      </w:r>
      <w:r w:rsidRPr="008238CC">
        <w:rPr>
          <w:rFonts w:ascii="Calibri" w:hAnsi="Calibri" w:eastAsia="Calibri" w:cs="Calibri"/>
          <w:color w:val="000000"/>
        </w:rPr>
        <w:t> ; (iii) près de 134 000 entreprises sur les 216 000 affiliées à la CNSS avaient déclaré être impactées par la crise de la Covid-19 ; (iv) 5,5 millions de ménages, ramédistes et non-ramédistes, vivant du secteur informel, ont dépendu des aides octroyées dans le cadre de l’opération « Tadamon »</w:t>
      </w:r>
      <w:r w:rsidRPr="008238CC">
        <w:rPr>
          <w:rFonts w:ascii="Calibri" w:hAnsi="Calibri" w:eastAsia="Calibri" w:cs="Calibri"/>
          <w:color w:val="000000"/>
          <w:vertAlign w:val="superscript"/>
        </w:rPr>
        <w:footnoteReference w:id="10"/>
      </w:r>
      <w:r w:rsidRPr="008238CC">
        <w:rPr>
          <w:rFonts w:ascii="Calibri" w:hAnsi="Calibri" w:eastAsia="Calibri" w:cs="Calibri"/>
          <w:color w:val="000000"/>
        </w:rPr>
        <w:t xml:space="preserve">. Cette dégradation des conditions économiques et par conséquent du marché de l’emploi, n’a pas été sans conséquences sur le revenu et le pouvoir d’achat des ménages, tel que le reflète la baisse de près de 50% du revenu mensuel moyen des actifs occupés. </w:t>
      </w:r>
    </w:p>
    <w:p w:rsidRPr="008238CC" w:rsidR="007915C2" w:rsidP="007915C2" w:rsidRDefault="007915C2" w14:paraId="7A080990"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Il est à mentionner que l’impact économique sur les différents secteurs d’activité a été conditionné par plusieurs facteurs comme la nature du marché (domestique ou extérieur), la nature du produit (de première nécessité vs autres produits), la sévérité des règles sanitaires appliquées à chaque secteur ou les habitudes de consommation des individus (exemple du tourisme). Ainsi, certains secteurs ont pu résister sinon croître durant cette période, à l’instar de l’industrie extractive et celle des dérivés des phosphates, l’industrie agroalimentaire, ainsi que les secteurs des activités financières et des télécoms. </w:t>
      </w:r>
    </w:p>
    <w:p w:rsidRPr="008238CC" w:rsidR="007915C2" w:rsidP="007915C2" w:rsidRDefault="007915C2" w14:paraId="2163D09A" w14:textId="77777777">
      <w:pPr>
        <w:spacing w:after="160" w:line="256" w:lineRule="auto"/>
        <w:rPr>
          <w:rFonts w:ascii="Calibri" w:hAnsi="Calibri" w:eastAsia="Calibri" w:cs="Calibri"/>
          <w:color w:val="000000"/>
        </w:rPr>
      </w:pPr>
      <w:r w:rsidRPr="008238CC">
        <w:rPr>
          <w:rFonts w:ascii="Calibri" w:hAnsi="Calibri" w:eastAsia="Calibri" w:cs="Calibri"/>
          <w:color w:val="000000"/>
        </w:rPr>
        <w:t>Conjuguée aux restrictions qui n’ont pas facilité l’accès aux services de base</w:t>
      </w:r>
      <w:r w:rsidRPr="008238CC">
        <w:rPr>
          <w:rFonts w:ascii="Calibri" w:hAnsi="Calibri" w:eastAsia="Calibri" w:cs="Calibri"/>
          <w:color w:val="000000"/>
          <w:lang w:bidi="ar-MA"/>
        </w:rPr>
        <w:t>, notamment pour les catégories les plus vulnérables, et à la faiblesse</w:t>
      </w:r>
      <w:r w:rsidRPr="008238CC">
        <w:rPr>
          <w:rFonts w:ascii="Calibri" w:hAnsi="Calibri" w:eastAsia="Calibri" w:cs="Calibri"/>
          <w:color w:val="000000"/>
        </w:rPr>
        <w:t xml:space="preserve"> des filets de protection sociale, la baisse de revenu ainsi relevée a contribué à accroître les inégalités déjà existantes, constituant donc un facteur potentiel de basculement de franges de la population dans la pauvreté. De même, dans le cas du secteur de l’éducation où une certaine forme de continuité pédagogique a pu, plus ou moins, être maintenue, l’impact de la fracture numérique entre le milieu urbain et rural, et surtout entre les familles aisées et démunies, a altéré le levier classique d’ascension sociale en compromettant l’accès égalitaire au droit à l’éducation. </w:t>
      </w:r>
    </w:p>
    <w:p w:rsidRPr="008238CC" w:rsidR="007915C2" w:rsidP="007915C2" w:rsidRDefault="007915C2" w14:paraId="0D465E05" w14:textId="77777777">
      <w:pPr>
        <w:spacing w:after="160" w:line="256" w:lineRule="auto"/>
        <w:rPr>
          <w:rFonts w:ascii="Calibri" w:hAnsi="Calibri" w:eastAsia="Calibri" w:cs="Calibri"/>
          <w:b/>
          <w:bCs/>
          <w:i/>
          <w:iCs/>
          <w:color w:val="000000"/>
        </w:rPr>
      </w:pPr>
      <w:r w:rsidRPr="008238CC">
        <w:rPr>
          <w:rFonts w:ascii="Calibri" w:hAnsi="Calibri" w:eastAsia="Calibri" w:cs="Calibri"/>
          <w:b/>
          <w:bCs/>
          <w:i/>
          <w:iCs/>
          <w:color w:val="000000"/>
        </w:rPr>
        <w:t>Les carences structurelles qui freinent le développement de notre pays ont joué un rôle considérable dans l’amplification des impacts</w:t>
      </w:r>
    </w:p>
    <w:p w:rsidRPr="008238CC" w:rsidR="007915C2" w:rsidP="007915C2" w:rsidRDefault="007915C2" w14:paraId="5F919086"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Les répercussions de la crise n’auraient pas été aussi sévères sans les déficiences structurelles qui caractérisent notre pays à plusieurs niveaux dans un contexte où la primauté a été accordée à la dimension sanitaire et à la protection du droit à la vie, premier droit de tout être humain (article 20 de la Constitution), avant de s’attaquer aux dimensions sociales et économiques. </w:t>
      </w:r>
    </w:p>
    <w:p w:rsidRPr="008238CC" w:rsidR="007915C2" w:rsidP="007915C2" w:rsidRDefault="007915C2" w14:paraId="6E62530C" w14:textId="77777777">
      <w:pPr>
        <w:spacing w:after="160" w:line="256" w:lineRule="auto"/>
        <w:rPr>
          <w:rFonts w:ascii="Calibri" w:hAnsi="Calibri" w:eastAsia="Calibri" w:cs="Calibri"/>
          <w:color w:val="000000"/>
        </w:rPr>
      </w:pPr>
      <w:r w:rsidRPr="008238CC">
        <w:rPr>
          <w:rFonts w:ascii="Calibri" w:hAnsi="Calibri" w:eastAsia="Calibri" w:cs="Calibri"/>
          <w:color w:val="000000"/>
        </w:rPr>
        <w:t>En termes de services sociaux de base, le système de santé national</w:t>
      </w:r>
      <w:r w:rsidRPr="008238CC">
        <w:rPr>
          <w:rFonts w:ascii="Calibri" w:hAnsi="Calibri" w:eastAsia="Calibri" w:cs="Calibri"/>
          <w:b/>
          <w:bCs/>
          <w:color w:val="000000"/>
        </w:rPr>
        <w:t xml:space="preserve"> </w:t>
      </w:r>
      <w:r w:rsidRPr="008238CC">
        <w:rPr>
          <w:rFonts w:ascii="Calibri" w:hAnsi="Calibri" w:eastAsia="Calibri" w:cs="Calibri"/>
          <w:color w:val="000000"/>
        </w:rPr>
        <w:t>est</w:t>
      </w:r>
      <w:r w:rsidRPr="008238CC">
        <w:rPr>
          <w:rFonts w:ascii="Calibri" w:hAnsi="Calibri" w:eastAsia="Calibri" w:cs="Calibri"/>
          <w:b/>
          <w:bCs/>
          <w:color w:val="000000"/>
        </w:rPr>
        <w:t xml:space="preserve"> </w:t>
      </w:r>
      <w:r w:rsidRPr="008238CC">
        <w:rPr>
          <w:rFonts w:ascii="Calibri" w:hAnsi="Calibri" w:eastAsia="Calibri" w:cs="Calibri"/>
          <w:color w:val="000000"/>
        </w:rPr>
        <w:t>caractérisé par une prédominance de la médecine curative qui ne permettait déjà pas de répondre valablement aux attentes des usagers, tandis que le système éducatif n’a pas encore implémenté, de manière structurelle, la digitalisation des curricula et des programmes</w:t>
      </w:r>
      <w:r w:rsidRPr="008238CC">
        <w:rPr>
          <w:rFonts w:ascii="Calibri" w:hAnsi="Calibri" w:eastAsia="Calibri" w:cs="Calibri"/>
          <w:color w:val="000000"/>
          <w:vertAlign w:val="superscript"/>
        </w:rPr>
        <w:footnoteReference w:id="11"/>
      </w:r>
      <w:r w:rsidRPr="008238CC">
        <w:rPr>
          <w:rFonts w:ascii="Calibri" w:hAnsi="Calibri" w:eastAsia="Calibri" w:cs="Calibri"/>
          <w:color w:val="000000"/>
        </w:rPr>
        <w:t xml:space="preserve">. Le système de protection sociale s’avère pour sa part fondamentalement inadapté et insuffisamment doté pour atténuer les effets des licenciements massifs, de l’accroissement des activités informelles, de l’aggravation des maladies ou encore de la hausse de la consommation des soins. </w:t>
      </w:r>
    </w:p>
    <w:p w:rsidRPr="008238CC" w:rsidR="007915C2" w:rsidP="007915C2" w:rsidRDefault="007915C2" w14:paraId="4D18E28D"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Au plan économique, les choix de politiques industrielles ont rendu le tissu productif vulnérable aux changements brusques au niveau des chaines de valeur mondiales et des chaines logistiques, en n’accordant que peu d’importance à l’exploitation des opportunités de substitution aux importations. En parallèle, les efforts de restructuration de l’appareil productif n’ont pas permis de régler les problèmes de taille et de sous-capitalisation des entreprises nationales. De plus, les difficultés liées à l’étroitesse de la base fiscale, compromettent les marges budgétaires de l’Etat et sa capacité à engager des politiques contracycliques. </w:t>
      </w:r>
    </w:p>
    <w:p w:rsidRPr="008238CC" w:rsidR="007915C2" w:rsidP="007915C2" w:rsidRDefault="007915C2" w14:paraId="4EB82A57"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D’un autre côté, la crise de la Covid-19 a permis de révéler plusieurs atouts liés, notamment, à la réactivité et la mobilisation des autorités, à la capacité d’adaptation et d’agilité de certains secteurs productifs, à la solidarité affichée par les citoyens et au processus de transformation digitale déjà enclenché dans notre pays. </w:t>
      </w:r>
    </w:p>
    <w:p w:rsidRPr="008238CC" w:rsidR="007915C2" w:rsidP="007915C2" w:rsidRDefault="007915C2" w14:paraId="0A3D33C2" w14:textId="77777777">
      <w:pPr>
        <w:spacing w:after="160" w:line="256" w:lineRule="auto"/>
        <w:rPr>
          <w:rFonts w:ascii="Calibri" w:hAnsi="Calibri" w:eastAsia="Calibri" w:cs="Calibri"/>
          <w:b/>
          <w:bCs/>
          <w:i/>
          <w:iCs/>
          <w:color w:val="000000"/>
        </w:rPr>
      </w:pPr>
      <w:r w:rsidRPr="008238CC">
        <w:rPr>
          <w:rFonts w:ascii="Calibri" w:hAnsi="Calibri" w:eastAsia="Calibri" w:cs="Calibri"/>
          <w:b/>
          <w:bCs/>
          <w:i/>
          <w:iCs/>
          <w:color w:val="000000"/>
        </w:rPr>
        <w:t>Ces mêmes carences ont également réduit, dans des proportions plus ou moins grandes, l’effectivité des interventions publiques</w:t>
      </w:r>
    </w:p>
    <w:p w:rsidRPr="008238CC" w:rsidR="007915C2" w:rsidP="007915C2" w:rsidRDefault="007915C2" w14:paraId="68F75F62" w14:textId="77777777">
      <w:pPr>
        <w:spacing w:after="160" w:line="256" w:lineRule="auto"/>
        <w:rPr>
          <w:rFonts w:ascii="Calibri" w:hAnsi="Calibri" w:eastAsia="Calibri" w:cs="Calibri"/>
          <w:color w:val="000000"/>
        </w:rPr>
      </w:pPr>
      <w:r w:rsidRPr="008238CC">
        <w:rPr>
          <w:rFonts w:ascii="Calibri" w:hAnsi="Calibri" w:eastAsia="Calibri" w:cs="Calibri"/>
          <w:color w:val="000000"/>
        </w:rPr>
        <w:t>Bien qu’il s’avère prématuré de dresser un état définitif de la balance risques-bénéfices de la gestion de la crise sanitaire, la levée progressive du confinement, en particulier à partir du 19 juillet 2020 (3</w:t>
      </w:r>
      <w:r w:rsidRPr="008238CC">
        <w:rPr>
          <w:rFonts w:ascii="Calibri" w:hAnsi="Calibri" w:eastAsia="Calibri" w:cs="Calibri"/>
          <w:color w:val="000000"/>
          <w:vertAlign w:val="superscript"/>
        </w:rPr>
        <w:t>ème</w:t>
      </w:r>
      <w:r w:rsidRPr="008238CC">
        <w:rPr>
          <w:rFonts w:ascii="Calibri" w:hAnsi="Calibri" w:eastAsia="Calibri" w:cs="Calibri"/>
          <w:color w:val="000000"/>
        </w:rPr>
        <w:t xml:space="preserve"> phase du déconfinement), a provoqué une recrudescence du nombre de cas de Covid-19, ce qui a eu pour conséquence de dégrader substantiellement le bilan sanitaire positif qui a caractérisé la période du confinement. Les mesures prises durant la phase de déconfinement (restrictions de déplacement, suspension des transports dans certaines zones, </w:t>
      </w:r>
      <w:r w:rsidRPr="008238CC">
        <w:rPr>
          <w:rFonts w:ascii="Calibri" w:hAnsi="Calibri" w:eastAsia="Calibri" w:cs="Calibri"/>
          <w:i/>
          <w:iCs/>
          <w:color w:val="000000"/>
        </w:rPr>
        <w:t>etc.</w:t>
      </w:r>
      <w:r w:rsidRPr="008238CC">
        <w:rPr>
          <w:rFonts w:ascii="Calibri" w:hAnsi="Calibri" w:eastAsia="Calibri" w:cs="Calibri"/>
          <w:color w:val="000000"/>
        </w:rPr>
        <w:t>) et la communication parfois hésitante autour de ces mesures ont donné lieu à des interprétations parfois erronées sur les réseaux sociaux et à des situations de confusion chez beaucoup de citoyens. Enfin, les tentatives de pallier, dans la mesure du possible, les carences structurelles de notre système de santé, par la prise de mesures urgentes et rapides via le « Fonds spécial pour la gestion de la pandémie du Coronavirus "La Covid-19" » créé en application des Hautes Instructions de Sa Majesté le Roi, a toutefois conduit à une mobilisation quasi-exclusive dudit système pour la lutte contre la pandémie, au détriment des autres pathologies.</w:t>
      </w:r>
    </w:p>
    <w:p w:rsidRPr="008238CC" w:rsidR="007915C2" w:rsidP="007915C2" w:rsidRDefault="007915C2" w14:paraId="75131E7F" w14:textId="77777777">
      <w:pPr>
        <w:spacing w:after="160" w:line="256" w:lineRule="auto"/>
        <w:rPr>
          <w:rFonts w:ascii="Calibri" w:hAnsi="Calibri" w:eastAsia="Calibri" w:cs="Calibri"/>
          <w:color w:val="000000"/>
        </w:rPr>
      </w:pPr>
      <w:r w:rsidRPr="008238CC">
        <w:rPr>
          <w:rFonts w:ascii="Calibri" w:hAnsi="Calibri" w:eastAsia="Calibri" w:cs="Calibri"/>
          <w:color w:val="000000"/>
        </w:rPr>
        <w:t>Ce fonds spécial a également été mobilisé pour réduire l’impact du confinement aussi bien sur les ménages que sur les entreprises. Il ne constitue toutefois qu’un palliatif transitoire, dans la mesure où les transferts effectués à partir du fonds spécial covid-19, limités dans le temps, ne pourront en aucun cas soutenir une demande durable, ni de répondre valablement aux effets de la crise actuelle. Cet état de fait renvoie donc à la nécessité de doter le pays très rapidement d’un système de protection sociale pour la réduction des risques sociaux, la préservation de la cohésion sociale, la redistribution et l’accélération de la circulation des flux et la constitution d’épargne longue.</w:t>
      </w:r>
    </w:p>
    <w:p w:rsidRPr="008238CC" w:rsidR="007915C2" w:rsidP="007915C2" w:rsidRDefault="007915C2" w14:paraId="7985DD8D"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D’autre part, les aides aux entreprises n’ont pas pour finalité de résoudre les deux principales problématiques qui limitent le développement des entreprises et remettent en cause la viabilité de leurs activités, à savoir la sous-capitalisation et le surendettement. De même qu’elles ne servent pas à remettre à niveau ces entreprises pour améliorer leur compétitivité, tant sur le marché interne que sur les marchés externes. Les aides distribuées aux entreprises, au demeurant insuffisantes ne servent qu’à offrir un soutien relatif et temporaire. La pérennité des entreprises marocaines est ainsi essentiellement dépendante de la mise en œuvre du plan de relance de 120 milliards de Dirhams (11% du PIB), annoncé par Sa Majesté Le Roi, le 29 juillet de l’année en cours. Il convient de souligner que les mesures prises par les pouvoirs publics ne s’étendent pas aux mesures non conventionnelles telles que celles adoptées par certains pays dans le contexte de crise exceptionnelle. En outre, il convient d’attirer l’attention sur le fait que la plupart des mesures de relance sont des instruments de dette, alors que les solutions de fonds propres et de quasi-fonds propres, certes plus compliquées à mettre en œuvre, n’ont pas été priorisées malgré le fait que la plupart des entreprises souffrent de problèmes liés à cette nature de fonds. </w:t>
      </w:r>
    </w:p>
    <w:p w:rsidRPr="008238CC" w:rsidR="007915C2" w:rsidP="007915C2" w:rsidRDefault="007915C2" w14:paraId="1F916E53"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S’agissant de la continuité pédagogique du système éducatif, une première appréciation de l’offre du Ministère chargé de l’éducation (MENFPESRS), pour la mise en place d’un dispositif d’enseignement à distance en urgence prévu pour assurer la scolarité de millions de marocains (site web, chaînes télévisées, réseaux sociaux, Massar, </w:t>
      </w:r>
      <w:r w:rsidRPr="008238CC">
        <w:rPr>
          <w:rFonts w:ascii="Calibri" w:hAnsi="Calibri" w:eastAsia="Calibri" w:cs="Calibri"/>
          <w:i/>
          <w:iCs/>
          <w:color w:val="000000"/>
        </w:rPr>
        <w:t>etc.</w:t>
      </w:r>
      <w:r w:rsidRPr="008238CC">
        <w:rPr>
          <w:rFonts w:ascii="Calibri" w:hAnsi="Calibri" w:eastAsia="Calibri" w:cs="Calibri"/>
          <w:color w:val="000000"/>
        </w:rPr>
        <w:t xml:space="preserve">), reste plutôt mitigée au regard du problème de manque de qualité et de richesse du contenu, mais également du choix de ce mode eu égard aux inégalités sociales criantes en termes aussi bien de disponibilité des outils numériques et de connexion à internet, que de conditions sociales pour le suivi et l’assimilation du contenu (logement, degré d’implication des parents, </w:t>
      </w:r>
      <w:r w:rsidRPr="008238CC">
        <w:rPr>
          <w:rFonts w:ascii="Calibri" w:hAnsi="Calibri" w:eastAsia="Calibri" w:cs="Calibri"/>
          <w:i/>
          <w:iCs/>
          <w:color w:val="000000"/>
        </w:rPr>
        <w:t>etc.</w:t>
      </w:r>
      <w:r w:rsidRPr="008238CC">
        <w:rPr>
          <w:rFonts w:ascii="Calibri" w:hAnsi="Calibri" w:eastAsia="Calibri" w:cs="Calibri"/>
          <w:color w:val="000000"/>
        </w:rPr>
        <w:t xml:space="preserve">).   </w:t>
      </w:r>
    </w:p>
    <w:p w:rsidRPr="008238CC" w:rsidR="007915C2" w:rsidP="007915C2" w:rsidRDefault="007915C2" w14:paraId="2942229F" w14:textId="77777777">
      <w:pPr>
        <w:spacing w:after="160" w:line="256" w:lineRule="auto"/>
        <w:rPr>
          <w:rFonts w:ascii="Calibri" w:hAnsi="Calibri" w:eastAsia="Calibri" w:cs="Calibri"/>
          <w:color w:val="000000"/>
        </w:rPr>
      </w:pPr>
      <w:r w:rsidRPr="008238CC">
        <w:rPr>
          <w:rFonts w:ascii="Calibri" w:hAnsi="Calibri" w:eastAsia="Calibri" w:cs="Calibri"/>
          <w:color w:val="000000"/>
        </w:rPr>
        <w:t>La gouvernance de la crise Covid-19 en matière d’environnement et de développement durable</w:t>
      </w:r>
      <w:r w:rsidRPr="008238CC">
        <w:rPr>
          <w:rFonts w:ascii="Calibri" w:hAnsi="Calibri" w:eastAsia="Calibri" w:cs="Calibri"/>
          <w:b/>
          <w:bCs/>
          <w:color w:val="000000"/>
        </w:rPr>
        <w:t xml:space="preserve"> </w:t>
      </w:r>
      <w:r w:rsidRPr="008238CC">
        <w:rPr>
          <w:rFonts w:ascii="Calibri" w:hAnsi="Calibri" w:eastAsia="Calibri" w:cs="Calibri"/>
          <w:color w:val="000000"/>
        </w:rPr>
        <w:t xml:space="preserve">s’est caractérisée, quant à elle, par l’attention accordée à la disponibilité et l’accessibilité des biens de consommation ainsi qu’à la sécurisation de l’approvisionnement en produits alimentaires. </w:t>
      </w:r>
    </w:p>
    <w:p w:rsidRPr="008238CC" w:rsidR="007915C2" w:rsidP="007915C2" w:rsidRDefault="007915C2" w14:paraId="6936F7A4" w14:textId="77777777">
      <w:pPr>
        <w:spacing w:after="160" w:line="256" w:lineRule="auto"/>
        <w:rPr>
          <w:rFonts w:ascii="Calibri" w:hAnsi="Calibri" w:eastAsia="Calibri" w:cs="Calibri"/>
          <w:b/>
          <w:bCs/>
          <w:i/>
          <w:iCs/>
          <w:color w:val="000000"/>
        </w:rPr>
      </w:pPr>
      <w:r w:rsidRPr="008238CC">
        <w:rPr>
          <w:rFonts w:ascii="Calibri" w:hAnsi="Calibri" w:eastAsia="Calibri" w:cs="Calibri"/>
          <w:b/>
          <w:bCs/>
          <w:i/>
          <w:iCs/>
          <w:color w:val="000000"/>
        </w:rPr>
        <w:t>Les enseignements des expériences et tendances internationales laisse entrevoir des pistes prometteuses pour aider à tracer une nouvelle trajectoire de développement pour le Maroc</w:t>
      </w:r>
    </w:p>
    <w:p w:rsidRPr="008238CC" w:rsidR="007915C2" w:rsidP="007915C2" w:rsidRDefault="007915C2" w14:paraId="7CC72C29"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Complétant la démarche analytique adoptée dans le cadre de cette étude, l’appréciation  des tendances révélées par la crise constitue une dernière étape cruciale pour encadrer la formulation des inflexions qui permettront d’aider à réaliser les ambitions à moyen et long termes de notre pays. A ce titre, il est à mentionner qu’une conséquence capitale de la crise a été la remise en question du principe d’efficience des modèles de développement, au profit de la notion de résilience. </w:t>
      </w:r>
    </w:p>
    <w:p w:rsidRPr="008238CC" w:rsidR="007915C2" w:rsidP="007915C2" w:rsidRDefault="007915C2" w14:paraId="7FF61C13"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Ceci a permis de souligner la nécessité de disposer d’un Etat fort, volontariste, régulateur et investisseur, capable de faire converger les intérêts individuels vers l’intérêt général en intervenant sur plusieurs niveaux : (i) pallier les défaillances du marché ; (ii) accorder les incitations aux secteurs prioritaires, actuels ou à développer ; (iii) protéger les agents économiques, ménages et entreprises ; (iv) susciter le jeu coopératif entre acteurs ; (v) assurer la continuité d’un service public minimum de qualité et mettre en cohérence, au service de la population, la contribution du secteur privé aux services de base. </w:t>
      </w:r>
    </w:p>
    <w:p w:rsidRPr="008238CC" w:rsidR="007915C2" w:rsidP="007915C2" w:rsidRDefault="007915C2" w14:paraId="1F9FF66C"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Mais cette revisite de la nature des systèmes (économique, social, sociétal, environnemental, </w:t>
      </w:r>
      <w:r w:rsidRPr="008238CC">
        <w:rPr>
          <w:rFonts w:ascii="Calibri" w:hAnsi="Calibri" w:eastAsia="Calibri" w:cs="Calibri"/>
          <w:i/>
          <w:iCs/>
          <w:color w:val="000000"/>
        </w:rPr>
        <w:t>etc.</w:t>
      </w:r>
      <w:r w:rsidRPr="008238CC">
        <w:rPr>
          <w:rFonts w:ascii="Calibri" w:hAnsi="Calibri" w:eastAsia="Calibri" w:cs="Calibri"/>
          <w:color w:val="000000"/>
        </w:rPr>
        <w:t>) renvoie également à la nécessité de rompre avec la concentration de l’économie, en opérant une rupture avec les pratiques rentières, en luttant contre la corruption et en libérant l’espace économique au profit de tous ceux qui souhaitent entreprendre.  </w:t>
      </w:r>
    </w:p>
    <w:p w:rsidRPr="008238CC" w:rsidR="007915C2" w:rsidP="007915C2" w:rsidRDefault="007915C2" w14:paraId="56BD47E7"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Quatre tendances ont ainsi pu être relevées en l’espèce. Premièrement, il a été constaté une dynamique d’élargissement et un renforcement des politiques de santé via, notamment un renouvellement des engagements pris au titre des ODD et l’accélération et l’élaboration de stratégies de santé numérique adaptées. </w:t>
      </w:r>
      <w:r w:rsidRPr="008238CC">
        <w:rPr>
          <w:rFonts w:ascii="Calibri" w:hAnsi="Calibri" w:eastAsia="Calibri" w:cs="Arial"/>
          <w:color w:val="000000"/>
        </w:rPr>
        <w:t xml:space="preserve">Deuxièmement, la crise a mis en exergue le besoin pressant  d’évoluer vers un « Etat social », eu égard au creusement des inégalités en matière d’éducation et de formation en temps de crise, l’affaiblissement de la protection sociale et la fragilisation constante de l’accès aux droits humains fondamentaux. </w:t>
      </w:r>
      <w:r w:rsidRPr="008238CC">
        <w:rPr>
          <w:rFonts w:ascii="Calibri" w:hAnsi="Calibri" w:eastAsia="Calibri" w:cs="Calibri"/>
          <w:color w:val="000000"/>
        </w:rPr>
        <w:t xml:space="preserve">Troisièmement, au niveau économique, le rôle que peut jouer la transformation digitale dans le renforcement de la résilience et de l’amélioration de la croissance et de la productivité a été jugé décisif, tandis que les discours souverainistes et les appels aux relocalisations, au protectionnisme et à la réindustrialisation sont revenus sur le devant de la scène. Quatrièmement, les principales tendances environnementales à l’échelle nationale et internationale pointent dans leur grande majorité vers le maintien des efforts pour la transition écologique et la décarbonation des économies. </w:t>
      </w:r>
    </w:p>
    <w:p w:rsidRPr="008238CC" w:rsidR="007915C2" w:rsidP="007915C2" w:rsidRDefault="007915C2" w14:paraId="367C4B60" w14:textId="77777777">
      <w:pPr>
        <w:spacing w:after="160" w:line="256" w:lineRule="auto"/>
        <w:rPr>
          <w:rFonts w:ascii="Calibri" w:hAnsi="Calibri" w:eastAsia="Calibri" w:cs="Calibri"/>
          <w:strike/>
          <w:color w:val="000000"/>
        </w:rPr>
      </w:pPr>
      <w:r w:rsidRPr="008238CC">
        <w:rPr>
          <w:rFonts w:ascii="Calibri" w:hAnsi="Calibri" w:eastAsia="Calibri" w:cs="Calibri"/>
          <w:b/>
          <w:bCs/>
          <w:i/>
          <w:iCs/>
          <w:color w:val="000000"/>
        </w:rPr>
        <w:t>La nécessité d’une nouvelle vision permettant de surmonter les effets négatifs de la crise et d’amorcer une nouvelle trajectoire de développement</w:t>
      </w:r>
    </w:p>
    <w:p w:rsidRPr="008238CC" w:rsidR="007915C2" w:rsidP="007915C2" w:rsidRDefault="007915C2" w14:paraId="59646F46"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La dynamique impulsée par la nécessité de faire face à la crise Covid-19, et ses impacts négatifs, doit marquer le début d’une transformation profonde du pays en s’appuyant sur les Hautes orientations Royales et sur la </w:t>
      </w:r>
      <w:r w:rsidRPr="008238CC">
        <w:rPr>
          <w:rFonts w:ascii="Calibri" w:hAnsi="Calibri" w:eastAsia="Calibri" w:cs="Arial"/>
          <w:color w:val="000000"/>
        </w:rPr>
        <w:t>Constitution qui avait suscité un large débat et permis d’aboutir à un consensus sur plusieurs aspects fondamentaux de notre projet de société</w:t>
      </w:r>
      <w:r w:rsidRPr="008238CC">
        <w:rPr>
          <w:rFonts w:ascii="Calibri" w:hAnsi="Calibri" w:eastAsia="Calibri" w:cs="Calibri"/>
          <w:color w:val="000000"/>
        </w:rPr>
        <w:t xml:space="preserve">. Elle doit exploiter tous les atouts du pays et capitaliser sur ses réalisations et sur la richesse de son capital immatériel. </w:t>
      </w:r>
    </w:p>
    <w:p w:rsidRPr="008238CC" w:rsidR="007915C2" w:rsidP="007915C2" w:rsidRDefault="007915C2" w14:paraId="7D0DC29E"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Le CESE considère, à ce titre, que l’ambition exprimée dans son rapport sur le nouveau modèle de développement est toujours d’actualité, puisque cette crise n’a fait que confirmer son bien-fondé et sa légitimité. Cette ambition doit, toutefois, prendre en compte une exigence majeure qui s’avère indispensable et qui marquera toutes les stratégies Post-Covid dans le monde, à savoir la résilience systémique. </w:t>
      </w:r>
    </w:p>
    <w:p w:rsidRPr="008238CC" w:rsidR="007915C2" w:rsidP="007915C2" w:rsidRDefault="007915C2" w14:paraId="13F020B6" w14:textId="77777777">
      <w:pPr>
        <w:spacing w:after="160" w:line="256" w:lineRule="auto"/>
        <w:rPr>
          <w:rFonts w:ascii="Calibri" w:hAnsi="Calibri" w:eastAsia="Calibri" w:cs="Calibri"/>
          <w:i/>
          <w:iCs/>
          <w:color w:val="000000"/>
        </w:rPr>
      </w:pPr>
      <w:r w:rsidRPr="008238CC">
        <w:rPr>
          <w:rFonts w:ascii="Calibri" w:hAnsi="Calibri" w:eastAsia="Calibri" w:cs="Calibri"/>
          <w:color w:val="000000"/>
        </w:rPr>
        <w:t xml:space="preserve">Ainsi, l’ambition qui doit être visée consiste à </w:t>
      </w:r>
      <w:r w:rsidRPr="008238CC">
        <w:rPr>
          <w:rFonts w:ascii="Calibri" w:hAnsi="Calibri" w:eastAsia="Calibri" w:cs="Calibri"/>
          <w:i/>
          <w:iCs/>
          <w:color w:val="000000"/>
        </w:rPr>
        <w:t>« Construire un modèle de développement dynamique qui assure une croissance forte, inclusive et durable, garantit l’égalité des chances, favorise l’épanouissement de l’individu et renforce ses capacités au sein d’une société prospère, solidaire et résiliente, centrée sur le citoyen ».</w:t>
      </w:r>
    </w:p>
    <w:p w:rsidRPr="008238CC" w:rsidR="007915C2" w:rsidP="007915C2" w:rsidRDefault="007915C2" w14:paraId="7E239C96" w14:textId="77777777">
      <w:pPr>
        <w:spacing w:after="160" w:line="256" w:lineRule="auto"/>
        <w:rPr>
          <w:rFonts w:ascii="Calibri" w:hAnsi="Calibri" w:eastAsia="Calibri" w:cs="Calibri"/>
          <w:color w:val="000000"/>
        </w:rPr>
      </w:pPr>
      <w:r w:rsidRPr="008238CC">
        <w:rPr>
          <w:rFonts w:ascii="Calibri" w:hAnsi="Calibri" w:eastAsia="Calibri" w:cs="Calibri"/>
          <w:color w:val="000000"/>
        </w:rPr>
        <w:t>Parmi les défis que le Conseil juge capitaux à relever, il y a lieu de citer:</w:t>
      </w:r>
    </w:p>
    <w:p w:rsidRPr="008238CC" w:rsidR="007915C2" w:rsidP="007915C2" w:rsidRDefault="007915C2" w14:paraId="373B28B8" w14:textId="77777777">
      <w:pPr>
        <w:numPr>
          <w:ilvl w:val="0"/>
          <w:numId w:val="4"/>
        </w:numPr>
        <w:spacing w:line="256" w:lineRule="auto"/>
        <w:contextualSpacing/>
        <w:jc w:val="left"/>
        <w:rPr>
          <w:rFonts w:ascii="Calibri" w:hAnsi="Calibri" w:eastAsia="Calibri" w:cs="Calibri"/>
          <w:color w:val="000000"/>
        </w:rPr>
      </w:pPr>
      <w:r w:rsidRPr="008238CC">
        <w:rPr>
          <w:rFonts w:ascii="Calibri" w:hAnsi="Calibri" w:eastAsia="Calibri" w:cs="Calibri"/>
          <w:color w:val="000000"/>
        </w:rPr>
        <w:t>L’incertitude provoquée par la pandémie, qui nécessite plus que jamais de l’anticipation et de l’agilité ;</w:t>
      </w:r>
    </w:p>
    <w:p w:rsidRPr="008238CC" w:rsidR="007915C2" w:rsidP="007915C2" w:rsidRDefault="007915C2" w14:paraId="7395E8FE" w14:textId="77777777">
      <w:pPr>
        <w:numPr>
          <w:ilvl w:val="0"/>
          <w:numId w:val="4"/>
        </w:numPr>
        <w:spacing w:line="256" w:lineRule="auto"/>
        <w:contextualSpacing/>
        <w:jc w:val="left"/>
        <w:rPr>
          <w:rFonts w:ascii="Calibri" w:hAnsi="Calibri" w:eastAsia="Calibri" w:cs="Calibri"/>
          <w:color w:val="000000"/>
        </w:rPr>
      </w:pPr>
      <w:r w:rsidRPr="008238CC">
        <w:rPr>
          <w:rFonts w:ascii="Calibri" w:hAnsi="Calibri" w:eastAsia="Calibri" w:cs="Calibri"/>
          <w:color w:val="000000"/>
        </w:rPr>
        <w:t>La capacité de l’Etat à</w:t>
      </w:r>
      <w:r w:rsidRPr="008238CC">
        <w:rPr>
          <w:rFonts w:ascii="Calibri" w:hAnsi="Calibri" w:eastAsia="Calibri" w:cs="Calibri"/>
          <w:strike/>
          <w:color w:val="000000"/>
        </w:rPr>
        <w:t xml:space="preserve"> </w:t>
      </w:r>
      <w:r w:rsidRPr="008238CC">
        <w:rPr>
          <w:rFonts w:ascii="Calibri" w:hAnsi="Calibri" w:eastAsia="Calibri" w:cs="Calibri"/>
          <w:color w:val="000000"/>
        </w:rPr>
        <w:t>s’adapter à son nouveau rôle, déterminé en cela par les inflexions majeures provoquées par la crise mais, également, par la nécessité d’assurer la souveraineté nationale dans les secteurs stratégiques;</w:t>
      </w:r>
    </w:p>
    <w:p w:rsidRPr="008238CC" w:rsidR="007915C2" w:rsidP="007915C2" w:rsidRDefault="007915C2" w14:paraId="5918436B" w14:textId="77777777">
      <w:pPr>
        <w:numPr>
          <w:ilvl w:val="0"/>
          <w:numId w:val="4"/>
        </w:numPr>
        <w:spacing w:line="256" w:lineRule="auto"/>
        <w:contextualSpacing/>
        <w:jc w:val="left"/>
        <w:rPr>
          <w:rFonts w:ascii="Calibri" w:hAnsi="Calibri" w:eastAsia="Calibri" w:cs="Calibri"/>
          <w:color w:val="000000"/>
        </w:rPr>
      </w:pPr>
      <w:r w:rsidRPr="008238CC">
        <w:rPr>
          <w:rFonts w:ascii="Calibri" w:hAnsi="Calibri" w:eastAsia="Calibri" w:cs="Calibri"/>
          <w:color w:val="000000"/>
        </w:rPr>
        <w:t xml:space="preserve">L’essoufflement de la croissance depuis 2010, aggravé par la récession historique attendue en 2020 et la menace qui plane sur plusieurs secteurs d’activité de l’économie nationale touchés par la crise ; </w:t>
      </w:r>
    </w:p>
    <w:p w:rsidRPr="008238CC" w:rsidR="007915C2" w:rsidP="007915C2" w:rsidRDefault="007915C2" w14:paraId="12DF567C" w14:textId="77777777">
      <w:pPr>
        <w:numPr>
          <w:ilvl w:val="0"/>
          <w:numId w:val="4"/>
        </w:numPr>
        <w:spacing w:line="256" w:lineRule="auto"/>
        <w:contextualSpacing/>
        <w:jc w:val="left"/>
        <w:rPr>
          <w:rFonts w:ascii="Calibri" w:hAnsi="Calibri" w:eastAsia="Calibri" w:cs="Calibri"/>
          <w:color w:val="000000"/>
        </w:rPr>
      </w:pPr>
      <w:r w:rsidRPr="008238CC">
        <w:rPr>
          <w:rFonts w:ascii="Calibri" w:hAnsi="Calibri" w:eastAsia="Calibri" w:cs="Calibri"/>
          <w:color w:val="000000"/>
        </w:rPr>
        <w:t>Les contraintes de mise en œuvre de nouvelles politiques sociales et, notamment, la refonte en profondeur du système de santé, l’accélération des réformes du système éducatif et la généralisation de la protection sociale ;</w:t>
      </w:r>
    </w:p>
    <w:p w:rsidRPr="008238CC" w:rsidR="007915C2" w:rsidP="007915C2" w:rsidRDefault="007915C2" w14:paraId="1D059B21" w14:textId="77777777">
      <w:pPr>
        <w:numPr>
          <w:ilvl w:val="0"/>
          <w:numId w:val="4"/>
        </w:numPr>
        <w:spacing w:line="256" w:lineRule="auto"/>
        <w:contextualSpacing/>
        <w:jc w:val="left"/>
        <w:rPr>
          <w:rFonts w:ascii="Calibri" w:hAnsi="Calibri" w:eastAsia="Calibri" w:cs="Calibri"/>
          <w:color w:val="000000"/>
        </w:rPr>
      </w:pPr>
      <w:r w:rsidRPr="008238CC">
        <w:rPr>
          <w:rFonts w:ascii="Calibri" w:hAnsi="Calibri" w:eastAsia="Calibri" w:cs="Calibri"/>
          <w:color w:val="000000"/>
        </w:rPr>
        <w:t>La nécessité d’accélérer la transition énergétique et écologique vers un nouveau modèle de développement durable, équitable et inclusif, en concordance avec les Objectifs de Développement Durable (Agenda 2030) ;</w:t>
      </w:r>
    </w:p>
    <w:p w:rsidRPr="008238CC" w:rsidR="007915C2" w:rsidP="007915C2" w:rsidRDefault="007915C2" w14:paraId="7B1D10C9" w14:textId="77777777">
      <w:pPr>
        <w:numPr>
          <w:ilvl w:val="0"/>
          <w:numId w:val="4"/>
        </w:numPr>
        <w:spacing w:line="256" w:lineRule="auto"/>
        <w:contextualSpacing/>
        <w:jc w:val="left"/>
        <w:rPr>
          <w:rFonts w:ascii="Calibri" w:hAnsi="Calibri" w:eastAsia="Calibri" w:cs="Calibri"/>
          <w:color w:val="000000"/>
        </w:rPr>
      </w:pPr>
      <w:r w:rsidRPr="008238CC">
        <w:rPr>
          <w:rFonts w:ascii="Calibri" w:hAnsi="Calibri" w:eastAsia="Calibri" w:cs="Calibri"/>
          <w:color w:val="000000"/>
        </w:rPr>
        <w:t>Le repositionnement international et continental du Maroc pour être en phase avec les mutations des chaines mondiales de production.</w:t>
      </w:r>
    </w:p>
    <w:p w:rsidRPr="008238CC" w:rsidR="007915C2" w:rsidP="007915C2" w:rsidRDefault="007915C2" w14:paraId="2519DA05" w14:textId="77777777">
      <w:pPr>
        <w:spacing w:after="160" w:line="256" w:lineRule="auto"/>
        <w:rPr>
          <w:rFonts w:ascii="Calibri" w:hAnsi="Calibri" w:eastAsia="Calibri" w:cs="Calibri"/>
          <w:color w:val="000000"/>
        </w:rPr>
      </w:pPr>
    </w:p>
    <w:p w:rsidRPr="008238CC" w:rsidR="007915C2" w:rsidP="007915C2" w:rsidRDefault="007915C2" w14:paraId="6BCDB3FA" w14:textId="77777777">
      <w:pPr>
        <w:spacing w:after="160" w:line="256" w:lineRule="auto"/>
        <w:rPr>
          <w:rFonts w:ascii="Calibri" w:hAnsi="Calibri" w:eastAsia="Calibri" w:cs="Calibri"/>
          <w:color w:val="000000"/>
        </w:rPr>
      </w:pPr>
      <w:r w:rsidRPr="008238CC">
        <w:rPr>
          <w:rFonts w:ascii="Calibri" w:hAnsi="Calibri" w:eastAsia="Calibri" w:cs="Calibri"/>
          <w:color w:val="000000"/>
        </w:rPr>
        <w:t>Pour relever ces défis, le CESE propose des inflexions et des recommandations dont la mise en œuvre se doit d’être progressive et cumulative. Les actions à mener doivent permettre à notre pays d’atteindre trois grands objectifs stratégiques :</w:t>
      </w:r>
    </w:p>
    <w:p w:rsidRPr="008238CC" w:rsidR="007915C2" w:rsidP="007915C2" w:rsidRDefault="007915C2" w14:paraId="4D7E6692" w14:textId="77777777">
      <w:pPr>
        <w:numPr>
          <w:ilvl w:val="0"/>
          <w:numId w:val="5"/>
        </w:numPr>
        <w:spacing w:line="256" w:lineRule="auto"/>
        <w:jc w:val="left"/>
        <w:rPr>
          <w:rFonts w:ascii="Calibri" w:hAnsi="Calibri" w:eastAsia="Calibri" w:cs="Calibri"/>
          <w:color w:val="000000"/>
        </w:rPr>
      </w:pPr>
      <w:r w:rsidRPr="008238CC">
        <w:rPr>
          <w:rFonts w:ascii="Calibri" w:hAnsi="Calibri" w:eastAsia="Calibri" w:cs="Calibri"/>
          <w:color w:val="000000"/>
        </w:rPr>
        <w:t>Renforcer la résilience du pays et sa capacité à vivre avec le Coronavirus aussi longtemps que nécessaire, tout en assurant le droit à la santé aux citoyens, le soutien du pouvoir d’achat des ménages et la sauvegarde de l’appareil productif ;</w:t>
      </w:r>
    </w:p>
    <w:p w:rsidRPr="008238CC" w:rsidR="007915C2" w:rsidP="007915C2" w:rsidRDefault="007915C2" w14:paraId="0531C67C" w14:textId="77777777">
      <w:pPr>
        <w:numPr>
          <w:ilvl w:val="0"/>
          <w:numId w:val="5"/>
        </w:numPr>
        <w:spacing w:line="256" w:lineRule="auto"/>
        <w:jc w:val="left"/>
        <w:rPr>
          <w:rFonts w:ascii="Calibri" w:hAnsi="Calibri" w:eastAsia="Calibri" w:cs="Calibri"/>
          <w:color w:val="000000"/>
        </w:rPr>
      </w:pPr>
      <w:r w:rsidRPr="008238CC">
        <w:rPr>
          <w:rFonts w:ascii="Calibri" w:hAnsi="Calibri" w:eastAsia="Calibri" w:cs="Calibri"/>
          <w:color w:val="000000"/>
        </w:rPr>
        <w:t>Relancer l’économie du pays en incitant les entreprises à améliorer leur compétitivité et à créer des emplois, mais aussi à s’adapter aux changements déclenchés par la crise pour saisir toutes les opportunités offertes par la nouvelle reconfiguration des chaines de production mondiales ;</w:t>
      </w:r>
    </w:p>
    <w:p w:rsidRPr="008238CC" w:rsidR="007915C2" w:rsidP="007915C2" w:rsidRDefault="007915C2" w14:paraId="6198358C" w14:textId="77777777">
      <w:pPr>
        <w:numPr>
          <w:ilvl w:val="0"/>
          <w:numId w:val="5"/>
        </w:numPr>
        <w:spacing w:line="256" w:lineRule="auto"/>
        <w:jc w:val="left"/>
        <w:rPr>
          <w:rFonts w:ascii="Calibri" w:hAnsi="Calibri" w:eastAsia="Calibri" w:cs="Calibri"/>
          <w:color w:val="000000"/>
        </w:rPr>
      </w:pPr>
      <w:r w:rsidRPr="008238CC">
        <w:rPr>
          <w:rFonts w:ascii="Calibri" w:hAnsi="Calibri" w:eastAsia="Calibri" w:cs="Calibri"/>
          <w:color w:val="000000"/>
        </w:rPr>
        <w:t>Mettre le Maroc sur une nouvelle trajectoire de développement en remédiant aux faiblesses et vulnérabilités de notre modèle actuel et en accélérant les réformes et les restructurations nécessaires à l’émergence d’un Maroc durablement prospère, plus inclusif, plus solidaire et plus résilient.</w:t>
      </w:r>
    </w:p>
    <w:p w:rsidR="00875460" w:rsidP="007915C2" w:rsidRDefault="00875460" w14:paraId="274B2609" w14:textId="77777777">
      <w:pPr>
        <w:spacing w:after="160" w:line="256" w:lineRule="auto"/>
        <w:rPr>
          <w:rFonts w:ascii="Calibri" w:hAnsi="Calibri" w:eastAsia="Calibri" w:cs="Calibri"/>
          <w:b/>
          <w:bCs/>
          <w:i/>
          <w:iCs/>
          <w:color w:val="000000"/>
        </w:rPr>
      </w:pPr>
    </w:p>
    <w:p w:rsidRPr="008238CC" w:rsidR="007915C2" w:rsidP="007915C2" w:rsidRDefault="007915C2" w14:paraId="08FEE983" w14:textId="77777777">
      <w:pPr>
        <w:spacing w:after="160" w:line="256" w:lineRule="auto"/>
        <w:rPr>
          <w:rFonts w:ascii="Calibri" w:hAnsi="Calibri" w:eastAsia="Calibri" w:cs="Calibri"/>
          <w:b/>
          <w:bCs/>
          <w:i/>
          <w:iCs/>
          <w:color w:val="000000"/>
        </w:rPr>
      </w:pPr>
      <w:r w:rsidRPr="008238CC">
        <w:rPr>
          <w:rFonts w:ascii="Calibri" w:hAnsi="Calibri" w:eastAsia="Calibri" w:cs="Calibri"/>
          <w:b/>
          <w:bCs/>
          <w:i/>
          <w:iCs/>
          <w:color w:val="000000"/>
        </w:rPr>
        <w:t>Les inflexions majeures pour réussir la sortie de crise et favoriser une mise en œuvre optimale du nouveau modèle de développement</w:t>
      </w:r>
    </w:p>
    <w:p w:rsidRPr="008238CC" w:rsidR="007915C2" w:rsidP="007915C2" w:rsidRDefault="007915C2" w14:paraId="3650E995" w14:textId="77777777">
      <w:pPr>
        <w:spacing w:after="160" w:line="256" w:lineRule="auto"/>
        <w:rPr>
          <w:rFonts w:ascii="Calibri" w:hAnsi="Calibri" w:eastAsia="Calibri" w:cs="Calibri"/>
          <w:color w:val="000000"/>
        </w:rPr>
      </w:pPr>
      <w:r w:rsidRPr="008238CC">
        <w:rPr>
          <w:rFonts w:ascii="Calibri" w:hAnsi="Calibri" w:eastAsia="Calibri" w:cs="Calibri"/>
          <w:color w:val="000000"/>
        </w:rPr>
        <w:t>Organisées en 7 axes distincts, les 149 recommandations retenues par le Conseil visent principalement à renforcer la capacité de notre pays à anticiper les changements et à s’y adapter en toute agilité.</w:t>
      </w:r>
    </w:p>
    <w:p w:rsidRPr="008238CC" w:rsidR="007915C2" w:rsidP="007915C2" w:rsidRDefault="007915C2" w14:paraId="591DCC4C" w14:textId="77777777">
      <w:pPr>
        <w:spacing w:after="160" w:line="256" w:lineRule="auto"/>
        <w:jc w:val="left"/>
        <w:rPr>
          <w:rFonts w:ascii="Calibri" w:hAnsi="Calibri" w:eastAsia="Calibri" w:cs="Arial"/>
          <w:b/>
          <w:bCs/>
          <w:color w:val="000000"/>
          <w:u w:val="single"/>
        </w:rPr>
      </w:pPr>
      <w:r w:rsidRPr="008238CC">
        <w:rPr>
          <w:rFonts w:ascii="Calibri" w:hAnsi="Calibri" w:eastAsia="Calibri" w:cs="Arial"/>
          <w:b/>
          <w:bCs/>
          <w:color w:val="000000"/>
          <w:u w:val="single"/>
        </w:rPr>
        <w:t>Vivre avec la Covid-19 : entre les impératifs de l’urgence et la nécessité d’adaptation</w:t>
      </w:r>
    </w:p>
    <w:p w:rsidRPr="008238CC" w:rsidR="007915C2" w:rsidP="007915C2" w:rsidRDefault="007915C2" w14:paraId="67337146" w14:textId="77777777">
      <w:pPr>
        <w:spacing w:after="160" w:line="256" w:lineRule="auto"/>
        <w:rPr>
          <w:rFonts w:ascii="Calibri" w:hAnsi="Calibri" w:eastAsia="Calibri" w:cs="Calibri"/>
          <w:color w:val="000000"/>
        </w:rPr>
      </w:pPr>
      <w:r w:rsidRPr="008238CC">
        <w:rPr>
          <w:rFonts w:ascii="Calibri" w:hAnsi="Calibri" w:eastAsia="Calibri" w:cs="Calibri"/>
          <w:color w:val="000000"/>
        </w:rPr>
        <w:t>La crise sanitaire, dont le dénouement et les implications globales restent toujours incertains, ne peut être gérée dans la durée à travers les mêmes mesures restrictives que celles édictées durant le confinement, au regard des coûts socioéconomiques insupportables qu’elles engendrent. Eu égard aux faiblesses patentes mises en lumière par la crise, l’épreuve que traverse actuellement notre pays impose des ajustements urgents, afin de permettre aux citoyens et au tissu productif de s’adapter à ce nouvel environnement, et reprendre un niveau d’activité aussi proche de la normale que possible en attendant une solution définitive à la pandémie.</w:t>
      </w:r>
    </w:p>
    <w:p w:rsidRPr="008238CC" w:rsidR="007915C2" w:rsidP="007915C2" w:rsidRDefault="007915C2" w14:paraId="3B8D7953" w14:textId="77777777">
      <w:pPr>
        <w:spacing w:after="160" w:line="256" w:lineRule="auto"/>
        <w:rPr>
          <w:rFonts w:ascii="Calibri" w:hAnsi="Calibri" w:eastAsia="Calibri" w:cs="Arial"/>
          <w:color w:val="000000"/>
        </w:rPr>
      </w:pPr>
      <w:r w:rsidRPr="008238CC">
        <w:rPr>
          <w:rFonts w:ascii="Calibri" w:hAnsi="Calibri" w:eastAsia="Calibri" w:cs="Calibri"/>
          <w:color w:val="000000"/>
        </w:rPr>
        <w:t xml:space="preserve">Le premier axe se rapporte en conséquence aux mesures à introduire rapidement pour permettre de vivre avec la Covid-19 ; un objectif atteignable sous réserve de faire évoluer les mentalités en capitalisant sur les éléments favorables induits par la crise. Il s’agit ainsi de mesures qui visent la refonte des secteurs sociaux de base (santé et éducation), la reconfiguration des procédés et relations de travail (secteurs public et privé) et l’adoption d’une approche active et participative dans la gestion des risques, tout en consacrant les fondements de l’état de droit. </w:t>
      </w:r>
    </w:p>
    <w:p w:rsidRPr="008238CC" w:rsidR="007915C2" w:rsidP="007915C2" w:rsidRDefault="007915C2" w14:paraId="3D743866" w14:textId="77777777">
      <w:pPr>
        <w:spacing w:after="160" w:line="256" w:lineRule="auto"/>
        <w:jc w:val="left"/>
        <w:rPr>
          <w:rFonts w:ascii="Calibri" w:hAnsi="Calibri" w:eastAsia="Calibri" w:cs="Arial"/>
          <w:b/>
          <w:bCs/>
          <w:color w:val="000000"/>
          <w:u w:val="single"/>
        </w:rPr>
      </w:pPr>
      <w:r w:rsidRPr="008238CC">
        <w:rPr>
          <w:rFonts w:ascii="Calibri" w:hAnsi="Calibri" w:eastAsia="Calibri" w:cs="Arial"/>
          <w:b/>
          <w:bCs/>
          <w:color w:val="000000"/>
          <w:u w:val="single"/>
        </w:rPr>
        <w:t>Renforcer les trois missions fondamentales de l’Etat et réorienter les politiques publiques pour un Maroc plus inclusif et plus résilient</w:t>
      </w:r>
    </w:p>
    <w:p w:rsidRPr="008238CC" w:rsidR="007915C2" w:rsidP="007915C2" w:rsidRDefault="007915C2" w14:paraId="2EA47354"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Les effets des mesures de lutte contre la pandémie laissent entrevoir un nouveau rôle pour l’Etat dans la sphère publique, en lien avec la mise en avant des faiblesses du modèle néolibéral qui prône un Etat minimal, la suprématie des marchés et une réduction au minimum des dépenses publiques sociales, y compris dans des secteurs vitaux comme la santé, l’éducation et la protection sociale. La crise sanitaire de 2020 est en effet venue réitérer les appels pour un retour d’un « Etat-Providence » rénové sur le plan social, à savoir un Etat qui place le citoyen au centre de ses préoccupations et prônant des politiques keynésiennes plus ambitieuses sur le plan économique en vue de réduire l’incertitude, rassurer les investisseurs et soutenir la demande. </w:t>
      </w:r>
    </w:p>
    <w:p w:rsidRPr="008238CC" w:rsidR="007915C2" w:rsidP="007915C2" w:rsidRDefault="007915C2" w14:paraId="75E921EC"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Les recommandations de cet axe portent spécifiquement sur les inflexions majeures à opérer pour adapter le rôle de l’Etat aux nouvelles exigences du monde Post-Covid, permettant ainsi de réorienter les choix de politiques publiques et l’approche de gouvernance. Cette revue du rôle de l’Etat est considérée à travers le renforcement de trois missions principales : un Etat assureur systémique en temps de crise, un état social au service du citoyen et un Etat stratège avec une vision de long-terme.  </w:t>
      </w:r>
    </w:p>
    <w:p w:rsidRPr="008238CC" w:rsidR="007915C2" w:rsidP="007915C2" w:rsidRDefault="007915C2" w14:paraId="0BC754B9" w14:textId="77777777">
      <w:pPr>
        <w:spacing w:after="160" w:line="256" w:lineRule="auto"/>
        <w:jc w:val="left"/>
        <w:rPr>
          <w:rFonts w:ascii="Calibri" w:hAnsi="Calibri" w:eastAsia="Calibri" w:cs="Arial"/>
          <w:b/>
          <w:bCs/>
          <w:color w:val="000000"/>
          <w:u w:val="single"/>
        </w:rPr>
      </w:pPr>
      <w:r w:rsidRPr="008238CC">
        <w:rPr>
          <w:rFonts w:ascii="Calibri" w:hAnsi="Calibri" w:eastAsia="Calibri" w:cs="Arial"/>
          <w:b/>
          <w:bCs/>
          <w:color w:val="000000"/>
          <w:u w:val="single"/>
        </w:rPr>
        <w:t>Passer d’un système de soins à un système de santé</w:t>
      </w:r>
    </w:p>
    <w:p w:rsidRPr="008238CC" w:rsidR="007915C2" w:rsidP="007915C2" w:rsidRDefault="007915C2" w14:paraId="7909E597" w14:textId="77777777">
      <w:pPr>
        <w:spacing w:after="160" w:line="256" w:lineRule="auto"/>
        <w:rPr>
          <w:rFonts w:ascii="Calibri" w:hAnsi="Calibri" w:eastAsia="Calibri" w:cs="Arial"/>
          <w:color w:val="000000"/>
        </w:rPr>
      </w:pPr>
      <w:r w:rsidRPr="008238CC">
        <w:rPr>
          <w:rFonts w:ascii="Calibri" w:hAnsi="Calibri" w:eastAsia="Calibri" w:cs="Arial"/>
          <w:color w:val="000000"/>
        </w:rPr>
        <w:t xml:space="preserve">La pandémie aura fait prendre conscience que la refonte du système de santé est plus que jamais un enjeu majeur de cohésion, de justice et de paix sociale, qui devrait induire une véritable volonté de changement politique et l’élaboration d’un cadre d’action clair et ambitieux. A ce stade, il devient plus que jamais urgent pour notre pays de développer un système de santé national qui garantisse la qualité et l’efficacité de l’offre de soins de santé, l’accès équitable aux soins et la protection financière des patients, l’efficience de l’offre et la viabilité financière à long terme. </w:t>
      </w:r>
    </w:p>
    <w:p w:rsidRPr="008238CC" w:rsidR="007915C2" w:rsidP="007915C2" w:rsidRDefault="007915C2" w14:paraId="0BB9CE64"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Cet axe porte sur les réformes structurelles nécessaires à l’émergence d’un véritable système de santé, partant de la vision et la volonté politique jusqu’à la question de la santé et de la sécurité, en passant par la gouvernance, les ressources humaines et le financement. </w:t>
      </w:r>
      <w:r w:rsidRPr="008238CC">
        <w:rPr>
          <w:rFonts w:ascii="Calibri" w:hAnsi="Calibri" w:eastAsia="Calibri" w:cs="Calibri"/>
          <w:i/>
          <w:iCs/>
          <w:color w:val="000000"/>
        </w:rPr>
        <w:t>In fine</w:t>
      </w:r>
      <w:r w:rsidRPr="008238CC">
        <w:rPr>
          <w:rFonts w:ascii="Calibri" w:hAnsi="Calibri" w:eastAsia="Calibri" w:cs="Calibri"/>
          <w:color w:val="000000"/>
        </w:rPr>
        <w:t xml:space="preserve">, le nouveau système auquel appelle le CESE doit assurer l’effectivité d’une médecine préventive efficace et garantir une offre de soins de santé de qualité, couvrant l’ensemble du territoire et accessible à tous les citoyens, sans distinction.    </w:t>
      </w:r>
    </w:p>
    <w:p w:rsidRPr="008238CC" w:rsidR="007915C2" w:rsidP="007915C2" w:rsidRDefault="007915C2" w14:paraId="722F819B" w14:textId="77777777">
      <w:pPr>
        <w:spacing w:after="160" w:line="256" w:lineRule="auto"/>
        <w:jc w:val="left"/>
        <w:rPr>
          <w:rFonts w:ascii="Calibri" w:hAnsi="Calibri" w:eastAsia="Calibri" w:cs="Arial"/>
          <w:b/>
          <w:bCs/>
          <w:color w:val="000000"/>
          <w:u w:val="single"/>
        </w:rPr>
      </w:pPr>
      <w:r w:rsidRPr="008238CC">
        <w:rPr>
          <w:rFonts w:ascii="Calibri" w:hAnsi="Calibri" w:eastAsia="Calibri" w:cs="Arial"/>
          <w:b/>
          <w:bCs/>
          <w:color w:val="000000"/>
          <w:u w:val="single"/>
        </w:rPr>
        <w:t xml:space="preserve">Mettre en place un système de protection sociale généralisée et des stratégies innovantes pour réduire l’informel </w:t>
      </w:r>
    </w:p>
    <w:p w:rsidRPr="008238CC" w:rsidR="007915C2" w:rsidP="007915C2" w:rsidRDefault="007915C2" w14:paraId="238C08C1"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La crise de la Covid-19 n’a fait que confirmer le niveau élevé de vulnérabilité de larges franges de la population exerçant dans des métiers faiblement organisés ou dans l’informel. L‘urgence de remédier à cette carence structurelle qui n’a que trop duré n’est plus à démontrer, une situation qui nécessite de mener un certain nombre d’actions et de réformes pour renforcer et étendre aussi bien le dispositif de filets sociaux, que la couverture maladie, dans le sens d’une universalisation des systèmes. </w:t>
      </w:r>
    </w:p>
    <w:p w:rsidRPr="008238CC" w:rsidR="007915C2" w:rsidP="007915C2" w:rsidRDefault="007915C2" w14:paraId="4E3887E3"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Le présent axe traite tout autant des réformes nécessaires pour assurer une protection sociale universelle qui profite de manière équitable et soutenable à tous les individus, avec pour principes la viabilité et la convergence des régimes, que des leviers à envisager pour insérer et restructurer les activités vulnérables et informelles.  </w:t>
      </w:r>
    </w:p>
    <w:p w:rsidRPr="008238CC" w:rsidR="007915C2" w:rsidP="007915C2" w:rsidRDefault="007915C2" w14:paraId="69C1FD02" w14:textId="77777777">
      <w:pPr>
        <w:spacing w:after="160" w:line="256" w:lineRule="auto"/>
        <w:jc w:val="left"/>
        <w:rPr>
          <w:rFonts w:ascii="Calibri" w:hAnsi="Calibri" w:eastAsia="Calibri" w:cs="Arial"/>
          <w:b/>
          <w:bCs/>
          <w:color w:val="000000"/>
          <w:u w:val="single"/>
        </w:rPr>
      </w:pPr>
      <w:r w:rsidRPr="008238CC">
        <w:rPr>
          <w:rFonts w:ascii="Calibri" w:hAnsi="Calibri" w:eastAsia="Calibri" w:cs="Arial"/>
          <w:b/>
          <w:bCs/>
          <w:color w:val="000000"/>
          <w:u w:val="single"/>
        </w:rPr>
        <w:t>Relancer l’économie à court terme tout en renforçant sa résilience à moyen terme face aux éventuels chocs futurs</w:t>
      </w:r>
    </w:p>
    <w:p w:rsidRPr="008238CC" w:rsidR="007915C2" w:rsidP="007915C2" w:rsidRDefault="007915C2" w14:paraId="521424FF" w14:textId="77777777">
      <w:pPr>
        <w:spacing w:after="160" w:line="256" w:lineRule="auto"/>
        <w:rPr>
          <w:rFonts w:ascii="Calibri" w:hAnsi="Calibri" w:eastAsia="Calibri" w:cs="Calibri"/>
          <w:color w:val="000000"/>
        </w:rPr>
      </w:pPr>
      <w:r w:rsidRPr="008238CC">
        <w:rPr>
          <w:rFonts w:ascii="Calibri" w:hAnsi="Calibri" w:eastAsia="Calibri" w:cs="Calibri"/>
          <w:color w:val="000000"/>
        </w:rPr>
        <w:t>Si les fermetures d’entreprises, les mesures de distanciation et la perturbation de certaines chaines d’approvisionnement ont sévèrement impacté l’offre, il n’en demeure pas moins que certains indicateurs pointent vers le fait que l’impact négatif de la crise est encore plus prononcé au niveau de la demande. La nature même du choc Covid renvoie à la nécessité pour les pouvoirs publics de continuer à agir simultanément sur l’offre et la demande, mais aussi sur le niveau d’incertitude qui impacte fortement la formation des anticipations des agents.</w:t>
      </w:r>
    </w:p>
    <w:p w:rsidRPr="008238CC" w:rsidR="007915C2" w:rsidP="007915C2" w:rsidRDefault="007915C2" w14:paraId="69DC1A5C"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Ce cinquième axe traite des inflexions majeures à opérer, en matière de politiques économiques (monétaire, fiscale, budgétaire, commerciale, industrielle, </w:t>
      </w:r>
      <w:r w:rsidRPr="008238CC">
        <w:rPr>
          <w:rFonts w:ascii="Calibri" w:hAnsi="Calibri" w:eastAsia="Calibri" w:cs="Calibri"/>
          <w:i/>
          <w:iCs/>
          <w:color w:val="000000"/>
        </w:rPr>
        <w:t>etc.</w:t>
      </w:r>
      <w:r w:rsidRPr="008238CC">
        <w:rPr>
          <w:rFonts w:ascii="Calibri" w:hAnsi="Calibri" w:eastAsia="Calibri" w:cs="Calibri"/>
          <w:color w:val="000000"/>
        </w:rPr>
        <w:t>) pour (i) la sauvegarde de l’activité et des emplois, (ii) l’amélioration de la résilience et de la compétitivité des entreprises nationales, (iii) l’insertion de l’économie informelle en tenant compte de ses caractéristiques. Deux temporalités distinctes sont considérées avec, chacune, des objectifs spécifiques : le court-terme pour la sauvegarde de l’économie, grâce à des mesures préventives pour limiter la destruction des emplois et les faillites des entreprises ; le moyen/long terme pour accroitre la résilience et le caractère inclusif de l’économie, à travers une revisite globale des priorités des politiques économiques du Maroc.</w:t>
      </w:r>
    </w:p>
    <w:p w:rsidRPr="008238CC" w:rsidR="007915C2" w:rsidP="007915C2" w:rsidRDefault="007915C2" w14:paraId="3BEC1F74" w14:textId="77777777">
      <w:pPr>
        <w:spacing w:after="160" w:line="256" w:lineRule="auto"/>
        <w:jc w:val="left"/>
        <w:rPr>
          <w:rFonts w:ascii="Calibri" w:hAnsi="Calibri" w:eastAsia="Calibri" w:cs="Arial"/>
          <w:b/>
          <w:bCs/>
          <w:color w:val="000000"/>
          <w:u w:val="single"/>
        </w:rPr>
      </w:pPr>
      <w:r w:rsidRPr="008238CC">
        <w:rPr>
          <w:rFonts w:ascii="Calibri" w:hAnsi="Calibri" w:eastAsia="Calibri" w:cs="Arial"/>
          <w:b/>
          <w:bCs/>
          <w:color w:val="000000"/>
          <w:u w:val="single"/>
        </w:rPr>
        <w:t>Développer les secteurs stratégiques pour renforcer la souveraineté du pays</w:t>
      </w:r>
    </w:p>
    <w:p w:rsidRPr="008238CC" w:rsidR="007915C2" w:rsidP="007915C2" w:rsidRDefault="007915C2" w14:paraId="6C7F6B6C"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Partant de l’hypothèse que les crises majeures peuvent devenir de plus en plus fréquentes, avec des risques plus importants en termes de perturbation des approvisionnements sur les marchés mondiaux, le Maroc est appelé à renforcer son positionnement sur un certain nombre de secteurs vitaux pour réduire sa dépendance et sa vulnérabilité aux chocs extérieurs. Le renforcement de la souveraineté passe également par une réduction de la dépendance technologique du Maroc, à l’aide d’une stratégie intégrée de la R&amp;D et l’innovation. A moyen/long terme, notre pays est </w:t>
      </w:r>
      <w:r w:rsidRPr="008238CC">
        <w:rPr>
          <w:rFonts w:ascii="Calibri" w:hAnsi="Calibri" w:eastAsia="Calibri" w:cs="Calibri"/>
          <w:color w:val="000000"/>
          <w:vertAlign w:val="superscript"/>
        </w:rPr>
        <w:t>«</w:t>
      </w:r>
      <w:r w:rsidRPr="008238CC">
        <w:rPr>
          <w:rFonts w:ascii="Calibri" w:hAnsi="Calibri" w:eastAsia="Calibri" w:cs="Calibri"/>
          <w:color w:val="000000"/>
        </w:rPr>
        <w:t> condamné </w:t>
      </w:r>
      <w:r w:rsidRPr="008238CC">
        <w:rPr>
          <w:rFonts w:ascii="Calibri" w:hAnsi="Calibri" w:eastAsia="Calibri" w:cs="Calibri"/>
          <w:color w:val="000000"/>
          <w:vertAlign w:val="superscript"/>
        </w:rPr>
        <w:t>»</w:t>
      </w:r>
      <w:r w:rsidRPr="008238CC">
        <w:rPr>
          <w:rFonts w:ascii="Calibri" w:hAnsi="Calibri" w:eastAsia="Calibri" w:cs="Calibri"/>
          <w:color w:val="000000"/>
        </w:rPr>
        <w:t xml:space="preserve"> à transiter d’un consommateur net à un producteur net de connaissance dans les domaines scientifiques et technologiques de l’avenir, étant donné l’aspect cumulatif de la corrélation forte entre l’innovation et la compétitivité d’une économie. </w:t>
      </w:r>
    </w:p>
    <w:p w:rsidRPr="008238CC" w:rsidR="007915C2" w:rsidP="007915C2" w:rsidRDefault="007915C2" w14:paraId="6F48F69B" w14:textId="77777777">
      <w:pPr>
        <w:spacing w:after="160" w:line="256" w:lineRule="auto"/>
        <w:rPr>
          <w:rFonts w:ascii="Calibri" w:hAnsi="Calibri" w:eastAsia="Calibri" w:cs="Calibri"/>
          <w:color w:val="000000"/>
        </w:rPr>
      </w:pPr>
      <w:r w:rsidRPr="008238CC">
        <w:rPr>
          <w:rFonts w:ascii="Calibri" w:hAnsi="Calibri" w:eastAsia="Calibri" w:cs="Calibri"/>
          <w:color w:val="000000"/>
        </w:rPr>
        <w:t>Les recommandations de ce sixième axe portent sur les secteurs stratégiques révélés par la crise Covid-19, et dont le développement doit être maitrisé par notre pays afin de réduire sa dépendance vis-à-vis de l’étranger et accroître ainsi la résilience de son économie. Parmi les domaines stratégiques, il y a lieu de citer l’industrie pharmaceutique, le secteur alimentaire ou encore secteur énergétique, mais aussi l’écosystème de la R&amp;D et l’innovation.</w:t>
      </w:r>
    </w:p>
    <w:p w:rsidRPr="008238CC" w:rsidR="007915C2" w:rsidP="007915C2" w:rsidRDefault="007915C2" w14:paraId="5D29998F" w14:textId="77777777">
      <w:pPr>
        <w:spacing w:after="160" w:line="256" w:lineRule="auto"/>
        <w:jc w:val="left"/>
        <w:rPr>
          <w:rFonts w:ascii="Calibri" w:hAnsi="Calibri" w:eastAsia="Calibri" w:cs="Arial"/>
          <w:b/>
          <w:bCs/>
          <w:color w:val="000000"/>
          <w:u w:val="single"/>
        </w:rPr>
      </w:pPr>
      <w:r w:rsidRPr="008238CC">
        <w:rPr>
          <w:rFonts w:ascii="Calibri" w:hAnsi="Calibri" w:eastAsia="Calibri" w:cs="Arial"/>
          <w:b/>
          <w:bCs/>
          <w:color w:val="000000"/>
          <w:u w:val="single"/>
        </w:rPr>
        <w:t>Mettre en place une politique nationale intégrée et globale de transformation digitale</w:t>
      </w:r>
    </w:p>
    <w:p w:rsidRPr="008238CC" w:rsidR="007915C2" w:rsidP="007915C2" w:rsidRDefault="007915C2" w14:paraId="1FF4E987" w14:textId="77777777">
      <w:pPr>
        <w:spacing w:after="160" w:line="256" w:lineRule="auto"/>
        <w:rPr>
          <w:rFonts w:ascii="Calibri" w:hAnsi="Calibri" w:eastAsia="Calibri" w:cs="Calibri"/>
          <w:color w:val="000000"/>
        </w:rPr>
      </w:pPr>
      <w:r w:rsidRPr="008238CC">
        <w:rPr>
          <w:rFonts w:ascii="Calibri" w:hAnsi="Calibri" w:eastAsia="Calibri" w:cs="Calibri"/>
          <w:color w:val="000000"/>
        </w:rPr>
        <w:t>Le recours aux technologies digitales a connu un essor remarquable durant la crise de la Covid-19, au niveau du fonctionnement de l’administration publique, au niveau des habitudes des consommateurs et usagers, ainsi qu’au niveau des entreprises privées dont une partie a procédé à des changements significatifs en introduisant le digital dans le processus de production, dans la distribution, la promotion et la gestion des ressources humaines via le recours au travail à distance. La crise a en revanche montré que l’intégration du digital est loin d’être égalitaire au Maroc et que le risque d’élargissement de la fracture numérique entre aisés et pauvres, entre urbains et ruraux, demeure présent. L’accélération de la tendance mondiale vers des économies et des sociétés plus digitalisées impose au Maroc de faire de la digitalisation un chantier structurant, de portée stratégique.</w:t>
      </w:r>
    </w:p>
    <w:p w:rsidRPr="008238CC" w:rsidR="007915C2" w:rsidP="007915C2" w:rsidRDefault="007915C2" w14:paraId="11AFAD13" w14:textId="77777777">
      <w:pPr>
        <w:spacing w:after="160" w:line="256" w:lineRule="auto"/>
        <w:rPr>
          <w:rFonts w:ascii="Calibri" w:hAnsi="Calibri" w:eastAsia="Calibri" w:cs="Calibri"/>
          <w:color w:val="000000"/>
        </w:rPr>
      </w:pPr>
      <w:r w:rsidRPr="008238CC">
        <w:rPr>
          <w:rFonts w:ascii="Calibri" w:hAnsi="Calibri" w:eastAsia="Calibri" w:cs="Calibri"/>
          <w:color w:val="000000"/>
        </w:rPr>
        <w:t xml:space="preserve">Le septième et dernier axe porte donc sur ce levier transversal vital qui permet, d’une part, d’améliorer l’efficacité d’exécution de notre pays dans tous les domaines, notamment dans les services publics destinés aux citoyens et aux entreprises, les services sociaux de base et l’économie, et d’autre part, de remédier à certains problèmes structurels à moindre coût et dans des délais plus courts. Les recommandations associées à ce thème couvrent également la vision relative à la stratégie à suivre, ainsi que les voies pour élever le digital au rang de droit fondamental avec pour finalité une connectivité numérique de qualité, pour tous et partout.  </w:t>
      </w:r>
    </w:p>
    <w:p w:rsidRPr="008238CC" w:rsidR="007915C2" w:rsidP="00130B82" w:rsidRDefault="007915C2" w14:paraId="1B8F5AE4" w14:textId="77777777">
      <w:pPr>
        <w:spacing w:line="240" w:lineRule="auto"/>
        <w:jc w:val="center"/>
        <w:rPr>
          <w:sz w:val="24"/>
          <w:szCs w:val="24"/>
          <w:lang w:eastAsia="fr-BE"/>
        </w:rPr>
      </w:pPr>
      <w:r w:rsidRPr="008238CC">
        <w:rPr>
          <w:color w:val="000000"/>
        </w:rPr>
        <w:t>____________</w:t>
      </w:r>
    </w:p>
    <w:p w:rsidRPr="008238CC" w:rsidR="007915C2" w:rsidP="00E2376B" w:rsidRDefault="007915C2" w14:paraId="659E9E04" w14:textId="77777777"/>
    <w:p w:rsidRPr="008238CC" w:rsidR="00F53370" w:rsidRDefault="00F53370" w14:paraId="1120DA58" w14:textId="77777777"/>
    <w:sectPr w:rsidRPr="008238CC" w:rsidR="00F53370" w:rsidSect="001E74A1">
      <w:headerReference w:type="default" r:id="rId21"/>
      <w:footerReference w:type="default" r:id="rId22"/>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52E" w:rsidP="00F53370" w:rsidRDefault="00E5452E" w14:paraId="60375722" w14:textId="77777777">
      <w:pPr>
        <w:spacing w:line="240" w:lineRule="auto"/>
      </w:pPr>
      <w:r>
        <w:separator/>
      </w:r>
    </w:p>
  </w:endnote>
  <w:endnote w:type="continuationSeparator" w:id="0">
    <w:p w:rsidR="00E5452E" w:rsidP="00F53370" w:rsidRDefault="00E5452E" w14:paraId="6E71F19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85" w:rsidRDefault="00833285" w14:paraId="00A234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85" w:rsidRDefault="00833285" w14:paraId="5C29163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85" w:rsidRDefault="00833285" w14:paraId="266B0AE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14:paraId="73480FE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065C9" w:rsidR="0084105C" w:rsidP="00833285" w:rsidRDefault="00833285" w14:paraId="327D6A37" w14:textId="52B90FEE">
    <w:pPr>
      <w:pStyle w:val="Footer"/>
      <w:jc w:val="left"/>
    </w:pPr>
    <w:r>
      <w:t xml:space="preserve">REX/537 – EESC-2021-02760-00-01-AC-TRA (EN) </w:t>
    </w:r>
    <w:r>
      <w:fldChar w:fldCharType="begin"/>
    </w:r>
    <w:r>
      <w:instrText xml:space="preserve"> PAGE  \* Arabic  \* MERGEFORMAT </w:instrText>
    </w:r>
    <w:r>
      <w:fldChar w:fldCharType="separate"/>
    </w:r>
    <w:r>
      <w:rPr>
        <w:noProof/>
      </w:rPr>
      <w:t>19</w:t>
    </w:r>
    <w:r>
      <w:fldChar w:fldCharType="end"/>
    </w:r>
    <w:r>
      <w:t>/</w:t>
    </w:r>
    <w:r>
      <w:fldChar w:fldCharType="begin"/>
    </w:r>
    <w:r>
      <w:instrText xml:space="preserve"> = </w:instrText>
    </w:r>
    <w:r>
      <w:fldChar w:fldCharType="begin"/>
    </w:r>
    <w:r>
      <w:instrText xml:space="preserve"> NUMPAGES </w:instrText>
    </w:r>
    <w:r>
      <w:fldChar w:fldCharType="separate"/>
    </w:r>
    <w:r w:rsidR="00177999">
      <w:rPr>
        <w:noProof/>
      </w:rPr>
      <w:instrText>21</w:instrText>
    </w:r>
    <w:r>
      <w:fldChar w:fldCharType="end"/>
    </w:r>
    <w:r>
      <w:instrText xml:space="preserve"> - 2 </w:instrText>
    </w:r>
    <w:r>
      <w:fldChar w:fldCharType="separate"/>
    </w:r>
    <w:r w:rsidR="00177999">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52E" w:rsidP="00F53370" w:rsidRDefault="00E5452E" w14:paraId="3709E206" w14:textId="77777777">
      <w:pPr>
        <w:spacing w:line="240" w:lineRule="auto"/>
      </w:pPr>
      <w:r>
        <w:separator/>
      </w:r>
    </w:p>
  </w:footnote>
  <w:footnote w:type="continuationSeparator" w:id="0">
    <w:p w:rsidR="00E5452E" w:rsidP="00F53370" w:rsidRDefault="00E5452E" w14:paraId="1B1FF85E" w14:textId="77777777">
      <w:pPr>
        <w:spacing w:line="240" w:lineRule="auto"/>
      </w:pPr>
      <w:r>
        <w:continuationSeparator/>
      </w:r>
    </w:p>
  </w:footnote>
  <w:footnote w:id="1">
    <w:p w:rsidRPr="007D2117" w:rsidR="007915C2" w:rsidP="007915C2" w:rsidRDefault="007915C2" w14:paraId="1F4284B4" w14:textId="6BC85D81">
      <w:pPr>
        <w:pStyle w:val="Heading1"/>
        <w:numPr>
          <w:ilvl w:val="0"/>
          <w:numId w:val="0"/>
        </w:numPr>
        <w:spacing w:after="60" w:line="240" w:lineRule="auto"/>
        <w:ind w:left="567" w:hanging="567"/>
        <w:rPr>
          <w:rStyle w:val="FootnoteTextChar"/>
        </w:rPr>
      </w:pPr>
      <w:r w:rsidRPr="008238CC">
        <w:rPr>
          <w:rStyle w:val="FootnoteReference"/>
        </w:rPr>
        <w:footnoteRef/>
      </w:r>
      <w:r w:rsidRPr="008238CC">
        <w:tab/>
      </w:r>
      <w:r w:rsidRPr="007D2117">
        <w:rPr>
          <w:rStyle w:val="FootnoteTextChar"/>
        </w:rPr>
        <w:t>This information report also complements recent EESC opinions on this subject, in particular: Recovery and Resilience Facility and Technical Support Instrument</w:t>
      </w:r>
      <w:r w:rsidRPr="00177999" w:rsidR="00097244">
        <w:rPr>
          <w:i/>
          <w:iCs/>
          <w:sz w:val="16"/>
        </w:rPr>
        <w:t xml:space="preserve"> </w:t>
      </w:r>
      <w:hyperlink w:history="1" r:id="rId1">
        <w:r w:rsidRPr="00B6741E" w:rsidR="00097244">
          <w:rPr>
            <w:rStyle w:val="Hyperlink"/>
            <w:i/>
            <w:iCs/>
            <w:sz w:val="16"/>
          </w:rPr>
          <w:t>OJ C 364, 28.10.2020, p. 132</w:t>
        </w:r>
      </w:hyperlink>
      <w:r w:rsidRPr="007D2117">
        <w:rPr>
          <w:rStyle w:val="FootnoteTextChar"/>
        </w:rPr>
        <w:t>; ECO/515 Coronavirus Response Investment Initiative Regulation</w:t>
      </w:r>
      <w:r w:rsidRPr="007D2117" w:rsidR="005D11D8">
        <w:rPr>
          <w:rStyle w:val="FootnoteTextChar"/>
        </w:rPr>
        <w:t xml:space="preserve"> (not yet published in OJ)</w:t>
      </w:r>
      <w:r w:rsidRPr="007D2117">
        <w:rPr>
          <w:rStyle w:val="FootnoteTextChar"/>
        </w:rPr>
        <w:t>;</w:t>
      </w:r>
      <w:r w:rsidRPr="007D2117">
        <w:rPr>
          <w:rStyle w:val="FootnoteTextChar"/>
          <w:i/>
          <w:iCs/>
        </w:rPr>
        <w:t xml:space="preserve"> </w:t>
      </w:r>
      <w:r w:rsidRPr="007D2117">
        <w:rPr>
          <w:rStyle w:val="FootnoteTextChar"/>
        </w:rPr>
        <w:t>A post COVID</w:t>
      </w:r>
      <w:r w:rsidRPr="007D2117">
        <w:rPr>
          <w:rStyle w:val="FootnoteTextChar"/>
        </w:rPr>
        <w:noBreakHyphen/>
        <w:t>19 emergency: the design of a New Multilateral Matrix</w:t>
      </w:r>
      <w:r w:rsidRPr="007D2117" w:rsidR="00744D6A">
        <w:rPr>
          <w:rStyle w:val="FootnoteTextChar"/>
        </w:rPr>
        <w:t>,</w:t>
      </w:r>
      <w:r w:rsidRPr="007D2117" w:rsidR="00744D6A">
        <w:rPr>
          <w:i/>
          <w:iCs/>
        </w:rPr>
        <w:t xml:space="preserve"> </w:t>
      </w:r>
      <w:hyperlink w:history="1" r:id="rId2">
        <w:r w:rsidRPr="00B6741E" w:rsidR="00744D6A">
          <w:rPr>
            <w:rStyle w:val="Hyperlink"/>
            <w:i/>
            <w:iCs/>
            <w:sz w:val="16"/>
          </w:rPr>
          <w:t>OJ C 364, 28.10.2020, p. 53</w:t>
        </w:r>
      </w:hyperlink>
      <w:r w:rsidRPr="007D2117">
        <w:rPr>
          <w:rStyle w:val="FootnoteTextChar"/>
        </w:rPr>
        <w:t>.</w:t>
      </w:r>
    </w:p>
  </w:footnote>
  <w:footnote w:id="2">
    <w:p w:rsidRPr="008238CC" w:rsidR="007915C2" w:rsidP="007915C2" w:rsidRDefault="007915C2" w14:paraId="55E9BE89" w14:textId="77777777">
      <w:pPr>
        <w:pStyle w:val="FootnoteText"/>
      </w:pPr>
      <w:r w:rsidRPr="008238CC">
        <w:rPr>
          <w:rStyle w:val="FootnoteReference"/>
        </w:rPr>
        <w:footnoteRef/>
      </w:r>
      <w:r w:rsidRPr="008238CC">
        <w:tab/>
      </w:r>
      <w:hyperlink w:history="1" r:id="rId3">
        <w:r w:rsidRPr="008238CC">
          <w:rPr>
            <w:rStyle w:val="Hyperlink"/>
          </w:rPr>
          <w:t>https://meddialogue.eu/wp-content/uploads/2021/02/Publication-Bridging-the-sea.pdf</w:t>
        </w:r>
      </w:hyperlink>
      <w:r w:rsidRPr="008238CC">
        <w:t>.</w:t>
      </w:r>
    </w:p>
  </w:footnote>
  <w:footnote w:id="3">
    <w:p w:rsidRPr="008238CC" w:rsidR="007915C2" w:rsidP="007915C2" w:rsidRDefault="007915C2" w14:paraId="033F831C" w14:textId="77777777">
      <w:pPr>
        <w:pStyle w:val="FootnoteText"/>
      </w:pPr>
      <w:r w:rsidRPr="008238CC">
        <w:rPr>
          <w:rStyle w:val="FootnoteReference"/>
        </w:rPr>
        <w:footnoteRef/>
      </w:r>
      <w:r w:rsidRPr="008238CC">
        <w:tab/>
      </w:r>
      <w:hyperlink w:history="1" r:id="rId4">
        <w:r w:rsidRPr="008238CC">
          <w:rPr>
            <w:rStyle w:val="Hyperlink"/>
          </w:rPr>
          <w:t>https://read.oecd-ilibrary.org/view/?ref=124_124984-7uf8nm95se&amp;title=Covid-19_Tourism_Policy_Responses&amp;_ga=2.143901749.1647750476.1622806508-1692148678.1622806341</w:t>
        </w:r>
      </w:hyperlink>
      <w:r w:rsidRPr="008238CC">
        <w:t>.</w:t>
      </w:r>
    </w:p>
  </w:footnote>
  <w:footnote w:id="4">
    <w:p w:rsidRPr="008238CC" w:rsidR="007915C2" w:rsidP="007915C2" w:rsidRDefault="007915C2" w14:paraId="36958DE2" w14:textId="77777777">
      <w:pPr>
        <w:pStyle w:val="FootnoteText"/>
      </w:pPr>
      <w:r w:rsidRPr="008238CC">
        <w:rPr>
          <w:rStyle w:val="FootnoteReference"/>
        </w:rPr>
        <w:footnoteRef/>
      </w:r>
      <w:r w:rsidRPr="008238CC">
        <w:tab/>
      </w:r>
      <w:hyperlink w:history="1" r:id="rId5">
        <w:r w:rsidRPr="008238CC">
          <w:rPr>
            <w:rStyle w:val="Hyperlink"/>
          </w:rPr>
          <w:t>https://unctad.org/system/files/official-document/ditcinf2020d3_en.pdf</w:t>
        </w:r>
      </w:hyperlink>
      <w:r w:rsidRPr="008238CC">
        <w:t>.</w:t>
      </w:r>
    </w:p>
  </w:footnote>
  <w:footnote w:id="5">
    <w:p w:rsidRPr="008238CC" w:rsidR="007915C2" w:rsidP="007915C2" w:rsidRDefault="007915C2" w14:paraId="2270E03C" w14:textId="4E936416">
      <w:pPr>
        <w:pStyle w:val="FootnoteText"/>
      </w:pPr>
      <w:r w:rsidRPr="008238CC">
        <w:rPr>
          <w:rStyle w:val="FootnoteReference"/>
        </w:rPr>
        <w:footnoteRef/>
      </w:r>
      <w:r w:rsidRPr="008238CC">
        <w:tab/>
      </w:r>
      <w:hyperlink w:history="1" r:id="rId6">
        <w:r w:rsidRPr="008238CC">
          <w:rPr>
            <w:rStyle w:val="Hyperlink"/>
          </w:rPr>
          <w:t>UfM Foreign Affairs Ministers set priority areas for stronger cooperation and integration in the Euro-Mediterranean region – Union for the Mediterranean – UfM (ufmsecretariat.org)</w:t>
        </w:r>
      </w:hyperlink>
      <w:r w:rsidRPr="008238CC">
        <w:t>.</w:t>
      </w:r>
    </w:p>
  </w:footnote>
  <w:footnote w:id="6">
    <w:p w:rsidRPr="008238CC" w:rsidR="007915C2" w:rsidP="007915C2" w:rsidRDefault="007915C2" w14:paraId="5F573310" w14:textId="4DBCC9BA">
      <w:pPr>
        <w:pStyle w:val="FootnoteText"/>
      </w:pPr>
      <w:r w:rsidRPr="008238CC">
        <w:rPr>
          <w:rStyle w:val="FootnoteReference"/>
        </w:rPr>
        <w:footnoteRef/>
      </w:r>
      <w:r w:rsidRPr="008238CC">
        <w:tab/>
      </w:r>
      <w:hyperlink w:history="1" r:id="rId7">
        <w:r w:rsidRPr="008238CC">
          <w:rPr>
            <w:rStyle w:val="Hyperlink"/>
          </w:rPr>
          <w:t>https://www.2021portugal.eu/en/porto-social-summit/porto-social-commitment/</w:t>
        </w:r>
      </w:hyperlink>
      <w:r w:rsidRPr="008238CC">
        <w:t>.</w:t>
      </w:r>
    </w:p>
  </w:footnote>
  <w:footnote w:id="7">
    <w:p w:rsidRPr="008238CC" w:rsidR="007915C2" w:rsidP="007915C2" w:rsidRDefault="007915C2" w14:paraId="2F4EE1C7" w14:textId="77777777">
      <w:pPr>
        <w:pStyle w:val="FootnoteText"/>
        <w:rPr>
          <w:szCs w:val="16"/>
        </w:rPr>
      </w:pPr>
      <w:r w:rsidRPr="008238CC">
        <w:rPr>
          <w:rStyle w:val="FootnoteReference"/>
          <w:szCs w:val="24"/>
        </w:rPr>
        <w:footnoteRef/>
      </w:r>
      <w:r w:rsidRPr="008238CC">
        <w:rPr>
          <w:szCs w:val="16"/>
        </w:rPr>
        <w:tab/>
        <w:t>Les prévisions de croissance, tout en demeurant entourées de fortes incertitudes, tablent sur une contraction importante du PIB mondial de l’ordre de -4,4%, soit près de 2,6 fois la baisse enregistrée par l’économie mondiale en 2009 suite à la crise financière. Pour leur part, les échanges commerciaux ont baissé de près de 3,5 % en glissement annuel au cours du premier trimestre, en raison de la faiblesse de la demande, de l’effondrement du tourisme international, et des ruptures d’approvisionnement provoquées par les mesures de confinement, parfois encore aggravées par des restrictions sur les échanges. Enfin, la Banque mondiale estime que plus de 100 millions de personnes tomberont dans l’extrême pauvreté</w:t>
      </w:r>
      <w:r w:rsidRPr="008238CC">
        <w:rPr>
          <w:rFonts w:cs="Calibri"/>
          <w:szCs w:val="16"/>
        </w:rPr>
        <w:t>, tandis que la FAO évalue à 451 millions (35%) le nombre d’emplois formels dans les systèmes alimentaires seraient amenés à disparaitre du fait de la pandémie de la Covid-19.</w:t>
      </w:r>
    </w:p>
  </w:footnote>
  <w:footnote w:id="8">
    <w:p w:rsidRPr="008238CC" w:rsidR="007915C2" w:rsidP="007915C2" w:rsidRDefault="007915C2" w14:paraId="00385787" w14:textId="77777777">
      <w:pPr>
        <w:spacing w:after="60" w:line="240" w:lineRule="auto"/>
        <w:ind w:left="567" w:hanging="567"/>
        <w:rPr>
          <w:rFonts w:cs="Calibri"/>
          <w:sz w:val="16"/>
          <w:szCs w:val="16"/>
        </w:rPr>
      </w:pPr>
      <w:r w:rsidRPr="008238CC">
        <w:rPr>
          <w:rStyle w:val="FootnoteReference"/>
          <w:rFonts w:cs="Calibri"/>
          <w:szCs w:val="24"/>
        </w:rPr>
        <w:footnoteRef/>
      </w:r>
      <w:r w:rsidRPr="008238CC">
        <w:rPr>
          <w:rFonts w:cs="Calibri"/>
          <w:sz w:val="16"/>
          <w:szCs w:val="16"/>
        </w:rPr>
        <w:tab/>
        <w:t>UN, Covid 19 et droits humains, Réagissons ensemble, avril 2020.</w:t>
      </w:r>
    </w:p>
  </w:footnote>
  <w:footnote w:id="9">
    <w:p w:rsidRPr="008238CC" w:rsidR="007915C2" w:rsidP="007915C2" w:rsidRDefault="007915C2" w14:paraId="0C828D6B" w14:textId="77777777">
      <w:pPr>
        <w:pStyle w:val="FootnoteText"/>
        <w:rPr>
          <w:szCs w:val="16"/>
        </w:rPr>
      </w:pPr>
      <w:r w:rsidRPr="008238CC">
        <w:rPr>
          <w:rStyle w:val="FootnoteReference"/>
          <w:szCs w:val="24"/>
        </w:rPr>
        <w:footnoteRef/>
      </w:r>
      <w:r w:rsidRPr="008238CC">
        <w:rPr>
          <w:szCs w:val="16"/>
        </w:rPr>
        <w:tab/>
        <w:t>Loi de finances rectificative 2020.</w:t>
      </w:r>
    </w:p>
  </w:footnote>
  <w:footnote w:id="10">
    <w:p w:rsidRPr="008238CC" w:rsidR="007915C2" w:rsidP="007915C2" w:rsidRDefault="007915C2" w14:paraId="0777FE45" w14:textId="77777777">
      <w:pPr>
        <w:pStyle w:val="FootnoteText"/>
        <w:rPr>
          <w:szCs w:val="16"/>
        </w:rPr>
      </w:pPr>
      <w:r w:rsidRPr="008238CC">
        <w:rPr>
          <w:rStyle w:val="FootnoteReference"/>
          <w:szCs w:val="24"/>
        </w:rPr>
        <w:footnoteRef/>
      </w:r>
      <w:r w:rsidRPr="008238CC">
        <w:rPr>
          <w:szCs w:val="16"/>
        </w:rPr>
        <w:tab/>
        <w:t>Financée grâce au Fonds spécial Covid</w:t>
      </w:r>
    </w:p>
  </w:footnote>
  <w:footnote w:id="11">
    <w:p w:rsidRPr="008238CC" w:rsidR="007915C2" w:rsidP="007915C2" w:rsidRDefault="007915C2" w14:paraId="216247FE" w14:textId="77777777">
      <w:pPr>
        <w:pStyle w:val="FootnoteText"/>
        <w:rPr>
          <w:szCs w:val="16"/>
        </w:rPr>
      </w:pPr>
      <w:r w:rsidRPr="008238CC">
        <w:rPr>
          <w:rStyle w:val="FootnoteReference"/>
          <w:szCs w:val="24"/>
        </w:rPr>
        <w:footnoteRef/>
      </w:r>
      <w:r w:rsidRPr="008238CC">
        <w:rPr>
          <w:szCs w:val="16"/>
        </w:rPr>
        <w:tab/>
        <w:t>CSEFRS, « une école de justice sociale : Contribution à la réflexion sur le modèle de développement »,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A1021A" w14:paraId="6EA2AF09" w14:textId="77777777">
    <w:pPr>
      <w:pStyle w:val="Header"/>
    </w:pPr>
    <w:r>
      <w:rPr>
        <w:noProof/>
        <w:lang w:val="fr-BE" w:eastAsia="fr-BE"/>
      </w:rPr>
      <w:pict w14:anchorId="60EB5CC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4" style="position:absolute;left:0;text-align:left;margin-left:0;margin-top:0;width:598.15pt;height:843.9pt;z-index:-251655168;mso-position-horizontal:center;mso-position-horizontal-relative:margin;mso-position-vertical:center;mso-position-vertical-relative:margin" o:spid="_x0000_s2055" o:allowincell="f" type="#_x0000_t75">
          <v:imagedata o:title="background watermark with footer" r:id="rId1"/>
          <w10:wrap anchorx="margin" anchory="margin"/>
        </v:shape>
      </w:pic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E27707" w14:paraId="18A244EA" w14:textId="77777777">
    <w:pPr>
      <w:pStyle w:val="Header"/>
    </w:pPr>
    <w:r>
      <w:rPr>
        <w:noProof/>
        <w:lang w:val="en-US"/>
      </w:rPr>
      <w:drawing>
        <wp:anchor distT="0" distB="0" distL="114300" distR="114300" simplePos="0" relativeHeight="251659264" behindDoc="0" locked="0" layoutInCell="1" allowOverlap="1" wp14:editId="30556125" wp14:anchorId="40524CB4">
          <wp:simplePos x="898497" y="453224"/>
          <wp:positionH relativeFrom="page">
            <wp:align>center</wp:align>
          </wp:positionH>
          <wp:positionV relativeFrom="page">
            <wp:posOffset>288290</wp:posOffset>
          </wp:positionV>
          <wp:extent cx="6944398" cy="3344276"/>
          <wp:effectExtent l="0" t="0" r="0" b="8890"/>
          <wp:wrapNone/>
          <wp:docPr id="6" name="Picture 6"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r w:rsidR="00A1021A">
      <w:rPr>
        <w:noProof/>
        <w:lang w:val="fr-BE" w:eastAsia="fr-BE"/>
      </w:rPr>
      <w:pict w14:anchorId="567C946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5" style="position:absolute;left:0;text-align:left;margin-left:0;margin-top:0;width:598.15pt;height:843.9pt;z-index:-251654144;mso-position-horizontal:center;mso-position-horizontal-relative:page;mso-position-vertical:center;mso-position-vertical-relative:page" o:spid="_x0000_s2056" o:allowincell="f" type="#_x0000_t75">
          <v:imagedata o:title="background watermark with footer" r:id="rId2"/>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A1021A" w14:paraId="76B64A78" w14:textId="77777777">
    <w:pPr>
      <w:pStyle w:val="Header"/>
    </w:pPr>
    <w:r>
      <w:rPr>
        <w:noProof/>
        <w:lang w:val="fr-BE" w:eastAsia="fr-BE"/>
      </w:rPr>
      <w:pict w14:anchorId="0456ADC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3" style="position:absolute;left:0;text-align:left;margin-left:0;margin-top:0;width:598.15pt;height:843.9pt;z-index:-251656192;mso-position-horizontal:center;mso-position-horizontal-relative:margin;mso-position-vertical:center;mso-position-vertical-relative:margin" o:spid="_x0000_s2054" o:allowincell="f" type="#_x0000_t75">
          <v:imagedata o:title="background watermark with footer" r:id="rId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A1021A" w14:paraId="0C150805" w14:textId="77777777">
    <w:pPr>
      <w:pStyle w:val="Header"/>
    </w:pPr>
    <w:r>
      <w:rPr>
        <w:noProof/>
        <w:lang w:val="fr-BE" w:eastAsia="fr-BE"/>
      </w:rPr>
      <w:pict w14:anchorId="0C5499A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7" style="position:absolute;left:0;text-align:left;margin-left:0;margin-top:0;width:598.15pt;height:843.9pt;z-index:-251652096;mso-position-horizontal:center;mso-position-horizontal-relative:margin;mso-position-vertical:center;mso-position-vertical-relative:margin" o:spid="_x0000_s2058" o:allowincell="f" type="#_x0000_t75">
          <v:imagedata o:title="background watermark with footer" r:id="rId1"/>
          <w10:wrap anchorx="margin" anchory="margin"/>
        </v:shape>
      </w:pict>
    </w: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14:paraId="67E88FE4" w14:textId="77777777">
    <w:pPr>
      <w:pStyle w:val="Header"/>
    </w:pPr>
    <w:r>
      <w:rPr>
        <w:noProof/>
        <w:lang w:val="en-US"/>
      </w:rPr>
      <w:drawing>
        <wp:anchor distT="0" distB="0" distL="114300" distR="114300" simplePos="0" relativeHeight="251665408" behindDoc="1" locked="0" layoutInCell="1" allowOverlap="1" wp14:editId="44242037" wp14:anchorId="2496B17F">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A1021A" w14:paraId="4E7C3971" w14:textId="77777777">
    <w:pPr>
      <w:pStyle w:val="Header"/>
    </w:pPr>
    <w:r>
      <w:rPr>
        <w:noProof/>
        <w:lang w:val="fr-BE" w:eastAsia="fr-BE"/>
      </w:rPr>
      <w:pict w14:anchorId="38F4B7F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638596" style="position:absolute;left:0;text-align:left;margin-left:0;margin-top:0;width:598.15pt;height:843.9pt;z-index:-251653120;mso-position-horizontal:center;mso-position-horizontal-relative:margin;mso-position-vertical:center;mso-position-vertical-relative:margin" o:spid="_x0000_s2057" o:allowincell="f" type="#_x0000_t75">
          <v:imagedata o:title="background watermark with footer" r:id="rId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F8" w:rsidRDefault="00A1021A" w14:paraId="3F95EB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6F0B43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520F59E6"/>
    <w:multiLevelType w:val="hybridMultilevel"/>
    <w:tmpl w:val="BC3017EA"/>
    <w:lvl w:ilvl="0" w:tplc="C7F2456C">
      <w:start w:val="21"/>
      <w:numFmt w:val="bullet"/>
      <w:lvlText w:val="-"/>
      <w:lvlJc w:val="left"/>
      <w:pPr>
        <w:ind w:left="720" w:hanging="360"/>
      </w:pPr>
      <w:rPr>
        <w:rFonts w:ascii="Calibri" w:eastAsia="Calibri" w:hAnsi="Calibri" w:cs="Calibri" w:hint="default"/>
        <w:color w:val="auto"/>
      </w:rPr>
    </w:lvl>
    <w:lvl w:ilvl="1" w:tplc="380C0003">
      <w:start w:val="1"/>
      <w:numFmt w:val="bullet"/>
      <w:lvlText w:val="o"/>
      <w:lvlJc w:val="left"/>
      <w:pPr>
        <w:ind w:left="1440" w:hanging="360"/>
      </w:pPr>
      <w:rPr>
        <w:rFonts w:ascii="Courier New" w:hAnsi="Courier New" w:cs="Courier New" w:hint="default"/>
      </w:rPr>
    </w:lvl>
    <w:lvl w:ilvl="2" w:tplc="380C0005">
      <w:start w:val="1"/>
      <w:numFmt w:val="bullet"/>
      <w:lvlText w:val=""/>
      <w:lvlJc w:val="left"/>
      <w:pPr>
        <w:ind w:left="2160" w:hanging="360"/>
      </w:pPr>
      <w:rPr>
        <w:rFonts w:ascii="Wingdings" w:hAnsi="Wingdings" w:hint="default"/>
      </w:rPr>
    </w:lvl>
    <w:lvl w:ilvl="3" w:tplc="380C0001">
      <w:start w:val="1"/>
      <w:numFmt w:val="bullet"/>
      <w:lvlText w:val=""/>
      <w:lvlJc w:val="left"/>
      <w:pPr>
        <w:ind w:left="2880" w:hanging="360"/>
      </w:pPr>
      <w:rPr>
        <w:rFonts w:ascii="Symbol" w:hAnsi="Symbol" w:hint="default"/>
      </w:rPr>
    </w:lvl>
    <w:lvl w:ilvl="4" w:tplc="380C0003">
      <w:start w:val="1"/>
      <w:numFmt w:val="bullet"/>
      <w:lvlText w:val="o"/>
      <w:lvlJc w:val="left"/>
      <w:pPr>
        <w:ind w:left="3600" w:hanging="360"/>
      </w:pPr>
      <w:rPr>
        <w:rFonts w:ascii="Courier New" w:hAnsi="Courier New" w:cs="Courier New" w:hint="default"/>
      </w:rPr>
    </w:lvl>
    <w:lvl w:ilvl="5" w:tplc="380C0005">
      <w:start w:val="1"/>
      <w:numFmt w:val="bullet"/>
      <w:lvlText w:val=""/>
      <w:lvlJc w:val="left"/>
      <w:pPr>
        <w:ind w:left="4320" w:hanging="360"/>
      </w:pPr>
      <w:rPr>
        <w:rFonts w:ascii="Wingdings" w:hAnsi="Wingdings" w:hint="default"/>
      </w:rPr>
    </w:lvl>
    <w:lvl w:ilvl="6" w:tplc="380C0001">
      <w:start w:val="1"/>
      <w:numFmt w:val="bullet"/>
      <w:lvlText w:val=""/>
      <w:lvlJc w:val="left"/>
      <w:pPr>
        <w:ind w:left="5040" w:hanging="360"/>
      </w:pPr>
      <w:rPr>
        <w:rFonts w:ascii="Symbol" w:hAnsi="Symbol" w:hint="default"/>
      </w:rPr>
    </w:lvl>
    <w:lvl w:ilvl="7" w:tplc="380C0003">
      <w:start w:val="1"/>
      <w:numFmt w:val="bullet"/>
      <w:lvlText w:val="o"/>
      <w:lvlJc w:val="left"/>
      <w:pPr>
        <w:ind w:left="5760" w:hanging="360"/>
      </w:pPr>
      <w:rPr>
        <w:rFonts w:ascii="Courier New" w:hAnsi="Courier New" w:cs="Courier New" w:hint="default"/>
      </w:rPr>
    </w:lvl>
    <w:lvl w:ilvl="8" w:tplc="380C0005">
      <w:start w:val="1"/>
      <w:numFmt w:val="bullet"/>
      <w:lvlText w:val=""/>
      <w:lvlJc w:val="left"/>
      <w:pPr>
        <w:ind w:left="6480" w:hanging="360"/>
      </w:pPr>
      <w:rPr>
        <w:rFonts w:ascii="Wingdings" w:hAnsi="Wingdings" w:hint="default"/>
      </w:rPr>
    </w:lvl>
  </w:abstractNum>
  <w:abstractNum w:abstractNumId="2" w15:restartNumberingAfterBreak="0">
    <w:nsid w:val="59D7533B"/>
    <w:multiLevelType w:val="hybridMultilevel"/>
    <w:tmpl w:val="804C4F40"/>
    <w:lvl w:ilvl="0" w:tplc="380C001B">
      <w:start w:val="1"/>
      <w:numFmt w:val="lowerRoman"/>
      <w:lvlText w:val="%1."/>
      <w:lvlJc w:val="right"/>
      <w:pPr>
        <w:ind w:left="720" w:hanging="360"/>
      </w:pPr>
    </w:lvl>
    <w:lvl w:ilvl="1" w:tplc="380C0003">
      <w:start w:val="1"/>
      <w:numFmt w:val="bullet"/>
      <w:lvlText w:val="o"/>
      <w:lvlJc w:val="left"/>
      <w:pPr>
        <w:ind w:left="1440" w:hanging="360"/>
      </w:pPr>
      <w:rPr>
        <w:rFonts w:ascii="Courier New" w:hAnsi="Courier New" w:cs="Courier New" w:hint="default"/>
      </w:rPr>
    </w:lvl>
    <w:lvl w:ilvl="2" w:tplc="380C0005">
      <w:start w:val="1"/>
      <w:numFmt w:val="bullet"/>
      <w:lvlText w:val=""/>
      <w:lvlJc w:val="left"/>
      <w:pPr>
        <w:ind w:left="2160" w:hanging="360"/>
      </w:pPr>
      <w:rPr>
        <w:rFonts w:ascii="Wingdings" w:hAnsi="Wingdings" w:hint="default"/>
      </w:rPr>
    </w:lvl>
    <w:lvl w:ilvl="3" w:tplc="380C0001">
      <w:start w:val="1"/>
      <w:numFmt w:val="bullet"/>
      <w:lvlText w:val=""/>
      <w:lvlJc w:val="left"/>
      <w:pPr>
        <w:ind w:left="2880" w:hanging="360"/>
      </w:pPr>
      <w:rPr>
        <w:rFonts w:ascii="Symbol" w:hAnsi="Symbol" w:hint="default"/>
      </w:rPr>
    </w:lvl>
    <w:lvl w:ilvl="4" w:tplc="380C0003">
      <w:start w:val="1"/>
      <w:numFmt w:val="bullet"/>
      <w:lvlText w:val="o"/>
      <w:lvlJc w:val="left"/>
      <w:pPr>
        <w:ind w:left="3600" w:hanging="360"/>
      </w:pPr>
      <w:rPr>
        <w:rFonts w:ascii="Courier New" w:hAnsi="Courier New" w:cs="Courier New" w:hint="default"/>
      </w:rPr>
    </w:lvl>
    <w:lvl w:ilvl="5" w:tplc="380C0005">
      <w:start w:val="1"/>
      <w:numFmt w:val="bullet"/>
      <w:lvlText w:val=""/>
      <w:lvlJc w:val="left"/>
      <w:pPr>
        <w:ind w:left="4320" w:hanging="360"/>
      </w:pPr>
      <w:rPr>
        <w:rFonts w:ascii="Wingdings" w:hAnsi="Wingdings" w:hint="default"/>
      </w:rPr>
    </w:lvl>
    <w:lvl w:ilvl="6" w:tplc="380C0001">
      <w:start w:val="1"/>
      <w:numFmt w:val="bullet"/>
      <w:lvlText w:val=""/>
      <w:lvlJc w:val="left"/>
      <w:pPr>
        <w:ind w:left="5040" w:hanging="360"/>
      </w:pPr>
      <w:rPr>
        <w:rFonts w:ascii="Symbol" w:hAnsi="Symbol" w:hint="default"/>
      </w:rPr>
    </w:lvl>
    <w:lvl w:ilvl="7" w:tplc="380C0003">
      <w:start w:val="1"/>
      <w:numFmt w:val="bullet"/>
      <w:lvlText w:val="o"/>
      <w:lvlJc w:val="left"/>
      <w:pPr>
        <w:ind w:left="5760" w:hanging="360"/>
      </w:pPr>
      <w:rPr>
        <w:rFonts w:ascii="Courier New" w:hAnsi="Courier New" w:cs="Courier New" w:hint="default"/>
      </w:rPr>
    </w:lvl>
    <w:lvl w:ilvl="8" w:tplc="380C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02871"/>
    <w:rsid w:val="00020389"/>
    <w:rsid w:val="00053D00"/>
    <w:rsid w:val="00097244"/>
    <w:rsid w:val="000A0F3B"/>
    <w:rsid w:val="000B4E1D"/>
    <w:rsid w:val="00130B82"/>
    <w:rsid w:val="00177999"/>
    <w:rsid w:val="0019231D"/>
    <w:rsid w:val="001D61AC"/>
    <w:rsid w:val="001E15AA"/>
    <w:rsid w:val="001E3FA1"/>
    <w:rsid w:val="00200E87"/>
    <w:rsid w:val="00214BDC"/>
    <w:rsid w:val="00215E81"/>
    <w:rsid w:val="0024727F"/>
    <w:rsid w:val="002B6A7B"/>
    <w:rsid w:val="00305BCF"/>
    <w:rsid w:val="003353D7"/>
    <w:rsid w:val="003659F9"/>
    <w:rsid w:val="00373016"/>
    <w:rsid w:val="003E6C87"/>
    <w:rsid w:val="004C2B98"/>
    <w:rsid w:val="00564A31"/>
    <w:rsid w:val="00574C9B"/>
    <w:rsid w:val="0058411F"/>
    <w:rsid w:val="005D11D8"/>
    <w:rsid w:val="006125A1"/>
    <w:rsid w:val="00653E7D"/>
    <w:rsid w:val="00662207"/>
    <w:rsid w:val="00667F09"/>
    <w:rsid w:val="006B4554"/>
    <w:rsid w:val="006B57A6"/>
    <w:rsid w:val="006D53A6"/>
    <w:rsid w:val="00744D6A"/>
    <w:rsid w:val="007845FC"/>
    <w:rsid w:val="00787837"/>
    <w:rsid w:val="00787ABB"/>
    <w:rsid w:val="007915C2"/>
    <w:rsid w:val="007B6C64"/>
    <w:rsid w:val="007D2117"/>
    <w:rsid w:val="00814794"/>
    <w:rsid w:val="00822952"/>
    <w:rsid w:val="008238CC"/>
    <w:rsid w:val="00833285"/>
    <w:rsid w:val="00836505"/>
    <w:rsid w:val="00844B87"/>
    <w:rsid w:val="00875460"/>
    <w:rsid w:val="0089251B"/>
    <w:rsid w:val="008A6DD4"/>
    <w:rsid w:val="008F74D7"/>
    <w:rsid w:val="00904C42"/>
    <w:rsid w:val="00906DAC"/>
    <w:rsid w:val="00924C05"/>
    <w:rsid w:val="00937CF2"/>
    <w:rsid w:val="00976645"/>
    <w:rsid w:val="00976F77"/>
    <w:rsid w:val="0098228C"/>
    <w:rsid w:val="009976D5"/>
    <w:rsid w:val="009C4100"/>
    <w:rsid w:val="009D44AD"/>
    <w:rsid w:val="009E2100"/>
    <w:rsid w:val="00A36AB0"/>
    <w:rsid w:val="00AB37A3"/>
    <w:rsid w:val="00AC2634"/>
    <w:rsid w:val="00AC5114"/>
    <w:rsid w:val="00B25683"/>
    <w:rsid w:val="00B51901"/>
    <w:rsid w:val="00B6741E"/>
    <w:rsid w:val="00BD50F6"/>
    <w:rsid w:val="00BF5BA2"/>
    <w:rsid w:val="00C073E1"/>
    <w:rsid w:val="00C25647"/>
    <w:rsid w:val="00C33893"/>
    <w:rsid w:val="00C66AEA"/>
    <w:rsid w:val="00C9040A"/>
    <w:rsid w:val="00C91E4D"/>
    <w:rsid w:val="00CA20FD"/>
    <w:rsid w:val="00CB110A"/>
    <w:rsid w:val="00CB7CD0"/>
    <w:rsid w:val="00D039AF"/>
    <w:rsid w:val="00D95232"/>
    <w:rsid w:val="00D95FB9"/>
    <w:rsid w:val="00DA1AA8"/>
    <w:rsid w:val="00DB7F50"/>
    <w:rsid w:val="00DE30C7"/>
    <w:rsid w:val="00DF400F"/>
    <w:rsid w:val="00E15BF4"/>
    <w:rsid w:val="00E2376B"/>
    <w:rsid w:val="00E26935"/>
    <w:rsid w:val="00E27707"/>
    <w:rsid w:val="00E52B04"/>
    <w:rsid w:val="00E5452E"/>
    <w:rsid w:val="00E661B7"/>
    <w:rsid w:val="00E70911"/>
    <w:rsid w:val="00F2069F"/>
    <w:rsid w:val="00F53370"/>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E48C71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CC"/>
    <w:pPr>
      <w:spacing w:after="0" w:line="288" w:lineRule="auto"/>
      <w:jc w:val="both"/>
    </w:pPr>
    <w:rPr>
      <w:rFonts w:ascii="Times New Roman" w:eastAsia="Times New Roman" w:hAnsi="Times New Roman" w:cs="Times New Roman"/>
      <w:lang w:val="en-GB"/>
    </w:rPr>
  </w:style>
  <w:style w:type="paragraph" w:styleId="Heading1">
    <w:name w:val="heading 1"/>
    <w:basedOn w:val="Normal"/>
    <w:next w:val="Normal"/>
    <w:link w:val="Heading1Char"/>
    <w:qFormat/>
    <w:rsid w:val="008238CC"/>
    <w:pPr>
      <w:numPr>
        <w:numId w:val="1"/>
      </w:numPr>
      <w:ind w:left="567" w:hanging="567"/>
      <w:outlineLvl w:val="0"/>
    </w:pPr>
    <w:rPr>
      <w:kern w:val="28"/>
    </w:rPr>
  </w:style>
  <w:style w:type="paragraph" w:styleId="Heading2">
    <w:name w:val="heading 2"/>
    <w:basedOn w:val="Normal"/>
    <w:next w:val="Normal"/>
    <w:link w:val="Heading2Char"/>
    <w:qFormat/>
    <w:rsid w:val="008238CC"/>
    <w:pPr>
      <w:numPr>
        <w:ilvl w:val="1"/>
        <w:numId w:val="1"/>
      </w:numPr>
      <w:ind w:left="567" w:hanging="567"/>
      <w:outlineLvl w:val="1"/>
    </w:pPr>
  </w:style>
  <w:style w:type="paragraph" w:styleId="Heading3">
    <w:name w:val="heading 3"/>
    <w:basedOn w:val="Normal"/>
    <w:next w:val="Normal"/>
    <w:link w:val="Heading3Char"/>
    <w:qFormat/>
    <w:rsid w:val="008238CC"/>
    <w:pPr>
      <w:numPr>
        <w:ilvl w:val="2"/>
        <w:numId w:val="1"/>
      </w:numPr>
      <w:ind w:left="567" w:hanging="567"/>
      <w:outlineLvl w:val="2"/>
    </w:pPr>
  </w:style>
  <w:style w:type="paragraph" w:styleId="Heading4">
    <w:name w:val="heading 4"/>
    <w:basedOn w:val="Normal"/>
    <w:next w:val="Normal"/>
    <w:link w:val="Heading4Char"/>
    <w:qFormat/>
    <w:rsid w:val="008238CC"/>
    <w:pPr>
      <w:numPr>
        <w:ilvl w:val="3"/>
        <w:numId w:val="1"/>
      </w:numPr>
      <w:ind w:left="567" w:hanging="567"/>
      <w:outlineLvl w:val="3"/>
    </w:pPr>
  </w:style>
  <w:style w:type="paragraph" w:styleId="Heading5">
    <w:name w:val="heading 5"/>
    <w:basedOn w:val="Normal"/>
    <w:next w:val="Normal"/>
    <w:link w:val="Heading5Char"/>
    <w:qFormat/>
    <w:rsid w:val="008238CC"/>
    <w:pPr>
      <w:numPr>
        <w:ilvl w:val="4"/>
        <w:numId w:val="1"/>
      </w:numPr>
      <w:ind w:left="567" w:hanging="567"/>
      <w:outlineLvl w:val="4"/>
    </w:pPr>
  </w:style>
  <w:style w:type="paragraph" w:styleId="Heading6">
    <w:name w:val="heading 6"/>
    <w:basedOn w:val="Normal"/>
    <w:next w:val="Normal"/>
    <w:link w:val="Heading6Char"/>
    <w:qFormat/>
    <w:rsid w:val="008238CC"/>
    <w:pPr>
      <w:numPr>
        <w:ilvl w:val="5"/>
        <w:numId w:val="1"/>
      </w:numPr>
      <w:ind w:left="567" w:hanging="567"/>
      <w:outlineLvl w:val="5"/>
    </w:pPr>
  </w:style>
  <w:style w:type="paragraph" w:styleId="Heading7">
    <w:name w:val="heading 7"/>
    <w:basedOn w:val="Normal"/>
    <w:next w:val="Normal"/>
    <w:link w:val="Heading7Char"/>
    <w:qFormat/>
    <w:rsid w:val="008238CC"/>
    <w:pPr>
      <w:numPr>
        <w:ilvl w:val="6"/>
        <w:numId w:val="1"/>
      </w:numPr>
      <w:ind w:left="567" w:hanging="567"/>
      <w:outlineLvl w:val="6"/>
    </w:pPr>
  </w:style>
  <w:style w:type="paragraph" w:styleId="Heading8">
    <w:name w:val="heading 8"/>
    <w:basedOn w:val="Normal"/>
    <w:next w:val="Normal"/>
    <w:link w:val="Heading8Char"/>
    <w:qFormat/>
    <w:rsid w:val="008238CC"/>
    <w:pPr>
      <w:numPr>
        <w:ilvl w:val="7"/>
        <w:numId w:val="1"/>
      </w:numPr>
      <w:ind w:left="567" w:hanging="567"/>
      <w:outlineLvl w:val="7"/>
    </w:pPr>
  </w:style>
  <w:style w:type="paragraph" w:styleId="Heading9">
    <w:name w:val="heading 9"/>
    <w:basedOn w:val="Normal"/>
    <w:next w:val="Normal"/>
    <w:link w:val="Heading9Char"/>
    <w:qFormat/>
    <w:rsid w:val="008238CC"/>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8238CC"/>
  </w:style>
  <w:style w:type="character" w:customStyle="1" w:styleId="FooterChar">
    <w:name w:val="Footer Char"/>
    <w:basedOn w:val="DefaultParagraphFont"/>
    <w:link w:val="Footer"/>
    <w:rsid w:val="00F53370"/>
    <w:rPr>
      <w:rFonts w:ascii="Times New Roman" w:eastAsia="Times New Roman" w:hAnsi="Times New Roman" w:cs="Times New Roman"/>
      <w:lang w:val="en-GB"/>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8238CC"/>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qFormat/>
    <w:rsid w:val="00F53370"/>
    <w:rPr>
      <w:rFonts w:ascii="Times New Roman" w:eastAsia="Times New Roman" w:hAnsi="Times New Roman" w:cs="Times New Roman"/>
      <w:sz w:val="16"/>
    </w:rPr>
  </w:style>
  <w:style w:type="paragraph" w:styleId="Header">
    <w:name w:val="header"/>
    <w:basedOn w:val="Normal"/>
    <w:link w:val="HeaderChar"/>
    <w:qFormat/>
    <w:rsid w:val="008238CC"/>
  </w:style>
  <w:style w:type="character" w:customStyle="1" w:styleId="HeaderChar">
    <w:name w:val="Header Char"/>
    <w:basedOn w:val="DefaultParagraphFont"/>
    <w:link w:val="Header"/>
    <w:rsid w:val="00F53370"/>
    <w:rPr>
      <w:rFonts w:ascii="Times New Roman" w:eastAsia="Times New Roman" w:hAnsi="Times New Roman" w:cs="Times New Roman"/>
      <w:lang w:val="en-GB"/>
    </w:rPr>
  </w:style>
  <w:style w:type="paragraph" w:customStyle="1" w:styleId="quotes">
    <w:name w:val="quotes"/>
    <w:basedOn w:val="Normal"/>
    <w:next w:val="Normal"/>
    <w:rsid w:val="008238CC"/>
    <w:pPr>
      <w:ind w:left="720"/>
    </w:pPr>
    <w:rPr>
      <w:i/>
    </w:rPr>
  </w:style>
  <w:style w:type="character" w:styleId="FootnoteReference">
    <w:name w:val="footnote reference"/>
    <w:aliases w:val="Footnote symbol"/>
    <w:basedOn w:val="DefaultParagraphFont"/>
    <w:unhideWhenUsed/>
    <w:qFormat/>
    <w:rsid w:val="008238CC"/>
    <w:rPr>
      <w:sz w:val="24"/>
      <w:vertAlign w:val="superscript"/>
    </w:rPr>
  </w:style>
  <w:style w:type="table" w:styleId="TableGrid">
    <w:name w:val="Table Grid"/>
    <w:basedOn w:val="TableNormal"/>
    <w:uiPriority w:val="39"/>
    <w:rsid w:val="00F53370"/>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FollowedHyperlink">
    <w:name w:val="FollowedHyperlink"/>
    <w:basedOn w:val="DefaultParagraphFont"/>
    <w:uiPriority w:val="99"/>
    <w:semiHidden/>
    <w:unhideWhenUsed/>
    <w:rsid w:val="008238CC"/>
    <w:rPr>
      <w:color w:val="954F72" w:themeColor="followedHyperlink"/>
      <w:u w:val="single"/>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B67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35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meddialogue.eu/wp-content/uploads/2021/02/Publication-Bridging-the-sea.pdf" TargetMode="External"/><Relationship Id="rId7" Type="http://schemas.openxmlformats.org/officeDocument/2006/relationships/hyperlink" Target="https://www.2021portugal.eu/en/porto-social-summit/porto-social-commitment/" TargetMode="External"/><Relationship Id="rId2" Type="http://schemas.openxmlformats.org/officeDocument/2006/relationships/hyperlink" Target="https://eur-lex.europa.eu/legal-content/EN/TXT/?uri=uriserv%3AOJ.C_.2020.364.01.0053.01.ENG&amp;toc=OJ%3AC%3A2020%3A364%3ATOC" TargetMode="External"/><Relationship Id="rId1" Type="http://schemas.openxmlformats.org/officeDocument/2006/relationships/hyperlink" Target="https://eur-lex.europa.eu/legal-content/EN/TXT/?uri=uriserv%3AOJ.C_.2020.364.01.0132.01.ENG&amp;toc=OJ%3AC%3A2020%3A364%3ATOC" TargetMode="External"/><Relationship Id="rId6" Type="http://schemas.openxmlformats.org/officeDocument/2006/relationships/hyperlink" Target="https://ufmsecretariat.org/5th-regional-forum-news/" TargetMode="External"/><Relationship Id="rId5" Type="http://schemas.openxmlformats.org/officeDocument/2006/relationships/hyperlink" Target="https://unctad.org/system/files/official-document/ditcinf2020d3_en.pdf" TargetMode="External"/><Relationship Id="rId4" Type="http://schemas.openxmlformats.org/officeDocument/2006/relationships/hyperlink" Target="https://read.oecd-ilibrary.org/view/?ref=124_124984-7uf8nm95se&amp;title=Covid-19_Tourism_Policy_Responses&amp;_ga=2.143901749.1647750476.1622806508-1692148678.16228063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V63NAVDT5PV3-197900780-13828</_dlc_DocId>
    <_dlc_DocIdUrl xmlns="01cfe264-354f-4f3f-acd0-cf26eb309336">
      <Url>http://dm/eesc/2021/_layouts/15/DocIdRedir.aspx?ID=V63NAVDT5PV3-197900780-13828</Url>
      <Description>V63NAVDT5PV3-197900780-13828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2023-02-24T12:00:00+00:00</ProductionDate>
    <FicheYear xmlns="01cfe264-354f-4f3f-acd0-cf26eb309336" xsi:nil="true"/>
    <DocumentNumber xmlns="1bc4b14f-a4b5-43b1-8863-417d54b6b72f">2760</DocumentNumber>
    <DocumentVersion xmlns="01cfe264-354f-4f3f-acd0-cf26eb309336">1</DocumentVersion>
    <DossierNumber xmlns="01cfe264-354f-4f3f-acd0-cf26eb309336">537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 xsi:nil="true"/>
    <TaxCatchAll xmlns="01cfe264-354f-4f3f-acd0-cf26eb309336">
      <Value>86</Value>
      <Value>77</Value>
      <Value>66</Value>
      <Value>58</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01cfe264-354f-4f3f-acd0-cf26eb309336">PAGLIARA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2628</FicheNumber>
    <OriginalSender xmlns="01cfe264-354f-4f3f-acd0-cf26eb309336">
      <UserInfo>
        <DisplayName>TDriveSVCUserProd</DisplayName>
        <AccountId>1515</AccountId>
        <AccountType/>
      </UserInfo>
    </OriginalSender>
    <DocumentPart xmlns="01cfe264-354f-4f3f-acd0-cf26eb309336">0</DocumentPart>
    <AdoptionDate xmlns="01cfe264-354f-4f3f-acd0-cf26eb309336">2023-01-24T12:00:00+00:00</AdoptionDate>
    <RequestingService xmlns="01cfe264-354f-4f3f-acd0-cf26eb309336">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bc4b14f-a4b5-43b1-8863-417d54b6b72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9690440AC106F944B6F22BE813F1E9BC" ma:contentTypeVersion="6" ma:contentTypeDescription="Defines the documents for Document Manager V2" ma:contentTypeScope="" ma:versionID="d519d576acc3faf30814d5b68e6ef22c">
  <xsd:schema xmlns:xsd="http://www.w3.org/2001/XMLSchema" xmlns:xs="http://www.w3.org/2001/XMLSchema" xmlns:p="http://schemas.microsoft.com/office/2006/metadata/properties" xmlns:ns2="01cfe264-354f-4f3f-acd0-cf26eb309336" xmlns:ns3="http://schemas.microsoft.com/sharepoint/v3/fields" xmlns:ns4="1bc4b14f-a4b5-43b1-8863-417d54b6b72f" targetNamespace="http://schemas.microsoft.com/office/2006/metadata/properties" ma:root="true" ma:fieldsID="52b7c5fda01af84229fc452a92b24884" ns2:_="" ns3:_="" ns4:_="">
    <xsd:import namespace="01cfe264-354f-4f3f-acd0-cf26eb309336"/>
    <xsd:import namespace="http://schemas.microsoft.com/sharepoint/v3/fields"/>
    <xsd:import namespace="1bc4b14f-a4b5-43b1-8863-417d54b6b72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4b14f-a4b5-43b1-8863-417d54b6b72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AF26A7-4206-41FF-9AC4-38561998B4E1}"/>
</file>

<file path=customXml/itemProps2.xml><?xml version="1.0" encoding="utf-8"?>
<ds:datastoreItem xmlns:ds="http://schemas.openxmlformats.org/officeDocument/2006/customXml" ds:itemID="{86138FB4-1AD2-41C7-A973-31CC2DAE1924}"/>
</file>

<file path=customXml/itemProps3.xml><?xml version="1.0" encoding="utf-8"?>
<ds:datastoreItem xmlns:ds="http://schemas.openxmlformats.org/officeDocument/2006/customXml" ds:itemID="{A95D53E1-20FE-4E4A-B77B-D8B828FADF57}"/>
</file>

<file path=customXml/itemProps4.xml><?xml version="1.0" encoding="utf-8"?>
<ds:datastoreItem xmlns:ds="http://schemas.openxmlformats.org/officeDocument/2006/customXml" ds:itemID="{B8C70B5A-71A6-4429-A945-F32890F1C6AA}"/>
</file>

<file path=docProps/app.xml><?xml version="1.0" encoding="utf-8"?>
<Properties xmlns="http://schemas.openxmlformats.org/officeDocument/2006/extended-properties" xmlns:vt="http://schemas.openxmlformats.org/officeDocument/2006/docPropsVTypes">
  <Template>Normal</Template>
  <TotalTime>0</TotalTime>
  <Pages>1</Pages>
  <Words>8897</Words>
  <Characters>50714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59493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The role of civil society in the reconstruction and resilience of the Euro-Mediterranean region</dc:title>
  <dc:subject>Committee opinion</dc:subject>
  <dc:creator>Francois Aude</dc:creator>
  <cp:keywords>EESC-2021-02760-00-01-AC-TRA-EN</cp:keywords>
  <dc:description>Rapporteur: - PAGLIARA Original language: - EN Date of document: - 24/02/2023 Date of meeting: -  External documents: -  Administrator responsible: - M. BERGER Andreas</dc:description>
  <cp:lastModifiedBy>TDriveSVCUserProd</cp:lastModifiedBy>
  <cp:revision>5</cp:revision>
  <dcterms:created xsi:type="dcterms:W3CDTF">2023-02-24T09:14:00Z</dcterms:created>
  <dcterms:modified xsi:type="dcterms:W3CDTF">2023-02-24T09:15:00Z</dcterms:modified>
  <cp:category>REX/537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24/02/2023, 26/01/2023, 17/05/2022</vt:lpwstr>
  </property>
  <property fmtid="{D5CDD505-2E9C-101B-9397-08002B2CF9AE}" pid="4" name="Pref_Time">
    <vt:lpwstr>10:07:46, 15:46:28, 14:58:36</vt:lpwstr>
  </property>
  <property fmtid="{D5CDD505-2E9C-101B-9397-08002B2CF9AE}" pid="5" name="Pref_User">
    <vt:lpwstr>pacup, amett, enied</vt:lpwstr>
  </property>
  <property fmtid="{D5CDD505-2E9C-101B-9397-08002B2CF9AE}" pid="6" name="Pref_FileName">
    <vt:lpwstr>EESC-2021-02760-00-01-AC-TRA.docx, EESC-2021-02760-00-00-AC-TRA-EN-CRR.docx, COR-EESC-2022-02592-00-00-ADMIN-ORI.docx</vt:lpwstr>
  </property>
  <property fmtid="{D5CDD505-2E9C-101B-9397-08002B2CF9AE}" pid="7" name="ContentTypeId">
    <vt:lpwstr>0x010100EA97B91038054C99906057A708A1480A009690440AC106F944B6F22BE813F1E9BC</vt:lpwstr>
  </property>
  <property fmtid="{D5CDD505-2E9C-101B-9397-08002B2CF9AE}" pid="8" name="_dlc_DocIdItemGuid">
    <vt:lpwstr>da389585-8cfd-4265-9201-195d31ef71c7</vt:lpwstr>
  </property>
  <property fmtid="{D5CDD505-2E9C-101B-9397-08002B2CF9AE}" pid="9" name="AvailableTranslations">
    <vt:lpwstr>18;#LV|46f7e311-5d9f-4663-b433-18aeccb7ace7;#39;#SL|98a412ae-eb01-49e9-ae3d-585a81724cfc;#45;#RO|feb747a2-64cd-4299-af12-4833ddc30497;#35;#PL|1e03da61-4678-4e07-b136-b5024ca9197b;#11;#DE|f6b31e5a-26fa-4935-b661-318e46daf27e;#9;#EN|f2175f21-25d7-44a3-96da-d6a61b075e1b;#4;#FR|d2afafd3-4c81-4f60-8f52-ee33f2f54ff3;#16;#IT|0774613c-01ed-4e5d-a25d-11d2388de825;#15;#LT|a7ff5ce7-6123-4f68-865a-a57c31810414;#42;#FI|87606a43-d45f-42d6-b8c9-e1a3457db5b7;#38;#HR|2f555653-ed1a-4fe6-8362-9082d95989e5;#19;#SK|46d9fce0-ef79-4f71-b89b-cd6aa82426b8;#25;#CS|72f9705b-0217-4fd3-bea2-cbc7ed80e26e;#14;#ET|ff6c3f4c-b02c-4c3c-ab07-2c37995a7a0a;#28;#ES|e7a6b05b-ae16-40c8-add9-68b64b03aeba;#13;#PT|50ccc04a-eadd-42ae-a0cb-acaf45f812ba;#21;#HU|6b229040-c589-4408-b4c1-4285663d20a8;#17;#NL|55c6556c-b4f4-441d-9acf-c498d4f838bd;#40;#SV|c2ed69e7-a339-43d7-8f22-d93680a92aa0;#12;#DA|5d49c027-8956-412b-aa16-e85a0f96ad0e;#37;#EL|6d4f4d51-af9b-4650-94b4-4276bee85c91;#58;#MT|7df99101-6854-4a26-b53a-b88c0da02c26;#41;#BG|1a1b3951-7821-4e6a-85f5-5673fc08bd2c;#66;#GA|762d2456-c427-4ecb-b312-af3dad8e258c</vt:lpwstr>
  </property>
  <property fmtid="{D5CDD505-2E9C-101B-9397-08002B2CF9AE}" pid="10" name="DocumentType_0">
    <vt:lpwstr>AC|a4cc1d15-fb08-4679-ad46-e4e0cba5fe92</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2760</vt:i4>
  </property>
  <property fmtid="{D5CDD505-2E9C-101B-9397-08002B2CF9AE}" pid="14" name="FicheYear">
    <vt:i4>2021</vt:i4>
  </property>
  <property fmtid="{D5CDD505-2E9C-101B-9397-08002B2CF9AE}" pid="15" name="DocumentVersion">
    <vt:i4>1</vt:i4>
  </property>
  <property fmtid="{D5CDD505-2E9C-101B-9397-08002B2CF9AE}" pid="16" name="DossierNumber">
    <vt:i4>537</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77;#REX|6820eaf5-116e-436b-ad9c-156f8a94c2a1</vt:lpwstr>
  </property>
  <property fmtid="{D5CDD505-2E9C-101B-9397-08002B2CF9AE}" pid="20" name="DocumentSource">
    <vt:lpwstr>1;#EESC|422833ec-8d7e-4e65-8e4e-8bed07ffb729</vt:lpwstr>
  </property>
  <property fmtid="{D5CDD505-2E9C-101B-9397-08002B2CF9AE}" pid="21" name="AdoptionDate">
    <vt:filetime>2023-01-24T12:00:00Z</vt:filetime>
  </property>
  <property fmtid="{D5CDD505-2E9C-101B-9397-08002B2CF9AE}" pid="22" name="DocumentType">
    <vt:lpwstr>86;#AC|a4cc1d15-fb08-4679-ad46-e4e0cba5fe92</vt:lpwstr>
  </property>
  <property fmtid="{D5CDD505-2E9C-101B-9397-08002B2CF9AE}" pid="23" name="RequestingService">
    <vt:lpwstr>Relations extérieures</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9;#EN|f2175f21-25d7-44a3-96da-d6a61b075e1b</vt:lpwstr>
  </property>
  <property fmtid="{D5CDD505-2E9C-101B-9397-08002B2CF9AE}" pid="28" name="MeetingName">
    <vt:lpwstr/>
  </property>
  <property fmtid="{D5CDD505-2E9C-101B-9397-08002B2CF9AE}" pid="30" name="AvailableTranslations_0">
    <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86;#AC|a4cc1d15-fb08-4679-ad46-e4e0cba5fe92;#77;#REX|6820eaf5-116e-436b-ad9c-156f8a94c2a1;#7;#TRA|150d2a88-1431-44e6-a8ca-0bb753ab8672;#9;#EN|f2175f21-25d7-44a3-96da-d6a61b075e1b;#5;#Unrestricted|826e22d7-d029-4ec0-a450-0c28ff673572;#6;#Final|ea5e6674-7b27-4bac-b091-73adbb394efe;#1;#EESC|422833ec-8d7e-4e65-8e4e-8bed07ffb729</vt:lpwstr>
  </property>
  <property fmtid="{D5CDD505-2E9C-101B-9397-08002B2CF9AE}" pid="34" name="Rapporteur">
    <vt:lpwstr>PAGLIARA</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2021</vt:i4>
  </property>
  <property fmtid="{D5CDD505-2E9C-101B-9397-08002B2CF9AE}" pid="38" name="FicheNumber">
    <vt:i4>2628</vt:i4>
  </property>
  <property fmtid="{D5CDD505-2E9C-101B-9397-08002B2CF9AE}" pid="39" name="DocumentLanguage">
    <vt:lpwstr>9;#EN|f2175f21-25d7-44a3-96da-d6a61b075e1b</vt:lpwstr>
  </property>
  <property fmtid="{D5CDD505-2E9C-101B-9397-08002B2CF9AE}" pid="40" name="_docset_NoMedatataSyncRequired">
    <vt:lpwstr>False</vt:lpwstr>
  </property>
</Properties>
</file>