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header7.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3E6C87" w14:paraId="51CA4476" w14:textId="77777777">
        <w:trPr>
          <w:jc w:val="center"/>
        </w:trPr>
        <w:tc>
          <w:tcPr>
            <w:tcW w:w="5000" w:type="pct"/>
            <w:vAlign w:val="center"/>
          </w:tcPr>
          <w:p w:rsidRPr="008238CC" w:rsidR="00574C9B" w:rsidP="006125A1" w:rsidRDefault="00574C9B" w14:paraId="22A93E5D" w14:textId="77777777">
            <w:pPr>
              <w:jc w:val="center"/>
              <w:rPr>
                <w:b/>
                <w:sz w:val="72"/>
                <w:szCs w:val="72"/>
              </w:rPr>
            </w:pPr>
            <w:r>
              <w:rPr>
                <w:b/>
                <w:sz w:val="72"/>
              </w:rPr>
              <w:t>ΓΝΩΜΟΔΟΤΗΣΗ</w:t>
            </w:r>
          </w:p>
        </w:tc>
      </w:tr>
      <w:tr w:rsidR="003E6C87" w14:paraId="43DA8FCA" w14:textId="77777777">
        <w:trPr>
          <w:trHeight w:val="567"/>
          <w:jc w:val="center"/>
        </w:trPr>
        <w:tc>
          <w:tcPr>
            <w:tcW w:w="5000" w:type="pct"/>
            <w:vAlign w:val="center"/>
          </w:tcPr>
          <w:p w:rsidRPr="008238CC" w:rsidR="00574C9B" w:rsidP="006125A1" w:rsidRDefault="00574C9B" w14:paraId="57B13211" w14:textId="77777777">
            <w:pPr>
              <w:jc w:val="center"/>
              <w:rPr>
                <w:sz w:val="24"/>
                <w:szCs w:val="24"/>
              </w:rPr>
            </w:pPr>
            <w:r>
              <w:rPr>
                <w:sz w:val="24"/>
              </w:rPr>
              <w:t>Ευρωπαϊκή Οικονομική και Κοινωνική Επιτροπή</w:t>
            </w:r>
          </w:p>
        </w:tc>
      </w:tr>
      <w:tr w:rsidR="003E6C87" w14:paraId="34EB5658" w14:textId="77777777">
        <w:trPr>
          <w:jc w:val="center"/>
        </w:trPr>
        <w:tc>
          <w:tcPr>
            <w:tcW w:w="5000" w:type="pct"/>
            <w:vAlign w:val="center"/>
          </w:tcPr>
          <w:p w:rsidRPr="008238CC" w:rsidR="00574C9B" w:rsidP="006125A1" w:rsidRDefault="009C4100" w14:paraId="32CB1B84" w14:textId="77777777">
            <w:pPr>
              <w:jc w:val="center"/>
              <w:rPr>
                <w:b/>
                <w:sz w:val="44"/>
                <w:szCs w:val="44"/>
              </w:rPr>
            </w:pPr>
            <w:bookmarkStart w:name="_GoBack" w:id="0"/>
            <w:r>
              <w:rPr>
                <w:b/>
                <w:sz w:val="44"/>
              </w:rPr>
              <w:t>COVID-19: Ο ρόλος της κοινωνίας των πολιτών στην ανασυγκρότηση και την ανθεκτικότητα της Ευρωμεσογειακής περιοχής</w:t>
            </w:r>
            <w:bookmarkEnd w:id="0"/>
          </w:p>
        </w:tc>
      </w:tr>
      <w:tr w:rsidR="003E6C87" w14:paraId="4452F7DB" w14:textId="77777777">
        <w:trPr>
          <w:jc w:val="center"/>
        </w:trPr>
        <w:tc>
          <w:tcPr>
            <w:tcW w:w="5000" w:type="pct"/>
            <w:vAlign w:val="center"/>
          </w:tcPr>
          <w:p w:rsidRPr="00833285" w:rsidR="00574C9B" w:rsidP="006125A1" w:rsidRDefault="00574C9B" w14:paraId="435C3B12" w14:textId="77777777">
            <w:pPr>
              <w:overflowPunct w:val="0"/>
              <w:autoSpaceDE w:val="0"/>
              <w:autoSpaceDN w:val="0"/>
              <w:adjustRightInd w:val="0"/>
              <w:jc w:val="center"/>
              <w:textAlignment w:val="baseline"/>
              <w:rPr>
                <w:b/>
                <w:position w:val="24"/>
                <w:sz w:val="24"/>
                <w:szCs w:val="24"/>
              </w:rPr>
            </w:pPr>
            <w:r>
              <w:rPr>
                <w:sz w:val="24"/>
              </w:rPr>
              <w:t>_____________</w:t>
            </w:r>
          </w:p>
        </w:tc>
      </w:tr>
      <w:tr w:rsidR="003E6C87" w14:paraId="7204182C" w14:textId="77777777">
        <w:trPr>
          <w:jc w:val="center"/>
        </w:trPr>
        <w:tc>
          <w:tcPr>
            <w:tcW w:w="5000" w:type="pct"/>
            <w:vAlign w:val="center"/>
          </w:tcPr>
          <w:p w:rsidRPr="00833285" w:rsidR="00574C9B" w:rsidP="006125A1" w:rsidRDefault="009C4100" w14:paraId="3DFB6FFD" w14:textId="77777777">
            <w:pPr>
              <w:jc w:val="center"/>
              <w:rPr>
                <w:sz w:val="24"/>
                <w:szCs w:val="24"/>
              </w:rPr>
            </w:pPr>
            <w:r>
              <w:rPr>
                <w:sz w:val="24"/>
              </w:rPr>
              <w:t>COVID-19: Ο ρόλος της κοινωνίας των πολιτών στην ανασυγκρότηση και την ανθεκτικότητα της Ευρωμεσογειακής περιοχής</w:t>
            </w:r>
          </w:p>
        </w:tc>
      </w:tr>
      <w:tr w:rsidR="003E6C87" w14:paraId="4850059F" w14:textId="77777777">
        <w:trPr>
          <w:jc w:val="center"/>
        </w:trPr>
        <w:tc>
          <w:tcPr>
            <w:tcW w:w="5000" w:type="pct"/>
            <w:vAlign w:val="center"/>
          </w:tcPr>
          <w:p w:rsidRPr="00833285" w:rsidR="00574C9B" w:rsidP="006125A1" w:rsidRDefault="00574C9B" w14:paraId="222032F8" w14:textId="77777777">
            <w:pPr>
              <w:jc w:val="center"/>
              <w:rPr>
                <w:sz w:val="24"/>
                <w:szCs w:val="24"/>
              </w:rPr>
            </w:pPr>
          </w:p>
        </w:tc>
      </w:tr>
      <w:tr w:rsidR="003E6C87" w14:paraId="7F088759" w14:textId="77777777">
        <w:trPr>
          <w:jc w:val="center"/>
        </w:trPr>
        <w:tc>
          <w:tcPr>
            <w:tcW w:w="5000" w:type="pct"/>
            <w:vAlign w:val="center"/>
          </w:tcPr>
          <w:p w:rsidRPr="00833285" w:rsidR="00574C9B" w:rsidP="006125A1" w:rsidRDefault="009C4100" w14:paraId="40F48113" w14:textId="77777777">
            <w:pPr>
              <w:jc w:val="center"/>
              <w:rPr>
                <w:b/>
                <w:sz w:val="24"/>
                <w:szCs w:val="24"/>
              </w:rPr>
            </w:pPr>
            <w:r>
              <w:rPr>
                <w:b/>
                <w:sz w:val="24"/>
              </w:rPr>
              <w:t>REX/537</w:t>
            </w:r>
          </w:p>
        </w:tc>
      </w:tr>
      <w:tr w:rsidR="003E6C87" w14:paraId="1BA05B74" w14:textId="77777777">
        <w:trPr>
          <w:jc w:val="center"/>
        </w:trPr>
        <w:tc>
          <w:tcPr>
            <w:tcW w:w="5000" w:type="pct"/>
            <w:vAlign w:val="center"/>
          </w:tcPr>
          <w:p w:rsidRPr="00833285" w:rsidR="00574C9B" w:rsidP="006125A1" w:rsidRDefault="00574C9B" w14:paraId="053D4C2F" w14:textId="77777777">
            <w:pPr>
              <w:jc w:val="center"/>
              <w:rPr>
                <w:sz w:val="24"/>
                <w:szCs w:val="24"/>
              </w:rPr>
            </w:pPr>
          </w:p>
        </w:tc>
      </w:tr>
      <w:tr w:rsidR="003E6C87" w14:paraId="6515B544" w14:textId="77777777">
        <w:trPr>
          <w:jc w:val="center"/>
        </w:trPr>
        <w:tc>
          <w:tcPr>
            <w:tcW w:w="5000" w:type="pct"/>
            <w:vAlign w:val="center"/>
          </w:tcPr>
          <w:p w:rsidRPr="00833285" w:rsidR="00574C9B" w:rsidP="00795739" w:rsidRDefault="00574C9B" w14:paraId="71E12357" w14:textId="77777777">
            <w:pPr>
              <w:jc w:val="center"/>
              <w:rPr>
                <w:sz w:val="24"/>
                <w:szCs w:val="24"/>
              </w:rPr>
            </w:pPr>
            <w:r>
              <w:rPr>
                <w:sz w:val="24"/>
              </w:rPr>
              <w:t xml:space="preserve">Εισηγητής: </w:t>
            </w:r>
            <w:r>
              <w:rPr>
                <w:b/>
                <w:color w:val="000000"/>
                <w:sz w:val="24"/>
              </w:rPr>
              <w:t xml:space="preserve">Angelo PAGLIARA </w:t>
            </w:r>
          </w:p>
        </w:tc>
      </w:tr>
    </w:tbl>
    <w:p w:rsidRPr="008238CC" w:rsidR="00574C9B" w:rsidP="00574C9B" w:rsidRDefault="00574C9B" w14:paraId="5F36E24E" w14:textId="77777777">
      <w:r>
        <w:rPr>
          <w:noProof/>
          <w:sz w:val="20"/>
          <w:lang w:val="en-US"/>
        </w:rPr>
        <mc:AlternateContent>
          <mc:Choice Requires="wps">
            <w:drawing>
              <wp:anchor distT="0" distB="0" distL="114300" distR="114300" simplePos="0" relativeHeight="251659264" behindDoc="1" locked="0" layoutInCell="0" allowOverlap="1" wp14:editId="26DA523B" wp14:anchorId="3465221C">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238CC" w:rsidR="00574C9B" w:rsidP="00574C9B" w:rsidRDefault="00574C9B" w14:paraId="470D743F" w14:textId="77777777">
                            <w:pPr>
                              <w:jc w:val="cente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65221C">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Pr="008238CC" w:rsidR="00574C9B" w:rsidP="00574C9B" w:rsidRDefault="00574C9B" w14:paraId="470D743F" w14:textId="77777777">
                      <w:pPr>
                        <w:jc w:val="center"/>
                      </w:pPr>
                      <w:r>
                        <w:rPr>
                          <w:rFonts w:ascii="Arial" w:hAnsi="Arial"/>
                          <w:b/>
                          <w:sz w:val="48"/>
                        </w:rPr>
                        <w:t>EL</w:t>
                      </w:r>
                    </w:p>
                  </w:txbxContent>
                </v:textbox>
                <w10:wrap anchorx="margin" anchory="page"/>
              </v:shape>
            </w:pict>
          </mc:Fallback>
        </mc:AlternateContent>
      </w:r>
    </w:p>
    <w:p w:rsidRPr="008238CC" w:rsidR="00574C9B" w:rsidP="00574C9B" w:rsidRDefault="00574C9B" w14:paraId="5794C212" w14:textId="77777777"/>
    <w:p w:rsidRPr="008238CC" w:rsidR="00574C9B" w:rsidP="00574C9B" w:rsidRDefault="00574C9B" w14:paraId="00E6106C" w14:textId="77777777">
      <w:pPr>
        <w:sectPr w:rsidRPr="008238CC" w:rsidR="00574C9B" w:rsidSect="00833285">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3E6C87" w14:paraId="4B3B7834" w14:textId="77777777">
        <w:tc>
          <w:tcPr>
            <w:tcW w:w="3085" w:type="dxa"/>
          </w:tcPr>
          <w:p w:rsidRPr="008238CC" w:rsidR="00AC5114" w:rsidP="0058411F" w:rsidRDefault="00AC5114" w14:paraId="244900F9" w14:textId="77777777">
            <w:pPr>
              <w:autoSpaceDE w:val="0"/>
              <w:autoSpaceDN w:val="0"/>
              <w:jc w:val="left"/>
              <w:rPr>
                <w:szCs w:val="20"/>
              </w:rPr>
            </w:pPr>
            <w:r>
              <w:lastRenderedPageBreak/>
              <w:t>Απόφαση της συνόδου ολομέλειας</w:t>
            </w:r>
          </w:p>
        </w:tc>
        <w:tc>
          <w:tcPr>
            <w:tcW w:w="6204" w:type="dxa"/>
            <w:vAlign w:val="bottom"/>
          </w:tcPr>
          <w:p w:rsidRPr="008238CC" w:rsidR="00AC5114" w:rsidP="0058411F" w:rsidRDefault="00373016" w14:paraId="1FB704AF" w14:textId="77777777">
            <w:pPr>
              <w:autoSpaceDE w:val="0"/>
              <w:autoSpaceDN w:val="0"/>
              <w:jc w:val="left"/>
              <w:rPr>
                <w:szCs w:val="20"/>
              </w:rPr>
            </w:pPr>
            <w:r>
              <w:t>25/03/2021</w:t>
            </w:r>
          </w:p>
        </w:tc>
      </w:tr>
      <w:tr w:rsidR="003E6C87" w14:paraId="46FC1782" w14:textId="77777777">
        <w:tc>
          <w:tcPr>
            <w:tcW w:w="3085" w:type="dxa"/>
          </w:tcPr>
          <w:p w:rsidRPr="008238CC" w:rsidR="00AC5114" w:rsidP="0058411F" w:rsidRDefault="00AC5114" w14:paraId="437F396F" w14:textId="77777777">
            <w:pPr>
              <w:autoSpaceDE w:val="0"/>
              <w:autoSpaceDN w:val="0"/>
              <w:jc w:val="left"/>
              <w:rPr>
                <w:szCs w:val="20"/>
              </w:rPr>
            </w:pPr>
            <w:r>
              <w:t>Νομική βάση</w:t>
            </w:r>
          </w:p>
        </w:tc>
        <w:tc>
          <w:tcPr>
            <w:tcW w:w="6204" w:type="dxa"/>
            <w:vAlign w:val="bottom"/>
          </w:tcPr>
          <w:p w:rsidRPr="008238CC" w:rsidR="00AC5114" w:rsidP="0058411F" w:rsidRDefault="00AC5114" w14:paraId="02CB294D" w14:textId="77777777">
            <w:pPr>
              <w:autoSpaceDE w:val="0"/>
              <w:autoSpaceDN w:val="0"/>
              <w:jc w:val="left"/>
              <w:rPr>
                <w:szCs w:val="20"/>
              </w:rPr>
            </w:pPr>
            <w:r>
              <w:t>Άρθρο 52 παράγραφος 2 του Εσωτερικού Κανονισμού</w:t>
            </w:r>
          </w:p>
        </w:tc>
      </w:tr>
      <w:tr w:rsidR="003E6C87" w14:paraId="1EB97A8B" w14:textId="77777777">
        <w:tc>
          <w:tcPr>
            <w:tcW w:w="3085" w:type="dxa"/>
          </w:tcPr>
          <w:p w:rsidRPr="008238CC" w:rsidR="00AC5114" w:rsidP="0058411F" w:rsidRDefault="00AC5114" w14:paraId="501EBA55" w14:textId="77777777">
            <w:pPr>
              <w:autoSpaceDE w:val="0"/>
              <w:autoSpaceDN w:val="0"/>
              <w:jc w:val="left"/>
              <w:rPr>
                <w:szCs w:val="20"/>
              </w:rPr>
            </w:pPr>
          </w:p>
        </w:tc>
        <w:tc>
          <w:tcPr>
            <w:tcW w:w="6204" w:type="dxa"/>
            <w:vAlign w:val="bottom"/>
          </w:tcPr>
          <w:p w:rsidRPr="008238CC" w:rsidR="00AC5114" w:rsidP="0058411F" w:rsidRDefault="00AC5114" w14:paraId="45DF3322" w14:textId="77777777">
            <w:pPr>
              <w:autoSpaceDE w:val="0"/>
              <w:autoSpaceDN w:val="0"/>
              <w:jc w:val="left"/>
              <w:rPr>
                <w:szCs w:val="20"/>
              </w:rPr>
            </w:pPr>
            <w:r>
              <w:t>Γνωμοδότηση πρωτοβουλίας</w:t>
            </w:r>
          </w:p>
        </w:tc>
      </w:tr>
      <w:tr w:rsidR="003E6C87" w14:paraId="413B8535" w14:textId="77777777">
        <w:tc>
          <w:tcPr>
            <w:tcW w:w="3085" w:type="dxa"/>
          </w:tcPr>
          <w:p w:rsidRPr="008238CC" w:rsidR="00AC5114" w:rsidP="0058411F" w:rsidRDefault="00AC5114" w14:paraId="4C9EDC25" w14:textId="77777777">
            <w:pPr>
              <w:autoSpaceDE w:val="0"/>
              <w:autoSpaceDN w:val="0"/>
              <w:jc w:val="left"/>
            </w:pPr>
            <w:r>
              <w:t>Αρμόδιο όργανο</w:t>
            </w:r>
          </w:p>
        </w:tc>
        <w:tc>
          <w:tcPr>
            <w:tcW w:w="6204" w:type="dxa"/>
            <w:vAlign w:val="bottom"/>
          </w:tcPr>
          <w:p w:rsidRPr="008238CC" w:rsidR="00AC5114" w:rsidP="0058411F" w:rsidRDefault="00373016" w14:paraId="05705362" w14:textId="77777777">
            <w:pPr>
              <w:autoSpaceDE w:val="0"/>
              <w:autoSpaceDN w:val="0"/>
              <w:jc w:val="left"/>
            </w:pPr>
            <w:r>
              <w:t>Τμήμα «Εξωτερικές σχέσεις»</w:t>
            </w:r>
          </w:p>
        </w:tc>
      </w:tr>
      <w:tr w:rsidR="003E6C87" w14:paraId="085230D1" w14:textId="77777777">
        <w:tc>
          <w:tcPr>
            <w:tcW w:w="3085" w:type="dxa"/>
          </w:tcPr>
          <w:p w:rsidRPr="008238CC" w:rsidR="00AC5114" w:rsidP="0058411F" w:rsidRDefault="00AC5114" w14:paraId="23721B59" w14:textId="77777777">
            <w:pPr>
              <w:autoSpaceDE w:val="0"/>
              <w:autoSpaceDN w:val="0"/>
              <w:jc w:val="left"/>
            </w:pPr>
            <w:r>
              <w:t>Έγκριση από το τμήμα</w:t>
            </w:r>
          </w:p>
        </w:tc>
        <w:tc>
          <w:tcPr>
            <w:tcW w:w="6204" w:type="dxa"/>
            <w:vAlign w:val="bottom"/>
          </w:tcPr>
          <w:p w:rsidRPr="008238CC" w:rsidR="00AC5114" w:rsidP="0058411F" w:rsidRDefault="00373016" w14:paraId="6B8FD7AE" w14:textId="77777777">
            <w:pPr>
              <w:autoSpaceDE w:val="0"/>
              <w:autoSpaceDN w:val="0"/>
              <w:jc w:val="left"/>
            </w:pPr>
            <w:r>
              <w:t>20/12/2022</w:t>
            </w:r>
          </w:p>
        </w:tc>
      </w:tr>
      <w:tr w:rsidR="003E6C87" w14:paraId="4539640D" w14:textId="77777777">
        <w:tc>
          <w:tcPr>
            <w:tcW w:w="3085" w:type="dxa"/>
          </w:tcPr>
          <w:p w:rsidRPr="008238CC" w:rsidR="0058411F" w:rsidP="0058411F" w:rsidRDefault="0058411F" w14:paraId="5427661E" w14:textId="77777777">
            <w:pPr>
              <w:autoSpaceDE w:val="0"/>
              <w:autoSpaceDN w:val="0"/>
              <w:jc w:val="left"/>
            </w:pPr>
            <w:r>
              <w:t>Έγκριση από την Ολομέλεια</w:t>
            </w:r>
          </w:p>
        </w:tc>
        <w:tc>
          <w:tcPr>
            <w:tcW w:w="6204" w:type="dxa"/>
            <w:vAlign w:val="bottom"/>
          </w:tcPr>
          <w:p w:rsidRPr="008238CC" w:rsidR="0058411F" w:rsidP="0058411F" w:rsidRDefault="00373016" w14:paraId="06855C7A" w14:textId="77777777">
            <w:pPr>
              <w:autoSpaceDE w:val="0"/>
              <w:autoSpaceDN w:val="0"/>
              <w:jc w:val="left"/>
            </w:pPr>
            <w:r>
              <w:t>24/01/2023</w:t>
            </w:r>
          </w:p>
        </w:tc>
      </w:tr>
      <w:tr w:rsidR="003E6C87" w14:paraId="019FF873" w14:textId="77777777">
        <w:tc>
          <w:tcPr>
            <w:tcW w:w="3085" w:type="dxa"/>
          </w:tcPr>
          <w:p w:rsidRPr="008238CC" w:rsidR="0058411F" w:rsidP="0058411F" w:rsidRDefault="0058411F" w14:paraId="45C0153F" w14:textId="77777777">
            <w:pPr>
              <w:autoSpaceDE w:val="0"/>
              <w:autoSpaceDN w:val="0"/>
              <w:jc w:val="left"/>
            </w:pPr>
            <w:r>
              <w:t>Σύνοδος ολομέλειας αριθ.</w:t>
            </w:r>
          </w:p>
        </w:tc>
        <w:tc>
          <w:tcPr>
            <w:tcW w:w="6204" w:type="dxa"/>
            <w:vAlign w:val="bottom"/>
          </w:tcPr>
          <w:p w:rsidRPr="008238CC" w:rsidR="0058411F" w:rsidP="0058411F" w:rsidRDefault="00373016" w14:paraId="74FBF982" w14:textId="77777777">
            <w:pPr>
              <w:autoSpaceDE w:val="0"/>
              <w:autoSpaceDN w:val="0"/>
              <w:jc w:val="left"/>
            </w:pPr>
            <w:r>
              <w:t>575</w:t>
            </w:r>
          </w:p>
        </w:tc>
      </w:tr>
      <w:tr w:rsidR="003E6C87" w14:paraId="623F42C3" w14:textId="77777777">
        <w:tc>
          <w:tcPr>
            <w:tcW w:w="3085" w:type="dxa"/>
          </w:tcPr>
          <w:p w:rsidRPr="008238CC" w:rsidR="0058411F" w:rsidP="0058411F" w:rsidRDefault="0058411F" w14:paraId="710B0FF1" w14:textId="77777777">
            <w:pPr>
              <w:autoSpaceDE w:val="0"/>
              <w:autoSpaceDN w:val="0"/>
              <w:jc w:val="left"/>
            </w:pPr>
            <w:r>
              <w:t>Αποτέλεσμα της ψηφοφορίας</w:t>
            </w:r>
            <w:r>
              <w:br/>
              <w:t>(υπέρ/κατά/αποχές)</w:t>
            </w:r>
          </w:p>
        </w:tc>
        <w:tc>
          <w:tcPr>
            <w:tcW w:w="6204" w:type="dxa"/>
            <w:vAlign w:val="bottom"/>
          </w:tcPr>
          <w:p w:rsidRPr="008238CC" w:rsidR="0058411F" w:rsidP="0058411F" w:rsidRDefault="00DA1AA8" w14:paraId="506F8B49" w14:textId="77777777">
            <w:pPr>
              <w:autoSpaceDE w:val="0"/>
              <w:autoSpaceDN w:val="0"/>
              <w:jc w:val="left"/>
            </w:pPr>
            <w:r>
              <w:t>183/0/5</w:t>
            </w:r>
          </w:p>
        </w:tc>
      </w:tr>
    </w:tbl>
    <w:p w:rsidRPr="008238CC" w:rsidR="00AC5114" w:rsidP="00574C9B" w:rsidRDefault="00AC5114" w14:paraId="2FF12B7A" w14:textId="77777777"/>
    <w:p w:rsidRPr="008238CC" w:rsidR="00AC5114" w:rsidP="00574C9B" w:rsidRDefault="00AC5114" w14:paraId="521DABBB" w14:textId="77777777">
      <w:pPr>
        <w:sectPr w:rsidRPr="008238CC" w:rsidR="00AC5114" w:rsidSect="00833285">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4C2B98" w:rsidR="007915C2" w:rsidP="004C2B98" w:rsidRDefault="007915C2" w14:paraId="5751F88D" w14:textId="77777777">
      <w:pPr>
        <w:pStyle w:val="Heading1"/>
        <w:keepNext/>
        <w:rPr>
          <w:bCs/>
        </w:rPr>
      </w:pPr>
      <w:r>
        <w:rPr>
          <w:b/>
        </w:rPr>
        <w:lastRenderedPageBreak/>
        <w:t>Εισαγωγή</w:t>
      </w:r>
    </w:p>
    <w:p w:rsidRPr="008238CC" w:rsidR="007915C2" w:rsidP="007915C2" w:rsidRDefault="007915C2" w14:paraId="7EB92E55" w14:textId="77777777">
      <w:pPr>
        <w:keepNext/>
        <w:rPr>
          <w:color w:val="000000"/>
        </w:rPr>
      </w:pPr>
    </w:p>
    <w:p w:rsidRPr="008238CC" w:rsidR="007915C2" w:rsidP="004C2B98" w:rsidRDefault="007915C2" w14:paraId="21336F69" w14:textId="77777777">
      <w:pPr>
        <w:pStyle w:val="Heading2"/>
        <w:rPr>
          <w:rFonts w:eastAsia="Calibri"/>
        </w:rPr>
      </w:pPr>
      <w:r>
        <w:t>Η κρίση της πανδημίας έχει πλήξει σοβαρά την ευρωμεσογειακή περιοχή, επιδεινώνοντας τα υφιστάμενα προβλήματα και εγείροντας νέα ζητήματα επιπλέον των προηγούμενων. Οι κοινωνικοοικονομικές επιπτώσεις είναι πιθανό να οξύνουν τις ανισότητες, ιδίως στις χώρες με αδύναμα οικονομικά και παραγωγικά συστήματα.</w:t>
      </w:r>
    </w:p>
    <w:p w:rsidRPr="008238CC" w:rsidR="007915C2" w:rsidP="007915C2" w:rsidRDefault="007915C2" w14:paraId="4D45E4C9" w14:textId="77777777">
      <w:pPr>
        <w:rPr>
          <w:rFonts w:eastAsia="Calibri"/>
          <w:color w:val="000000"/>
        </w:rPr>
      </w:pPr>
    </w:p>
    <w:p w:rsidRPr="008238CC" w:rsidR="007915C2" w:rsidP="004C2B98" w:rsidRDefault="007915C2" w14:paraId="0D66E477" w14:textId="77777777">
      <w:pPr>
        <w:pStyle w:val="Heading2"/>
        <w:rPr>
          <w:rFonts w:eastAsia="Calibri"/>
        </w:rPr>
      </w:pPr>
      <w:r>
        <w:t xml:space="preserve">Η επιτροπή παρακολούθησης «Euromed» της ΕΟΚΕ αποφάσισε να επικεντρωθεί στον ρόλο της κοινωνίας των πολιτών στην ανασυγκρότηση και την ανθεκτικότητα στην ευρωμεσογειακή περιοχή. </w:t>
      </w:r>
    </w:p>
    <w:p w:rsidRPr="008238CC" w:rsidR="007915C2" w:rsidP="007915C2" w:rsidRDefault="007915C2" w14:paraId="3F575CDB" w14:textId="77777777">
      <w:pPr>
        <w:rPr>
          <w:rFonts w:eastAsia="Calibri"/>
          <w:color w:val="000000"/>
        </w:rPr>
      </w:pPr>
    </w:p>
    <w:p w:rsidRPr="008238CC" w:rsidR="007915C2" w:rsidP="004C2B98" w:rsidRDefault="007915C2" w14:paraId="15921D2C" w14:textId="77777777">
      <w:pPr>
        <w:pStyle w:val="Heading2"/>
        <w:rPr>
          <w:rFonts w:eastAsia="Calibri"/>
        </w:rPr>
      </w:pPr>
      <w:r>
        <w:t xml:space="preserve">Οι οργανώσεις της κοινωνίας των πολιτών της ευρωμεσογειακής περιοχής και οι οικονομικές και κοινωνικές επιτροπές διαφόρων χωρών συμμετείχαν στην εκπόνηση της έκθεσης. Αναπτύχθηκε ειδική και στενή συνεργασία με το Οικονομικό, Κοινωνικό και Περιβαλλοντικό Συμβούλιο του Μαρόκου, το οποίο συνδιοργάνωσε την Ευρωμεσογειακή διάσκεψη κορυφής του 2021. </w:t>
      </w:r>
    </w:p>
    <w:p w:rsidRPr="008238CC" w:rsidR="007915C2" w:rsidP="007915C2" w:rsidRDefault="007915C2" w14:paraId="2175CBC5" w14:textId="77777777">
      <w:pPr>
        <w:rPr>
          <w:rFonts w:eastAsia="Calibri"/>
          <w:color w:val="000000"/>
        </w:rPr>
      </w:pPr>
    </w:p>
    <w:p w:rsidRPr="008238CC" w:rsidR="007915C2" w:rsidP="004C2B98" w:rsidRDefault="007915C2" w14:paraId="3F17138B" w14:textId="77777777">
      <w:pPr>
        <w:pStyle w:val="Heading2"/>
        <w:rPr>
          <w:rFonts w:eastAsia="Calibri"/>
        </w:rPr>
      </w:pPr>
      <w:r>
        <w:t>Ως εκ τούτου, η ενημερωτική έκθεση έχει σημαντικά πρόσθετα οφέλη λόγω της συμμετοχής της κοινωνίας των πολιτών εκατέρωθεν της Μεσογείου.</w:t>
      </w:r>
    </w:p>
    <w:p w:rsidRPr="008238CC" w:rsidR="007915C2" w:rsidP="007915C2" w:rsidRDefault="007915C2" w14:paraId="73558034" w14:textId="77777777">
      <w:pPr>
        <w:rPr>
          <w:rFonts w:eastAsia="Calibri"/>
          <w:color w:val="000000"/>
        </w:rPr>
      </w:pPr>
    </w:p>
    <w:p w:rsidRPr="008238CC" w:rsidR="007915C2" w:rsidP="004C2B98" w:rsidRDefault="007915C2" w14:paraId="32243A63" w14:textId="77777777">
      <w:pPr>
        <w:pStyle w:val="Heading2"/>
        <w:rPr>
          <w:rFonts w:eastAsia="Calibri"/>
        </w:rPr>
      </w:pPr>
      <w:r>
        <w:t>Η παρούσα έκθεση συμπληρώνει προηγούμενες ενημερωτικές εκθέσεις με τίτλο «Εκπαίδευση και επαγγελματική κατάρτιση στην ευρωμεσογειακή περιοχή», «Ψηφιοποίηση και μικρές και μεσαίες επιχειρήσεις (ΜΜΕ) στην περιοχή της Μεσογείου», καθώς και «Βιώσιμη ανάπτυξη στην περιοχή της Μεσογείου»</w:t>
      </w:r>
      <w:r w:rsidRPr="008238CC">
        <w:rPr>
          <w:rFonts w:eastAsia="Calibri"/>
          <w:sz w:val="24"/>
          <w:vertAlign w:val="superscript"/>
        </w:rPr>
        <w:footnoteReference w:id="1"/>
      </w:r>
      <w:r>
        <w:t>.</w:t>
      </w:r>
    </w:p>
    <w:p w:rsidRPr="008238CC" w:rsidR="007915C2" w:rsidP="007915C2" w:rsidRDefault="007915C2" w14:paraId="32E0A63B" w14:textId="77777777">
      <w:pPr>
        <w:outlineLvl w:val="1"/>
        <w:rPr>
          <w:rFonts w:eastAsia="Calibri"/>
          <w:color w:val="000000"/>
          <w:sz w:val="20"/>
          <w:szCs w:val="20"/>
        </w:rPr>
      </w:pPr>
    </w:p>
    <w:p w:rsidRPr="004C2B98" w:rsidR="007915C2" w:rsidP="004C2B98" w:rsidRDefault="007915C2" w14:paraId="6F55FD19" w14:textId="77777777">
      <w:pPr>
        <w:pStyle w:val="Heading1"/>
        <w:rPr>
          <w:bCs/>
        </w:rPr>
      </w:pPr>
      <w:r>
        <w:rPr>
          <w:b/>
        </w:rPr>
        <w:t>Συμπεράσματα</w:t>
      </w:r>
    </w:p>
    <w:p w:rsidRPr="008238CC" w:rsidR="007915C2" w:rsidP="007915C2" w:rsidRDefault="007915C2" w14:paraId="50DB95DA" w14:textId="77777777">
      <w:pPr>
        <w:keepNext/>
        <w:rPr>
          <w:color w:val="000000"/>
        </w:rPr>
      </w:pPr>
    </w:p>
    <w:p w:rsidRPr="008238CC" w:rsidR="007915C2" w:rsidP="004C2B98" w:rsidRDefault="007915C2" w14:paraId="1310AA15" w14:textId="77777777">
      <w:pPr>
        <w:pStyle w:val="Heading2"/>
      </w:pPr>
      <w:r>
        <w:t>Η κοινωνία των πολιτών, σε παγκόσμιο επίπεδο, αντέδρασε αμέσως στην πανδημία δρώντας στην πρώτη γραμμή, παρέχοντας υποστήριξη και αρωγή στον πληθυσμό. Στον ευρωμεσογειακό χώρο επίσης, η συμβολή της κοινωνίας των πολιτών ήταν ζωτικής σημασίας για τον μετριασμό των αρνητικών επιπτώσεων της COVID-19.</w:t>
      </w:r>
    </w:p>
    <w:p w:rsidRPr="008238CC" w:rsidR="007915C2" w:rsidP="007915C2" w:rsidRDefault="007915C2" w14:paraId="0159B1F6" w14:textId="77777777">
      <w:pPr>
        <w:rPr>
          <w:color w:val="000000"/>
        </w:rPr>
      </w:pPr>
    </w:p>
    <w:p w:rsidRPr="008238CC" w:rsidR="007915C2" w:rsidP="004C2B98" w:rsidRDefault="007915C2" w14:paraId="690CE509" w14:textId="77777777">
      <w:pPr>
        <w:pStyle w:val="Heading2"/>
      </w:pPr>
      <w:r>
        <w:t xml:space="preserve">Στην ευρωμεσογειακή περιοχή, οι οργανώσεις της κοινωνίας των πολιτών έχουν υποστηρίξει το κυβερνητικό έργο, παρέχοντας βασικές υπηρεσίες και ιατροφαρμακευτική περίθαλψη, έχουν διανείμει μέσα ατομικής προστασίας και έχουν συμβάλει στη διάδοση βασικών πληροφοριών, ιδίως σε απομακρυσμένες περιοχές. Η δράση τους ήταν επίσης υψίστης σημασίας για τον μετριασμό των συνεπειών της πανδημίας στα πλέον ευάλωτα τμήματα του πληθυσμού, όπως οι γυναίκες, οι νέοι, οι μετανάστες και τα άτομα με αναπηρία. </w:t>
      </w:r>
    </w:p>
    <w:p w:rsidRPr="008238CC" w:rsidR="007915C2" w:rsidP="007915C2" w:rsidRDefault="007915C2" w14:paraId="2EBB6CBA" w14:textId="77777777">
      <w:pPr>
        <w:rPr>
          <w:color w:val="000000"/>
        </w:rPr>
      </w:pPr>
    </w:p>
    <w:p w:rsidRPr="008238CC" w:rsidR="007915C2" w:rsidP="004C2B98" w:rsidRDefault="007915C2" w14:paraId="6746F46F" w14:textId="77777777">
      <w:pPr>
        <w:pStyle w:val="Heading2"/>
      </w:pPr>
      <w:r>
        <w:t>Η ενεργός δράση της κοινωνίας των πολιτών κατέστησε δυνατή την ενίσχυση της αλληλεγγύης στην ευρωμεσογειακή περιοχή. Πολλές οργανώσεις της κοινωνίας των πολιτών στη Νότια Γειτονία έχουν συμμετάσχει στη δημιουργία ομάδων αλληλεγγύης των πολιτών, πειραματιζόμενες με καινοτόμες μεθοδολογίες και εντατικοποιώντας τις διαδικτυακές τους δραστηριότητες ενημέρωσης και συντονισμού.</w:t>
      </w:r>
    </w:p>
    <w:p w:rsidRPr="008238CC" w:rsidR="007915C2" w:rsidP="007915C2" w:rsidRDefault="007915C2" w14:paraId="281C3080" w14:textId="77777777">
      <w:pPr>
        <w:rPr>
          <w:rFonts w:eastAsia="Calibri"/>
          <w:color w:val="000000"/>
        </w:rPr>
      </w:pPr>
    </w:p>
    <w:p w:rsidRPr="008238CC" w:rsidR="007915C2" w:rsidP="004C2B98" w:rsidRDefault="007915C2" w14:paraId="5C7D60BC" w14:textId="77777777">
      <w:pPr>
        <w:pStyle w:val="Heading2"/>
        <w:rPr>
          <w:rFonts w:eastAsia="Calibri"/>
        </w:rPr>
      </w:pPr>
      <w:r>
        <w:t>Η ΕΟΚΕ είναι πεπεισμένη ότι η δίκαιη και ισότιμη οικονομική και κοινωνική ανάκαμψη είναι δυνατή μόνο μέσω της συμμετοχής των κοινωνικών εταίρων και των οργανώσεων της κοινωνίας των πολιτών, του ιδιωτικού τομέα και ιδίως των μικρομεσαίων επιχειρήσεων (ΜΜΕ). Η ανάκαμψη της περιοχής της Μεσογείου και η ανάπτυξη βιώσιμων και ανθεκτικών κοινωνικοοικονομικών υποδειγμάτων πρέπει να καθοδηγούνται από αρχές όπως ο σεβασμός του κράτους δικαίου, η προστασία των δημοκρατικών αξιών και των κοινωνικών και ανθρωπίνων δικαιωμάτων, η κοινή προσήλωση στην επίτευξη των Στόχων Βιώσιμης Ανάπτυξης και της κλιματικής ουδετερότητας.</w:t>
      </w:r>
    </w:p>
    <w:p w:rsidRPr="008238CC" w:rsidR="007915C2" w:rsidP="007915C2" w:rsidRDefault="007915C2" w14:paraId="50F4FC04" w14:textId="77777777">
      <w:pPr>
        <w:rPr>
          <w:rFonts w:eastAsia="Calibri"/>
          <w:color w:val="000000"/>
        </w:rPr>
      </w:pPr>
    </w:p>
    <w:p w:rsidRPr="008238CC" w:rsidR="007915C2" w:rsidP="004C2B98" w:rsidRDefault="007915C2" w14:paraId="6174F89F" w14:textId="77777777">
      <w:pPr>
        <w:pStyle w:val="Heading2"/>
        <w:rPr>
          <w:rFonts w:eastAsia="Calibri"/>
          <w:kern w:val="28"/>
        </w:rPr>
      </w:pPr>
      <w:r>
        <w:t>Η ΕΟΚΕ επικροτεί την έγκριση του νέου Θεματολογίου για τη Μεσόγειο και τονίζει την ανάγκη όλα τα μέτρα υποστήριξης της ανάκαμψης να βασίζονται στην ανάπτυξη και τη βελτίωση της ποιότητας ζωής των κατοίκων της περιοχής.</w:t>
      </w:r>
    </w:p>
    <w:p w:rsidRPr="008238CC" w:rsidR="007915C2" w:rsidP="007915C2" w:rsidRDefault="007915C2" w14:paraId="5F72DD6D" w14:textId="77777777">
      <w:pPr>
        <w:rPr>
          <w:rFonts w:eastAsia="Calibri"/>
          <w:color w:val="000000"/>
        </w:rPr>
      </w:pPr>
    </w:p>
    <w:p w:rsidRPr="008238CC" w:rsidR="007915C2" w:rsidP="004C2B98" w:rsidRDefault="007915C2" w14:paraId="54A58D7E" w14:textId="77777777">
      <w:pPr>
        <w:pStyle w:val="Heading2"/>
        <w:rPr>
          <w:rFonts w:eastAsia="Calibri"/>
        </w:rPr>
      </w:pPr>
      <w:r>
        <w:t>Σήμερα, ορισμένα κοινωνικά, πολιτικά, περιβαλλοντικά, γεωπολιτικά και μεταναστευτικά ζητούμενα συγκεντρώνονται στη Μεσόγειο και αποτελούν βασικά ζητούμενα, όχι μόνο για την Ευρώπη, αλλά και για ολόκληρο τον πλανήτη. Η ΕΟΚΕ πιστεύει ότι τα αυξανόμενα πολυδιάστατα ζητούμενα της περιοχής είναι δυνατόν να απαντηθούν μόνο εάν ακολουθηθεί ανανεωμένη και αποτελεσματική πολυμερής προσέγγιση που θα υποστηρίζεται από την ΕΕ.</w:t>
      </w:r>
    </w:p>
    <w:p w:rsidRPr="008238CC" w:rsidR="007915C2" w:rsidP="007915C2" w:rsidRDefault="007915C2" w14:paraId="6E31EE04" w14:textId="77777777">
      <w:pPr>
        <w:outlineLvl w:val="1"/>
        <w:rPr>
          <w:rFonts w:eastAsia="Calibri"/>
          <w:color w:val="000000"/>
        </w:rPr>
      </w:pPr>
    </w:p>
    <w:p w:rsidRPr="008238CC" w:rsidR="007915C2" w:rsidP="004C2B98" w:rsidRDefault="007915C2" w14:paraId="0C850817" w14:textId="77777777">
      <w:pPr>
        <w:pStyle w:val="Heading2"/>
        <w:rPr>
          <w:rFonts w:eastAsia="Calibri"/>
          <w:kern w:val="28"/>
        </w:rPr>
      </w:pPr>
      <w:r>
        <w:t>Οι επιπτώσεις της κλιματικής αλλαγής επηρεάζουν επίσης την περιοχή της Μεσογείου μέσω της απερήμωσης, της λειψυδρίας και της αύξησης των θερμοκρασιών. Η τρέχουσα κρίση ανέδειξε την ανάγκη ενίσχυσης της κοινής ανθεκτικότητας και εξεύρεσης λύσεων στα νέα ζητήματα συνεργασίας στα του περιβάλλοντος και της ψηφιοποίησης. Η ΕΟΚΕ θεωρεί χρήσιμο —ιδίως ενόψει της ενίσχυσης της ευαισθητοποίησης της κοινωνίας των πολιτών και της μεγαλύτερης συμμετοχής των κοινωνικών εταίρων— να επεκταθούν και να ενισχυθούν πρωτοβουλίες όπως η WestMED, με σκοπό την υποβοήθηση της επίτευξης των κλιματικών και περιβαλλοντικών στόχων μέσω υποδειγμάτων γαλάζιας οικονομίας με στόχο τη δημιουργία θέσεων εργασίας και την προστασία του οικοσυστήματος και της ποικιλομορφίας.</w:t>
      </w:r>
    </w:p>
    <w:p w:rsidRPr="008238CC" w:rsidR="007915C2" w:rsidP="007915C2" w:rsidRDefault="007915C2" w14:paraId="66941EEA" w14:textId="77777777">
      <w:pPr>
        <w:outlineLvl w:val="1"/>
        <w:rPr>
          <w:rFonts w:eastAsia="Calibri"/>
          <w:color w:val="000000"/>
          <w:kern w:val="28"/>
        </w:rPr>
      </w:pPr>
    </w:p>
    <w:p w:rsidRPr="008238CC" w:rsidR="007915C2" w:rsidP="004C2B98" w:rsidRDefault="007915C2" w14:paraId="5B72D890" w14:textId="77777777">
      <w:pPr>
        <w:pStyle w:val="Heading2"/>
        <w:rPr>
          <w:kern w:val="28"/>
        </w:rPr>
      </w:pPr>
      <w:r>
        <w:t>Δέκα χρόνια μετά την Αραβική Άνοιξη, η ΕΕ ανανέωσε τη στρατηγική συνεργασίας της με τις γειτονικές χώρες της Μεσογείου. Μέσα σε αυτό το περίγραμμα, η ΕΟΚΕ θεωρεί το νέο Θεματολόγιο για τη Μεσόγειο βασικό μέσο κοινωνικής και οικονομικής ανάκαμψης της περιοχής από την κρίση της COVID-19. Η ανανεωμένη δέσμευση εταιρικής σχέσης πρέπει να συνδέεται στενά όχι μόνο με τα οικονομικά και κοινωνικά ζητούμενα, αλλά και με τα αντίστοιχα περιβαλλοντικά, δημογραφικά και μεταναστευτικά, χωρίς να τίθενται επ’ ουδενί εν αμφιβόλω η πρόοδος και οι θεμελιώδεις αξίες της ΕΕ. Η κατάσταση των δομών υγείας έχει αποδειχθεί εύθραυστη σε πολλά μέρη της περιοχής, και η κρίση της πανδημίας αποτελεί σημαντική δοκιμασία που θα μπορούσε επίσης να επηρεάσει την πολιτική σταθερότητα.</w:t>
      </w:r>
    </w:p>
    <w:p w:rsidRPr="008238CC" w:rsidR="007915C2" w:rsidP="007915C2" w:rsidRDefault="007915C2" w14:paraId="5FEAF92F" w14:textId="77777777">
      <w:pPr>
        <w:rPr>
          <w:rFonts w:eastAsia="Calibri"/>
          <w:color w:val="000000"/>
        </w:rPr>
      </w:pPr>
    </w:p>
    <w:p w:rsidRPr="008238CC" w:rsidR="007915C2" w:rsidP="004C2B98" w:rsidRDefault="007915C2" w14:paraId="546656FD" w14:textId="77777777">
      <w:pPr>
        <w:pStyle w:val="Heading2"/>
      </w:pPr>
      <w:r>
        <w:t>Στα προγράμματα ανάκαμψης και ανασυγκρότησης της περιοχής της Μεσογείου θα πρέπει να δοθεί ιδιαίτερη σημασία στην ταχεία ανάκαμψη του τουριστικού τομέα και δη των ΜΜΕ, οι οποίες απασχολούν περισσότερους από τους μισούς εργαζομένους στην ΕΕ. Ο παρατεταμένος αντίκτυπος της κρίσης σε αυτούς τους κλάδους —συμπεριλαμβανομένης της διαρθρωτικής ανεργίας, ιδίως των νέων— θα έχει σοβαρές κοινωνικές συνέπειες.</w:t>
      </w:r>
    </w:p>
    <w:p w:rsidRPr="008238CC" w:rsidR="007915C2" w:rsidP="007915C2" w:rsidRDefault="007915C2" w14:paraId="75241CB8" w14:textId="77777777">
      <w:pPr>
        <w:rPr>
          <w:rFonts w:eastAsia="Calibri"/>
          <w:color w:val="000000"/>
        </w:rPr>
      </w:pPr>
    </w:p>
    <w:p w:rsidRPr="008238CC" w:rsidR="007915C2" w:rsidP="004C2B98" w:rsidRDefault="007915C2" w14:paraId="056EC5DE" w14:textId="77777777">
      <w:pPr>
        <w:pStyle w:val="Heading2"/>
        <w:rPr>
          <w:rFonts w:eastAsia="Calibri"/>
        </w:rPr>
      </w:pPr>
      <w:r>
        <w:t>Η ανάπτυξη του κεφαλαίου του εργατικού δυναμικού είναι ιδιαίτερα σημαντική για τη βιώσιμη ανάπτυξη των μεσογειακών εταίρων της ΕΕ. Ιδίως στον κλάδο του τουρισμού, θα πρέπει να ενισχυθεί η κατάρτιση του προσωπικού. Επιπροσθέτως, η ΕΟΚΕ επισημαίνει ότι το πρόβλημα της αποδημίας επιστημόνων από τις χώρες-εταίρους του Νότου προς τις ιδιαίτερα ανεπτυγμένες εκβιομηχανισμένες χώρες αποτελεί σοβαρό εμπόδιο, ιδίως για τον ψηφιακό μετασχηματισμό των οικονομιών τους. Ως εκ τούτου, τα κράτη μέλη της ΕΕ θα πρέπει να διευκολύνουν τη χορήγηση βραχυπρόθεσμων και μεσοπρόθεσμων αδειών εργασίας στην ΕΕ τόσο στους αυτοαπασχολούμενους όσο και στους μισθωτούς, ιδίως στον κλάδο της πληροφορικής. Συν τοις άλλοις, η Ευρωπαϊκή Επιτροπή θα πρέπει να υποστηρίξει την εκτέλεση ψηφιακών έργων στις χώρες-εταίρους, ώστε ιδίως οι τεχνικοί πληροφορικής να έχουν καλές ευκαιρίες απασχόλησης στις χώρες καταγωγής τους.</w:t>
      </w:r>
    </w:p>
    <w:p w:rsidRPr="008238CC" w:rsidR="007915C2" w:rsidP="007915C2" w:rsidRDefault="007915C2" w14:paraId="05A9956B" w14:textId="77777777">
      <w:pPr>
        <w:outlineLvl w:val="0"/>
        <w:rPr>
          <w:bCs/>
          <w:color w:val="000000"/>
          <w:kern w:val="28"/>
        </w:rPr>
      </w:pPr>
    </w:p>
    <w:p w:rsidRPr="008238CC" w:rsidR="007915C2" w:rsidP="004C2B98" w:rsidRDefault="007915C2" w14:paraId="55D5CD16" w14:textId="77777777">
      <w:pPr>
        <w:pStyle w:val="Heading2"/>
        <w:rPr>
          <w:rFonts w:eastAsia="Calibri"/>
          <w:kern w:val="28"/>
        </w:rPr>
      </w:pPr>
      <w:r>
        <w:t>Επιδιώκοντας να ενισχύσει τον διάλογό της με τη Νότια Γειτονία, η ΕΕ θα κάνει χρήση των υφιστάμενων μέσων και προγραμμάτων συνεργασίας. Η ΕΟΚΕ συνιστά την ευρύτερη δυνατή συμμετοχή των οργανώσεων της κοινωνίας των πολιτών μέσω της διεξαγωγής κοινωνικού διαλόγου χωρίς αποκλεισμούς σε όλα τα επίπεδα. Σε αυτόν θα λαμβάνονται υπόψη οι ιδιαιτερότητες και ο ρόλος των διαφόρων συναρμοδίων και θα τονίζεται η συμβολή τους στον σχεδιασμό και την εφαρμογή των πολιτικών και των μέτρων που απαιτούνται για τη διαχείριση του αντικτύπου των συντελούμενων αλλαγών και κρίσεων, αρχής γενομένης από τις επιπτώσεις της κλιματικής αλλαγής.</w:t>
      </w:r>
    </w:p>
    <w:p w:rsidRPr="008238CC" w:rsidR="007915C2" w:rsidP="007915C2" w:rsidRDefault="007915C2" w14:paraId="0629AD12" w14:textId="77777777">
      <w:pPr>
        <w:rPr>
          <w:color w:val="000000"/>
        </w:rPr>
      </w:pPr>
    </w:p>
    <w:p w:rsidRPr="008238CC" w:rsidR="007915C2" w:rsidP="004C2B98" w:rsidRDefault="007915C2" w14:paraId="07E14A7C" w14:textId="77777777">
      <w:pPr>
        <w:pStyle w:val="Heading2"/>
      </w:pPr>
      <w:r>
        <w:t>Εκτιμάται ότι πολλές χώρες της Νότιας Γειτονίας θα υποστούν μείωση του κατά κεφαλήν ΑΕγχΠ τους και θα πρέπει να δώσουν σημαντικές απαντήσεις για την αντιμετώπιση των αυξανόμενων κοινωνικών και οικονομικών κινδύνων, καθώς και των κινδύνων φτώχειας. Για τον λόγο αυτό, απαιτούνται σχέδια οικονομικής και χρηματοπιστωτικής ανασυγκρότησης, που θα περιέχουν μέτρα για την επίλυση προβλημάτων που προκαλούν την οξυνόμενη κοινωνική επισφάλεια.</w:t>
      </w:r>
    </w:p>
    <w:p w:rsidRPr="008238CC" w:rsidR="007915C2" w:rsidP="007915C2" w:rsidRDefault="007915C2" w14:paraId="68F31A56" w14:textId="77777777">
      <w:pPr>
        <w:rPr>
          <w:rFonts w:eastAsia="Calibri"/>
          <w:color w:val="000000"/>
        </w:rPr>
      </w:pPr>
    </w:p>
    <w:p w:rsidRPr="008238CC" w:rsidR="007915C2" w:rsidP="004C2B98" w:rsidRDefault="007915C2" w14:paraId="51464449" w14:textId="77777777">
      <w:pPr>
        <w:pStyle w:val="Heading2"/>
        <w:rPr>
          <w:rFonts w:eastAsia="Calibri"/>
        </w:rPr>
      </w:pPr>
      <w:r>
        <w:t>Η οικονομική ανάκαμψη πολλών γειτονικών χωρών της Μεσογείου συνδέεται στενά με την αποτελεσματικότητα μιας κατάλληλης εκστρατείας εμβολιασμού και, ως εκ τούτου, η ΕΟΚΕ συνιστά στα θεσμικά όργανα της ΕΕ να μεριμνήσουν για την ενίσχυση μηχανισμού παγκόσμιας πρόσβασης σε εμβόλιο κατά της COVID-19 (COVAX) και την παροχή της μέγιστης δυνατής υλικοτεχνικής υποστήριξης και εφοδιασμού τους — μέσω και διμερών συμφωνιών. Η ΕΟΚΕ τονίζει ότι είναι ιδιαίτερα σημαντικό να υποστηριχθούν οι χώρες-εταίροι νοτίως της Μεσογείου να αποκτήσουν στην επικράτειά τους εγκαταστάσεις αυτοκαθοριζόμενης παραγωγής εμβολίων και ιατρικών προϊόντων. Εν προκειμένω, επαναλαμβάνει το αίτημά της να συζητηθεί σοβαρά η περίπτωση άρσης της προστασίας των διπλωμάτων ευρεσιτεχνίας για τα εμβόλια και τα ιατρικά προϊόντα καταπολέμησης των πανδημιών.</w:t>
      </w:r>
    </w:p>
    <w:p w:rsidRPr="008238CC" w:rsidR="007915C2" w:rsidP="007915C2" w:rsidRDefault="007915C2" w14:paraId="0FB685B4" w14:textId="77777777">
      <w:pPr>
        <w:rPr>
          <w:rFonts w:eastAsia="Calibri"/>
          <w:color w:val="000000"/>
        </w:rPr>
      </w:pPr>
    </w:p>
    <w:p w:rsidRPr="008238CC" w:rsidR="007915C2" w:rsidP="004C2B98" w:rsidRDefault="007915C2" w14:paraId="6834146B" w14:textId="77777777">
      <w:pPr>
        <w:pStyle w:val="Heading2"/>
        <w:rPr>
          <w:rFonts w:eastAsia="Calibri"/>
        </w:rPr>
      </w:pPr>
      <w:r>
        <w:t>Η ΕΟΚΕ πιστεύει ότι, κατά την ανάκαμψη από την COVID-19, η ενεργός συμμετοχή της κοινωνίας των πολιτών είναι καταλυτική για την επίτευξη στόχων όπως η βελτίωση της ποιότητας ζωής των ανθρώπων και η ανάπτυξη ενός νέου υποδείγματος βιώσιμης ανάπτυξης. Καλεί, ως εκ τούτου, τα θεσμικά όργανα της ΕΕ να ενισχύσουν περαιτέρω, στο πλαίσιο της εταιρικής σχέσης με τη Νότια Γειτονία, όλα τα μέσα για τη συμμετοχή των οργανώσεων της κοινωνίας των πολιτών.</w:t>
      </w:r>
    </w:p>
    <w:p w:rsidRPr="008238CC" w:rsidR="007915C2" w:rsidP="007915C2" w:rsidRDefault="007915C2" w14:paraId="31003865" w14:textId="77777777">
      <w:pPr>
        <w:rPr>
          <w:rFonts w:eastAsia="Calibri"/>
          <w:color w:val="000000"/>
        </w:rPr>
      </w:pPr>
    </w:p>
    <w:p w:rsidRPr="008238CC" w:rsidR="007915C2" w:rsidP="004C2B98" w:rsidRDefault="007915C2" w14:paraId="70804744" w14:textId="77777777">
      <w:pPr>
        <w:pStyle w:val="Heading2"/>
      </w:pPr>
      <w:r>
        <w:t>Οι οργανώσεις της κοινωνίας των πολιτών έχουν πρωτοστατήσει στην ιατροφαρμακευτική και κοινωνική αντιμετώπιση της πανδημίας, και η ενεργός δράση τους συνέβαλε στον μετριασμό των κοινωνικών και υγειονομικών επιπτώσεων στον πληθυσμό. Ωστόσο, όπως έχει ήδη επισημάνει η ΕΟΚΕ, η ικανότητά τους να ανταποκρίνονται στις ανάγκες της κοινωνίας εξαρτάται από το γεγονός ότι οι πόροι είναι συχνά περιορισμένοι και υπόκεινται σε διακυμάνσεις. Η ΕΟΚΕ είναι πεπεισμένη για την ανάγκη ενίσχυσης των μηχανισμών υποστήριξης των οργανώσεων της κοινωνίας των πολιτών, μεταξύ άλλων για την καλύτερη προστασία των πλέον ευάλωτων ομάδων που πλήττονται ιδιαίτερα από την πανδημία, όπως οι νέοι, οι γυναίκες, οι μετανάστες και τα άτομα με αναπηρία.</w:t>
      </w:r>
    </w:p>
    <w:p w:rsidRPr="008238CC" w:rsidR="007915C2" w:rsidP="007915C2" w:rsidRDefault="007915C2" w14:paraId="043AEDF9" w14:textId="77777777">
      <w:pPr>
        <w:rPr>
          <w:rFonts w:eastAsia="Calibri"/>
          <w:color w:val="000000"/>
        </w:rPr>
      </w:pPr>
    </w:p>
    <w:p w:rsidRPr="008238CC" w:rsidR="007915C2" w:rsidP="004C2B98" w:rsidRDefault="007915C2" w14:paraId="63C81D15" w14:textId="77777777">
      <w:pPr>
        <w:pStyle w:val="Heading2"/>
        <w:rPr>
          <w:rFonts w:eastAsia="Calibri"/>
        </w:rPr>
      </w:pPr>
      <w:r>
        <w:t>Η ΕΟΚΕ ζητεί από τα θεσμικά όργανα της ΕΕ να αναλάβουν περαιτέρω δράση για τη προαγωγή της ειρήνης, των δημοκρατικών καθεστώτων και του σεβασμού των ανθρωπίνων δικαιωμάτων στις περιοχές συγκρούσεων στις γειτονικές χώρες της Μεσογείου. Οι συνθήκες διαβίωσης των πληθυσμών σε περιοχές συγκρούσεων επιδεινώθηκαν περαιτέρω ως αποτέλεσμα της πανδημίας και απαιτείται σύντονη προσπάθεια για να εξασφαλιστεί ένα άρτιο ειρηνευτικό σχέδιο.</w:t>
      </w:r>
    </w:p>
    <w:p w:rsidRPr="008238CC" w:rsidR="007915C2" w:rsidP="007915C2" w:rsidRDefault="007915C2" w14:paraId="0F108E3E" w14:textId="77777777">
      <w:pPr>
        <w:rPr>
          <w:rFonts w:eastAsia="Calibri"/>
          <w:color w:val="000000"/>
          <w:highlight w:val="green"/>
        </w:rPr>
      </w:pPr>
    </w:p>
    <w:p w:rsidRPr="008238CC" w:rsidR="007915C2" w:rsidP="004C2B98" w:rsidRDefault="007915C2" w14:paraId="092D8B50" w14:textId="77777777">
      <w:pPr>
        <w:pStyle w:val="Heading2"/>
      </w:pPr>
      <w:r>
        <w:t>Ενόψει της πιθανής δύσκολης ανάκαμψης από την πανδημία, οι εν εξελίξει εμπορικές διαπραγματεύσεις μεταξύ της ΕΕ και του Μαρόκου και της Τυνησίας, καθώς και οι επικείμενες διαπραγματεύσεις με την Ιορδανία, αποκτούν ακόμη μεγαλύτερη σημασία. Η ΕΕ θα πρέπει να λάβει περισσότερο υπόψη τις υφιστάμενες ασυμμετρίες και να συντρέξει επαρκώς τους νότιους εμπορικούς εταίρους της. Η ΕΟΚΕ ζητεί τη διεύρυνση της συμμετοχής των οργανώσεων της κοινωνίας των πολιτών και των κοινωνικών εταίρων στις διαδικασίες διαπραγμάτευσης, καθώς και τη ρητή κατοχύρωσή της στις Συνθήκες, ώστε να μπορέσουν να συμβάλουν στις εμπορικές σχέσεις μεταξύ των χωρών-εταίρων, ιδίως με μέλημα την εφαρμογή των υποχρεωτικών κεφαλαίων για τη βιωσιμότητα των μελλοντικών εμπορικών συμφωνιών.</w:t>
      </w:r>
    </w:p>
    <w:p w:rsidRPr="008238CC" w:rsidR="007915C2" w:rsidP="007915C2" w:rsidRDefault="007915C2" w14:paraId="334624AD" w14:textId="77777777">
      <w:pPr>
        <w:outlineLvl w:val="1"/>
        <w:rPr>
          <w:color w:val="000000"/>
        </w:rPr>
      </w:pPr>
    </w:p>
    <w:p w:rsidRPr="008238CC" w:rsidR="007915C2" w:rsidP="004C2B98" w:rsidRDefault="007915C2" w14:paraId="24F9C58F" w14:textId="77777777">
      <w:pPr>
        <w:pStyle w:val="Heading2"/>
      </w:pPr>
      <w:r>
        <w:t>Επιπροσθέτως, η ΕΟΚΕ προτείνει να ανατεθεί στις οργανώσεις της κοινωνίας των πολιτών και στους κοινωνικούς εταίρους η ευθύνη όχι μόνο για τα κεφάλαια για τη βιωσιμότητα, αλλά και για ολόκληρο το πεδίο εφαρμογής των εμπορικών και επενδυτικών συμφωνιών βάσει της επίσημα δομημένης συμμετοχής τους.</w:t>
      </w:r>
    </w:p>
    <w:p w:rsidRPr="008238CC" w:rsidR="007915C2" w:rsidP="007915C2" w:rsidRDefault="007915C2" w14:paraId="1D1CC815" w14:textId="77777777">
      <w:pPr>
        <w:rPr>
          <w:color w:val="000000"/>
        </w:rPr>
      </w:pPr>
    </w:p>
    <w:p w:rsidRPr="008238CC" w:rsidR="007915C2" w:rsidP="004C2B98" w:rsidRDefault="007915C2" w14:paraId="74348BE4" w14:textId="77777777">
      <w:pPr>
        <w:pStyle w:val="Heading2"/>
        <w:rPr>
          <w:rFonts w:eastAsia="Calibri"/>
        </w:rPr>
      </w:pPr>
      <w:r>
        <w:t>Η ΕΟΚΕ επαναλαμβάνει την άποψή της ότι η ΕΕ θα πρέπει να διοχετεύσει μέρος των κονδυλίων της βοήθειας για το εμπόριο στην υποβοήθηση της συμμετοχής των οργανώσεων της κοινωνίας των πολιτών και της ανάπτυξης ικανοτήτων στις προσπάθειες για βιώσιμο εμπόριο και επενδύσεις.</w:t>
      </w:r>
    </w:p>
    <w:p w:rsidRPr="008238CC" w:rsidR="007915C2" w:rsidP="007915C2" w:rsidRDefault="007915C2" w14:paraId="1EE7A7DC" w14:textId="77777777">
      <w:pPr>
        <w:rPr>
          <w:rFonts w:eastAsia="Calibri"/>
          <w:color w:val="000000"/>
          <w:highlight w:val="green"/>
        </w:rPr>
      </w:pPr>
    </w:p>
    <w:p w:rsidRPr="008238CC" w:rsidR="007915C2" w:rsidP="004C2B98" w:rsidRDefault="007915C2" w14:paraId="381F6A7B" w14:textId="77777777">
      <w:pPr>
        <w:pStyle w:val="Heading2"/>
      </w:pPr>
      <w:r>
        <w:t>Η ΕΟΚΕ έχει ήδη ζητήσει στο παρελθόν την ενίσχυση των ψηφιακών δεξιοτήτων και στις δύο πλευρές της Μεσογείου Μετά την έγκριση της νέας στρατηγικής για τη Μεσόγειο και ενόψει της ανασυγκρότησης μετά την πανδημία, η ΕΟΚΕ υπενθυμίζει την ανάγκη να ενισχυθούν οι επενδύσεις σε ψηφιακές υποδομές και να υποστηριχθεί ο ψηφιακός μετασχηματισμός των ΜΜΕ ως κινητήριων δυνάμεων για την απασχόληση και την κοινωνική πρόοδο — μεταξύ άλλων μέσω της συμμετοχής των κοινωνικών εταίρων, με την αναγνώριση του δυναμικού των συλλογικών διαπραγματεύσεων και του κοινωνικού διαλόγου στα διάφορα επίπεδα.</w:t>
      </w:r>
    </w:p>
    <w:p w:rsidRPr="008238CC" w:rsidR="007915C2" w:rsidP="007915C2" w:rsidRDefault="007915C2" w14:paraId="2844B612" w14:textId="77777777">
      <w:pPr>
        <w:outlineLvl w:val="0"/>
        <w:rPr>
          <w:bCs/>
          <w:color w:val="000000"/>
          <w:kern w:val="28"/>
        </w:rPr>
      </w:pPr>
    </w:p>
    <w:p w:rsidRPr="004C2B98" w:rsidR="007915C2" w:rsidP="004C2B98" w:rsidRDefault="007915C2" w14:paraId="6F098BA8" w14:textId="77777777">
      <w:pPr>
        <w:pStyle w:val="Heading1"/>
        <w:rPr>
          <w:bCs/>
        </w:rPr>
      </w:pPr>
      <w:r>
        <w:rPr>
          <w:b/>
        </w:rPr>
        <w:t>Γενικές παρατηρήσεις</w:t>
      </w:r>
    </w:p>
    <w:p w:rsidRPr="008238CC" w:rsidR="007915C2" w:rsidP="007915C2" w:rsidRDefault="007915C2" w14:paraId="5C3F91EF" w14:textId="77777777">
      <w:pPr>
        <w:keepNext/>
        <w:keepLines/>
        <w:rPr>
          <w:color w:val="000000"/>
          <w:sz w:val="20"/>
          <w:szCs w:val="20"/>
          <w:highlight w:val="green"/>
        </w:rPr>
      </w:pPr>
    </w:p>
    <w:p w:rsidRPr="008238CC" w:rsidR="007915C2" w:rsidP="004C2B98" w:rsidRDefault="007915C2" w14:paraId="0DCE58DE" w14:textId="77777777">
      <w:pPr>
        <w:pStyle w:val="Heading2"/>
        <w:rPr>
          <w:rFonts w:eastAsia="Calibri"/>
        </w:rPr>
      </w:pPr>
      <w:r>
        <w:t>Η πανδημία έχει επιδεινώσει τις κρίσεις στις γειτονικές χώρες της Μεσογείου. Εικοσιπέντε χρόνια μετά τη Διακήρυξη της Βαρκελώνης και 10 χρόνια μετά την Αραβική Άνοιξη, τα ζητούμενα στη Μεσόγειο παραμένουν τεράστια. Η ΕΕ και οι εταίροι της στην περιοχή της Μεσογείου αποφάσισαν πρόσφατα να ενισχύσουν τη συνεργασία και να της δώσουν νέα ώθηση μέσω του φιλόδοξου νέου Θεματολογίου για τη Μεσόγειο.</w:t>
      </w:r>
    </w:p>
    <w:p w:rsidRPr="008238CC" w:rsidR="007915C2" w:rsidP="007915C2" w:rsidRDefault="007915C2" w14:paraId="4033E45C" w14:textId="77777777">
      <w:pPr>
        <w:outlineLvl w:val="1"/>
        <w:rPr>
          <w:rFonts w:eastAsia="Calibri"/>
          <w:color w:val="000000"/>
        </w:rPr>
      </w:pPr>
    </w:p>
    <w:p w:rsidRPr="008238CC" w:rsidR="007915C2" w:rsidP="004C2B98" w:rsidRDefault="007915C2" w14:paraId="21CC819A" w14:textId="77777777">
      <w:pPr>
        <w:pStyle w:val="Heading2"/>
      </w:pPr>
      <w:r>
        <w:t>Το νέο θεματολόγιο βασίζεται στην πεποίθηση ότι μόνο με τη συνεργασία και σε πνεύμα εταιρικής σχέσης μπορούν να απαντηθούν επιτυχώς τα στρατηγικά ζητήματα του μέλλοντος προς το αμοιβαίο συμφέρον. Το θεματολόγιο περιλαμβάνει ειδικό σχέδιο οικονομικών επενδύσεων υπέρ της κοινωνικοοικονομικής ανάκαμψης των γειτονικών χωρών της Μεσογείου κατά την περίοδο 2021-2027. Κοινός στόχος, όπως δήλωσε ο Ύπατος Εκπρόσωπος κ. Josep Borrell, είναι η οικοδόμηση μιας ειρηνικής, ασφαλούς, πιο δημοκρατικής, φιλικής προς το περιβάλλον, ευημερούσας και χωρίς αποκλεισμούς Νότιας Γειτονίας.</w:t>
      </w:r>
    </w:p>
    <w:p w:rsidRPr="008238CC" w:rsidR="007915C2" w:rsidP="007915C2" w:rsidRDefault="007915C2" w14:paraId="3D94C52A" w14:textId="77777777">
      <w:pPr>
        <w:rPr>
          <w:rFonts w:eastAsia="Calibri"/>
          <w:color w:val="000000"/>
        </w:rPr>
      </w:pPr>
    </w:p>
    <w:p w:rsidRPr="008238CC" w:rsidR="007915C2" w:rsidP="004C2B98" w:rsidRDefault="007915C2" w14:paraId="0F5CBC65" w14:textId="77777777">
      <w:pPr>
        <w:pStyle w:val="Heading2"/>
      </w:pPr>
      <w:r>
        <w:t>Σε πρόσφατη μελέτη που δημοσιεύτηκε από τον «Ευρωμεσογειακό διάλογο για τα δικαιώματα και την ισότητα» (Med Dialogue for Rights and Equality), με τίτλο «</w:t>
      </w:r>
      <w:r>
        <w:rPr>
          <w:i/>
        </w:rPr>
        <w:t>Bridging the Sea</w:t>
      </w:r>
      <w:r w:rsidRPr="008238CC">
        <w:rPr>
          <w:sz w:val="24"/>
          <w:vertAlign w:val="superscript"/>
        </w:rPr>
        <w:footnoteReference w:id="2"/>
      </w:r>
      <w:r>
        <w:t>», διαπιστώθηκε ότι σχεδόν το 63 % των οργανώσεων της κοινωνίας των πολιτών που δραστηριοποιούνται στη Νότια Γειτονία ασχολούνται με ζητήματα όπως η εμπέδωση της δημοκρατίας και των δικαιωμάτων, ενώ πάνω από το 53 % ασχολείται, μεταξύ άλλων, με τη διόρθωση των κοινωνικοοικονομικών ανισοτήτων. Η ευαισθησία και η προσοχή τους σε οικολογικά και περιβαλλοντικά ζητήματα αποκτούν όλο και μεγαλύτερη σημασία. Τα στοιχεία αυτά επιβεβαιώνουν ότι υπάρχει στέρεη βάση, αλλά και ανάγκη να ενισχυθεί η συνδρομή της κοινωνίας των πολιτών για την καλύτερη αντιμετώπιση των ζητημάτων του μέλλοντος.</w:t>
      </w:r>
    </w:p>
    <w:p w:rsidRPr="008238CC" w:rsidR="007915C2" w:rsidP="007915C2" w:rsidRDefault="007915C2" w14:paraId="73B423E3" w14:textId="77777777">
      <w:pPr>
        <w:rPr>
          <w:color w:val="000000"/>
        </w:rPr>
      </w:pPr>
    </w:p>
    <w:p w:rsidRPr="008238CC" w:rsidR="007915C2" w:rsidP="004C2B98" w:rsidRDefault="007915C2" w14:paraId="60D1BA51" w14:textId="77777777">
      <w:pPr>
        <w:pStyle w:val="Heading2"/>
      </w:pPr>
      <w:r>
        <w:t>Η κοινωνία των πολιτών στις χώρες της Νότιας Γειτονίας ενίσχυσε την παρουσία της κατά τις τελευταίες δύο δεκαετίες. Η ενεργός δράση της κατέστησε δυνατό τον μετριασμό των κοινωνικών και υγειονομικών επιπτώσεων για τον πληθυσμό, αλλά ταυτόχρονα ανέδειξε την ανάγκη παρέμβασης για την ενίσχυση της ικανότητας και των δεξιοτήτων της κοινωνίας των πολιτών ώστε να λειτουργεί καλύτερα.</w:t>
      </w:r>
    </w:p>
    <w:p w:rsidRPr="008238CC" w:rsidR="007915C2" w:rsidP="007915C2" w:rsidRDefault="007915C2" w14:paraId="68E5A332" w14:textId="77777777">
      <w:pPr>
        <w:outlineLvl w:val="1"/>
        <w:rPr>
          <w:color w:val="000000"/>
        </w:rPr>
      </w:pPr>
    </w:p>
    <w:p w:rsidRPr="008238CC" w:rsidR="007915C2" w:rsidP="004C2B98" w:rsidRDefault="007915C2" w14:paraId="4CB292F9" w14:textId="77777777">
      <w:pPr>
        <w:pStyle w:val="Heading2"/>
      </w:pPr>
      <w:r>
        <w:t>Η περιοχή της Μεσογείου, όπως και ο υπόλοιπος κόσμος, έχει υποστεί σοβαρό οικονομικό και κοινωνικό πλήγμα εξαιτίας της πανδημίας COVID-19. Οι επιπτώσεις στην κοινωνία και την υγεία επιδεινώθηκαν λόγω της έλλειψης επαρκών υποδομών υγείας, ιδίως στις πιο ευάλωτες χώρες. Η πανδημία έχει επιτείνει τις κρίσεις που υφίστανται ήδη σε ορισμένες χώρες, λόγω διαφόρων παραγόντων, όπως οι ήδη επισφαλείς οικονομικές και κοινωνικές εξελίξεις, τα υψηλά επίπεδα ανεργίας και οι συνέπειες των συγκρούσεων σε ορισμένες περιοχές όπως η Λιβύη και η Συρία.</w:t>
      </w:r>
    </w:p>
    <w:p w:rsidRPr="008238CC" w:rsidR="007915C2" w:rsidP="007915C2" w:rsidRDefault="007915C2" w14:paraId="79BD442D" w14:textId="77777777">
      <w:pPr>
        <w:outlineLvl w:val="1"/>
        <w:rPr>
          <w:color w:val="000000"/>
        </w:rPr>
      </w:pPr>
    </w:p>
    <w:p w:rsidRPr="008238CC" w:rsidR="007915C2" w:rsidP="004C2B98" w:rsidRDefault="007915C2" w14:paraId="6CED7DDD" w14:textId="77777777">
      <w:pPr>
        <w:pStyle w:val="Heading2"/>
        <w:rPr>
          <w:rFonts w:eastAsia="Calibri"/>
        </w:rPr>
      </w:pPr>
      <w:r>
        <w:t>Οι κυβερνήσεις στην περιοχή της Μεσογείου, αν και με σημαντικές διαφορές, αντέδρασαν αμέσως για να αναχαιτίσουν την εξάπλωση της πανδημίας, θέτοντας σε εφαρμογή μέτρα αρωγής των εργαζομένων και των επιχειρήσεων — μεταξύ άλλων σε συνεργασία με τους κοινωνικούς εταίρους και τις οργανώσεις της κοινωνίας των πολιτών, αν και η συμμετοχή τους ήταν συχνά ανεπαρκής και σε ορισμένες περιπτώσεις σχεδόν μηδαμινή. Για να περιοριστούν οι επιπτώσεις της πανδημίας, όλα σχεδόν τα κράτη της περιοχής της Μεσογείου έχουν λάβει μέτρα περιορισμού και απαγόρευσης της κυκλοφορίας, καθώς περιορισμού των μετακινήσεων.</w:t>
      </w:r>
    </w:p>
    <w:p w:rsidRPr="008238CC" w:rsidR="007915C2" w:rsidP="007915C2" w:rsidRDefault="007915C2" w14:paraId="6E026983" w14:textId="77777777">
      <w:pPr>
        <w:outlineLvl w:val="1"/>
        <w:rPr>
          <w:rFonts w:eastAsia="Calibri"/>
          <w:color w:val="000000"/>
        </w:rPr>
      </w:pPr>
    </w:p>
    <w:p w:rsidRPr="008238CC" w:rsidR="007915C2" w:rsidP="004C2B98" w:rsidRDefault="007915C2" w14:paraId="6D96CBE3" w14:textId="77777777">
      <w:pPr>
        <w:pStyle w:val="Heading2"/>
        <w:rPr>
          <w:rFonts w:eastAsia="Calibri"/>
        </w:rPr>
      </w:pPr>
      <w:r>
        <w:t>Λόγω της πανδημίας, πολλές κυβερνήσεις της ευρωζώνης έχουν θέσει σε εφαρμογή πολιτικές μεγάλης εμβέλειας για την αντιμετώπιση της οικονομικής κρίσης και την υποστήριξη συγκεκριμένων τομέων, ενθαρρύνοντας την παραγωγή και εισάγοντας φορολογικές και οικονομικές διευκολύνσεις και μέτρα για την προσέλκυση επενδύσεων.</w:t>
      </w:r>
    </w:p>
    <w:p w:rsidRPr="008238CC" w:rsidR="007915C2" w:rsidP="007915C2" w:rsidRDefault="007915C2" w14:paraId="4D18A2B3" w14:textId="77777777">
      <w:pPr>
        <w:outlineLvl w:val="1"/>
        <w:rPr>
          <w:rFonts w:eastAsia="Calibri"/>
          <w:strike/>
          <w:color w:val="000000"/>
        </w:rPr>
      </w:pPr>
    </w:p>
    <w:p w:rsidRPr="008238CC" w:rsidR="007915C2" w:rsidP="004C2B98" w:rsidRDefault="007915C2" w14:paraId="452681C5" w14:textId="77777777">
      <w:pPr>
        <w:pStyle w:val="Heading2"/>
        <w:rPr>
          <w:rFonts w:eastAsia="Calibri"/>
        </w:rPr>
      </w:pPr>
      <w:r>
        <w:t>Η πανδημία έχει αρνητικές οικονομικές συνέπειες σε ολόκληρη την περιοχή της Μεσογείου, όχι μόνο λόγω παραγόντων όπως η μειωμένη εσωτερική και εξωτερική ζήτηση και η καταβαράθρωση της κατανάλωσης, αλλά και εξαιτίας της επιδείνωσης του χρηματοπιστωτικού τομέα και του δημόσιου χρέους. Από τότε που ξέσπασε η πανδημία, οι κυβερνήσεις της περιοχής διέθεσαν πρόσθετους πόρους στο σύστημα υγείας και στην οικονομία τους για την υποστήριξη ορισμένων κλάδων. Για τον λόγο αυτό, το δημόσιο έλλειμμα σχεδόν όλων των χωρών της περιοχής της Μεσογείου θα αυξηθεί σημαντικά.</w:t>
      </w:r>
    </w:p>
    <w:p w:rsidRPr="008238CC" w:rsidR="007915C2" w:rsidP="007915C2" w:rsidRDefault="007915C2" w14:paraId="714D4D1D" w14:textId="77777777">
      <w:pPr>
        <w:outlineLvl w:val="1"/>
        <w:rPr>
          <w:rFonts w:eastAsia="Calibri"/>
          <w:strike/>
          <w:color w:val="000000"/>
        </w:rPr>
      </w:pPr>
    </w:p>
    <w:p w:rsidRPr="008238CC" w:rsidR="007915C2" w:rsidP="004C2B98" w:rsidRDefault="007915C2" w14:paraId="3D94369D" w14:textId="77777777">
      <w:pPr>
        <w:pStyle w:val="Heading2"/>
        <w:rPr>
          <w:rFonts w:eastAsia="Calibri"/>
        </w:rPr>
      </w:pPr>
      <w:r>
        <w:t>Ο τομέας των μεταφορών έχει πληγεί σοβαρά εξαιτίας των περιοριστικών μέτρων που εμπόδισαν και περιέστειλαν τις διεθνείς μετακινήσεις, με αποτέλεσμα ο τουρισμός να είναι ένας από τους τομείς που επλήγησαν περισσότερο από την πανδημία. Ο ΟΟΣΑ υπολόγισε τη συρρίκνωση του τομέα μεταξύ 45 και 70 % και τη μείωση του διεθνούς τουρισμού μεταξύ 60 και 80 %</w:t>
      </w:r>
      <w:r w:rsidRPr="008238CC">
        <w:rPr>
          <w:rFonts w:eastAsia="Calibri"/>
          <w:sz w:val="24"/>
          <w:vertAlign w:val="superscript"/>
        </w:rPr>
        <w:footnoteReference w:id="3"/>
      </w:r>
      <w:r>
        <w:t>. Ο τουρισμός είναι ένας από τους κύριους τομείς της οικονομίας των μεσογειακών χωρών και, σύμφωνα με τη Διάσκεψη των Ηνωμένων Εθνών για το Εμπόριο και την Ανάπτυξη (UNCTAD), η Αίγυπτος και το Μαρόκο θα είναι μεταξύ των χωρών που θα πληγούν περισσότερο παγκοσμίως</w:t>
      </w:r>
      <w:r w:rsidRPr="008238CC">
        <w:rPr>
          <w:rFonts w:eastAsia="Calibri"/>
          <w:sz w:val="24"/>
          <w:vertAlign w:val="superscript"/>
        </w:rPr>
        <w:footnoteReference w:id="4"/>
      </w:r>
      <w:r>
        <w:t>.</w:t>
      </w:r>
    </w:p>
    <w:p w:rsidRPr="008238CC" w:rsidR="007915C2" w:rsidP="007915C2" w:rsidRDefault="007915C2" w14:paraId="7A000038" w14:textId="77777777">
      <w:pPr>
        <w:outlineLvl w:val="1"/>
        <w:rPr>
          <w:rFonts w:eastAsia="Calibri"/>
          <w:color w:val="000000"/>
        </w:rPr>
      </w:pPr>
    </w:p>
    <w:p w:rsidRPr="008238CC" w:rsidR="007915C2" w:rsidP="004C2B98" w:rsidRDefault="007915C2" w14:paraId="6D1566B7" w14:textId="77777777">
      <w:pPr>
        <w:pStyle w:val="Heading2"/>
        <w:rPr>
          <w:rFonts w:eastAsia="Calibri"/>
        </w:rPr>
      </w:pPr>
      <w:r>
        <w:t xml:space="preserve">Οι πολύ μικρές και μικρομεσαίες επιχειρήσεις, καθώς και οι αυτοαπασχολούμενοι αποτελούν μια ακόμη σημαντική συνιστώσα της οικονομίας των χωρών της νότιας ακτής της Μεσογείου. Ο κύκλος εργασιών τους έχει ελαττωθεί σε μεγάλο βαθμό και οι περισσότερες εξ αυτών αναγκάστηκαν να μειώσουν τον αριθμό των εργαζομένων τους. Εν προκειμένω, θα χρειαστούν διαρθρωτικά μέτρα για να βοηθηθούν οι ΜΜΕ να εξέλθουν από την κρίση, να αναπτυχθούν και να καινοτομήσουν, απαντώντας στο διττό ζητούμενο της ψηφιοποίησης και της απαλλαγής από τις ανθρακούχες εκπομπές. </w:t>
      </w:r>
    </w:p>
    <w:p w:rsidRPr="008238CC" w:rsidR="007915C2" w:rsidP="007915C2" w:rsidRDefault="007915C2" w14:paraId="69127CC7" w14:textId="77777777">
      <w:pPr>
        <w:rPr>
          <w:rFonts w:eastAsia="Calibri"/>
          <w:color w:val="000000"/>
        </w:rPr>
      </w:pPr>
    </w:p>
    <w:p w:rsidRPr="008238CC" w:rsidR="007915C2" w:rsidP="004C2B98" w:rsidRDefault="007915C2" w14:paraId="0549D9B4" w14:textId="77777777">
      <w:pPr>
        <w:pStyle w:val="Heading2"/>
      </w:pPr>
      <w:r>
        <w:t>Η κρίση της πανδημίας στην περιοχή της Μεσογείου επηρέασε όλες τις κοινωνικές ομάδες, αλλά ιδίως τις εξής: τους νέους, εξαιτίας της επιδείνωσης της αγοράς εργασίας και του κλεισίματος των σχολείων και των πανεπιστημίων· τις γυναίκες, οι οποίες —σε ορισμένες περιοχές όπως οι χώρες της Νότιας Γειτονίας— απασχολούνται κυρίως στους κλάδους της άτυπης οικονομίας, της γεωργίας και του τουρισμού που επλήγη σοβαρά από τα περιοριστικά μέτρα· τις ευάλωτες ομάδες, όπως οι άτυποι εργαζόμενοι και οι πρόσφυγες, οι οποίοι συχνά δεν έχουν υπάγονται στα μέτρα κοινωνικής προστασίας, καθώς και τα άτομα με αναπηρία εξαιτίας των συχνά ανεπαρκών υπηρεσιών.</w:t>
      </w:r>
    </w:p>
    <w:p w:rsidRPr="008238CC" w:rsidR="007915C2" w:rsidP="007915C2" w:rsidRDefault="007915C2" w14:paraId="7D318815" w14:textId="77777777">
      <w:pPr>
        <w:rPr>
          <w:rFonts w:eastAsia="Calibri"/>
          <w:color w:val="000000"/>
        </w:rPr>
      </w:pPr>
    </w:p>
    <w:p w:rsidRPr="008238CC" w:rsidR="007915C2" w:rsidP="004C2B98" w:rsidRDefault="007915C2" w14:paraId="703E8895" w14:textId="77777777">
      <w:pPr>
        <w:pStyle w:val="Heading2"/>
      </w:pPr>
      <w:r>
        <w:t>Σε ορισμένες περιοχές της Νότιας Γειτονίας, παράγοντες όπως η λειψυδρία και η ανεπαρκής πρόσβαση σε αποχετευτικά δίκτυα έχουν επιδεινώσει τον αντίκτυπο της πανδημίας, ιδίως στα πλέον κοινωνικά απομονωμένα στρώματα, στις περιοχές συγκρούσεων και στους καταυλισμούς προσφύγων.</w:t>
      </w:r>
    </w:p>
    <w:p w:rsidRPr="008238CC" w:rsidR="007915C2" w:rsidP="007915C2" w:rsidRDefault="007915C2" w14:paraId="2A0ABF2E" w14:textId="77777777">
      <w:pPr>
        <w:rPr>
          <w:color w:val="000000"/>
        </w:rPr>
      </w:pPr>
    </w:p>
    <w:p w:rsidRPr="004C2B98" w:rsidR="007915C2" w:rsidP="004C2B98" w:rsidRDefault="007915C2" w14:paraId="795515B5" w14:textId="77777777">
      <w:pPr>
        <w:pStyle w:val="Heading1"/>
        <w:keepNext/>
        <w:rPr>
          <w:bCs/>
        </w:rPr>
      </w:pPr>
      <w:r>
        <w:rPr>
          <w:b/>
        </w:rPr>
        <w:t>Ζητούμενα και ευκαιρίες</w:t>
      </w:r>
    </w:p>
    <w:p w:rsidRPr="008238CC" w:rsidR="007915C2" w:rsidP="007915C2" w:rsidRDefault="007915C2" w14:paraId="502EC454" w14:textId="77777777">
      <w:pPr>
        <w:keepNext/>
        <w:keepLines/>
        <w:rPr>
          <w:color w:val="000000"/>
          <w:sz w:val="20"/>
          <w:szCs w:val="20"/>
          <w:highlight w:val="green"/>
        </w:rPr>
      </w:pPr>
    </w:p>
    <w:p w:rsidRPr="008238CC" w:rsidR="007915C2" w:rsidP="004C2B98" w:rsidRDefault="007915C2" w14:paraId="2D2EA2DC" w14:textId="77777777">
      <w:pPr>
        <w:pStyle w:val="Heading2"/>
        <w:rPr>
          <w:rFonts w:eastAsia="Calibri"/>
        </w:rPr>
      </w:pPr>
      <w:r>
        <w:t>Όπως τόνισε ο γενικός γραμματέας της Ένωσης για τη Μεσόγειο</w:t>
      </w:r>
      <w:r w:rsidRPr="008238CC">
        <w:rPr>
          <w:sz w:val="24"/>
          <w:vertAlign w:val="superscript"/>
        </w:rPr>
        <w:footnoteReference w:id="5"/>
      </w:r>
      <w:r>
        <w:t xml:space="preserve">, η τρέχουσα κρίση στον τομέα της υγείας θέτει σε κίνδυνο την κοινωνικοοικονομική πρόοδο που είχε συντελεστεί στην περιοχή τα τελευταία χρόνια. Ωστόσο, η κρίση αποτελεί ευκαιρία ενίσχυσης της ολοκλήρωσης και της ανθεκτικότητας των οικονομιών. </w:t>
      </w:r>
    </w:p>
    <w:p w:rsidRPr="008238CC" w:rsidR="007915C2" w:rsidP="007915C2" w:rsidRDefault="007915C2" w14:paraId="712A8B50" w14:textId="77777777">
      <w:pPr>
        <w:rPr>
          <w:rFonts w:eastAsia="Calibri"/>
          <w:color w:val="000000"/>
        </w:rPr>
      </w:pPr>
    </w:p>
    <w:p w:rsidRPr="008238CC" w:rsidR="007915C2" w:rsidP="004C2B98" w:rsidRDefault="007915C2" w14:paraId="082F8183" w14:textId="77777777">
      <w:pPr>
        <w:pStyle w:val="Heading2"/>
      </w:pPr>
      <w:r>
        <w:t>Ο ρόλος της κοινωνίας των πολιτών στην ευρωμεσογειακή περιοχή είναι υψίστης σημασίας για την οικοδόμηση μιας πιο δίκαιης και χωρίς αποκλεισμούς κοινωνίας μετά την πανδημία. Ομοίως, όπως επισημάνθηκε κατά τη διάρκεια της Κοινωνικής συνόδου κορυφής του Πόρτο</w:t>
      </w:r>
      <w:r w:rsidRPr="008238CC">
        <w:rPr>
          <w:sz w:val="24"/>
          <w:vertAlign w:val="superscript"/>
        </w:rPr>
        <w:footnoteReference w:id="6"/>
      </w:r>
      <w:r>
        <w:t>, η ενεργός συμμετοχή των κοινωνικών εταίρων και των οργανώσεων της κοινωνίας των πολιτών είναι ζωτικής σημασίας για να μην μείνει κανείς πίσω και για την αποτελεσματική εφαρμογή του Ευρωπαϊκού πυλώνα κοινωνικών δικαιωμάτων.</w:t>
      </w:r>
    </w:p>
    <w:p w:rsidRPr="008238CC" w:rsidR="007915C2" w:rsidP="007915C2" w:rsidRDefault="007915C2" w14:paraId="21884566" w14:textId="77777777">
      <w:pPr>
        <w:rPr>
          <w:color w:val="000000"/>
        </w:rPr>
      </w:pPr>
    </w:p>
    <w:p w:rsidRPr="008238CC" w:rsidR="007915C2" w:rsidP="004C2B98" w:rsidRDefault="007915C2" w14:paraId="03DB267C" w14:textId="77777777">
      <w:pPr>
        <w:pStyle w:val="Heading2"/>
      </w:pPr>
      <w:r>
        <w:t>Η νόσος COVID-19 και τα μέτρα αντιμετώπισής της θέτουν σε κίνδυνο τη βιωσιμότητα της κοινωνίας των πολιτών. Κυβερνήσεις και πολλοί χορηγοί έχουν αναστείλει τις επιχορηγήσεις τους και τη χρηματοδότηση, ανακατευθύνοντας κεφάλαια στις προσπάθειες ανακούφισης από τη νόσο COVID-19. Συνέπεια αυτών είναι η απειλή της ήδη εύθραυστης βιωσιμότητας των οργανώσεων της κοινωνίας των πολιτών, της δυνατότητας να συνεχίσουν να υπηρετούν τις κοινότητες και της δουλειάς πολλών εργαζομένων της κοινωνίας των πολιτών, αν και υπάρχουν μεγάλες προσδοκίες από τις εν λόγω οργανώσεις. Η ΕΟΚΕ τονίζει ότι οι επιχορηγήσεις για την οργανωτική βιωσιμότητα και η βασική υποστηρικτική χρηματοδότηση είναι ζωτικής σημασίας έτσι ώστε οι οργανώσεις αυτές να προσαρμοστούν στις ταχέως μεταβαλλόμενες καταστάσεις και να συνεχίσουν τις δραστηριότητές τους κατά τη διάρκεια των εκάστοτε κρίσεων.</w:t>
      </w:r>
    </w:p>
    <w:p w:rsidRPr="008238CC" w:rsidR="007915C2" w:rsidP="007915C2" w:rsidRDefault="007915C2" w14:paraId="09602104" w14:textId="77777777">
      <w:pPr>
        <w:rPr>
          <w:rFonts w:eastAsia="Calibri"/>
          <w:color w:val="000000"/>
        </w:rPr>
      </w:pPr>
    </w:p>
    <w:p w:rsidRPr="008238CC" w:rsidR="007915C2" w:rsidP="004C2B98" w:rsidRDefault="007915C2" w14:paraId="47DF523F" w14:textId="77777777">
      <w:pPr>
        <w:pStyle w:val="Heading2"/>
        <w:rPr>
          <w:rFonts w:eastAsia="Calibri"/>
        </w:rPr>
      </w:pPr>
      <w:r>
        <w:t>Η ΕΟΚΕ έχει επισημάνει ότι η Μεσόγειος είναι ένα από τα πλέον ευάλωτα μέρη του κόσμου όσον αφορά τις επιπτώσεις της κλιματικής αλλαγής. Η COVID-19 έχει επηρεάσει αρνητικά την κοινωνική κατάσταση και πρόοδο, καθιστώντας επείγουσα την εφαρμογή στρατηγικών βιώσιμης ανάπτυξης και πράσινης οικονομίας.</w:t>
      </w:r>
    </w:p>
    <w:p w:rsidRPr="008238CC" w:rsidR="007915C2" w:rsidP="007915C2" w:rsidRDefault="007915C2" w14:paraId="5D6312C7" w14:textId="77777777">
      <w:pPr>
        <w:outlineLvl w:val="1"/>
        <w:rPr>
          <w:rFonts w:eastAsia="Calibri"/>
          <w:color w:val="000000"/>
        </w:rPr>
      </w:pPr>
    </w:p>
    <w:p w:rsidRPr="008238CC" w:rsidR="007915C2" w:rsidP="004C2B98" w:rsidRDefault="007915C2" w14:paraId="3CD4389B" w14:textId="77777777">
      <w:pPr>
        <w:pStyle w:val="Heading2"/>
        <w:rPr>
          <w:rFonts w:eastAsia="Calibri"/>
        </w:rPr>
      </w:pPr>
      <w:r>
        <w:t>Η έγκριση σχεδίων ανάκαμψης στην περιοχή της Μεσογείου θα μπορούσε να αποτελεί ευκαιρία οικονομικής, κοινωνικής και περιβαλλοντικής αναβάθμισης της περιοχής. Είναι σημαντικό να συνδεθούν οι αναπτυξιακές ευκαιρίες με τον σεβασμό αρχών όπως η αλληλεγγύη, η καταπολέμηση των ανισοτήτων, η προστασία και ο σεβασμός του κράτους δικαίου. Η ενεργός συμμετοχή της κοινωνίας των πολιτών είναι απαραίτητη για την επίτευξη όλων των στόχων.</w:t>
      </w:r>
    </w:p>
    <w:p w:rsidRPr="008238CC" w:rsidR="007915C2" w:rsidP="007915C2" w:rsidRDefault="007915C2" w14:paraId="348C63C2" w14:textId="77777777">
      <w:pPr>
        <w:outlineLvl w:val="1"/>
        <w:rPr>
          <w:rFonts w:eastAsia="Calibri"/>
          <w:color w:val="000000"/>
        </w:rPr>
      </w:pPr>
    </w:p>
    <w:p w:rsidRPr="008238CC" w:rsidR="007915C2" w:rsidP="004C2B98" w:rsidRDefault="007915C2" w14:paraId="08DBCDF7" w14:textId="77777777">
      <w:pPr>
        <w:pStyle w:val="Heading2"/>
      </w:pPr>
      <w:r>
        <w:t>Στη Νότια Γειτονία, τα μελλοντικά σχέδια ανασυγκρότησης μετά τη COVID-19, παράλληλα με την οικονομική ανάπτυξη, θα πρέπει να έχουν πρωταρχική σημασία σε δράσεις που αποσκοπούν στον περιορισμό των περιβαλλοντικών προβλημάτων που σχετίζονται με την κλιματική αλλαγή, τη λειψυδρία και τη ρύπανση. Τα μέτρα διατήρησης και προστασίας του περιβάλλοντος θα μπορούσαν να έχουν θετική επίδραση στην περιοχή της Μεσογείου με την ενίσχυση της πολυσυλλεκτικότητας της οικονομίας και τη δημιουργία θέσεων εργασίας. Επ’ αυτού, η ΕΟΚΕ εφιστά την προσοχή στις πολύ υψηλές δυνατότητες των ανανεώσιμων πηγών ενέργειας (ιδίως της ηλιακής και της αιολικής) στις νότιες χώρες-εταίρους και καλεί την ΕΕ και τα κράτη μέλη της να επιδιώξουν περισσότερες βιώσιμες κοινές επενδύσεις στον τομέα αυτό.</w:t>
      </w:r>
    </w:p>
    <w:p w:rsidRPr="008238CC" w:rsidR="007915C2" w:rsidP="007915C2" w:rsidRDefault="007915C2" w14:paraId="737930F4" w14:textId="77777777">
      <w:pPr>
        <w:outlineLvl w:val="1"/>
        <w:rPr>
          <w:rFonts w:eastAsia="Calibri"/>
          <w:color w:val="000000"/>
        </w:rPr>
      </w:pPr>
    </w:p>
    <w:p w:rsidRPr="008238CC" w:rsidR="007915C2" w:rsidP="004C2B98" w:rsidRDefault="007915C2" w14:paraId="0B57F1A3" w14:textId="77777777">
      <w:pPr>
        <w:pStyle w:val="Heading2"/>
        <w:rPr>
          <w:rFonts w:eastAsia="Calibri"/>
        </w:rPr>
      </w:pPr>
      <w:r>
        <w:t xml:space="preserve">Η ΕΟΚΕ έχει ήδη τονίσει την ανάγκη προώθησης μιας δίκαιης μετάβασης στην περιοχή της Μεσογείου, μεταξύ άλλων για να υπάρξουν οφέλη όσον αφορά την υγεία, την εκπαίδευση και το φύλο. Εφόσον το ζητούμενο είναι η ανάκαμψη που θα βασίζεται πραγματικά στις αρχές της μετάβασης και της ψηφιοποίησης, θα είναι ζωτικής σημασίας να προαχθούν η ευαισθητοποίηση, συγκεκριμένες μορφές επιχειρηματικής στάσης και οι ψηφιακές δεξιότητες. Η ΕΟΚΕ υποστηρίζει το αίτημα των νότιων χωρών-εταίρων της η ΕΕ και τα κράτη μέλη της να επιδείξουν μεγαλύτερη προσήλωση στα της συνεργασίας όσον αφορά την έρευνα και την ανάπτυξη στη Μεσόγειο. </w:t>
      </w:r>
    </w:p>
    <w:p w:rsidRPr="008238CC" w:rsidR="007915C2" w:rsidP="007915C2" w:rsidRDefault="007915C2" w14:paraId="47DDAA65" w14:textId="77777777">
      <w:pPr>
        <w:outlineLvl w:val="1"/>
        <w:rPr>
          <w:color w:val="000000"/>
        </w:rPr>
      </w:pPr>
    </w:p>
    <w:p w:rsidRPr="008238CC" w:rsidR="007915C2" w:rsidP="004C2B98" w:rsidRDefault="007915C2" w14:paraId="1DDEB6AA" w14:textId="77777777">
      <w:pPr>
        <w:pStyle w:val="Heading2"/>
      </w:pPr>
      <w:r>
        <w:t>Η ανάκαμψη των οικονομιών της Νότιας Γειτονίας —όπου η άτυπη απασχόληση και η αντίστοιχη οικονομία έχουν σημαντικό μερίδιο— συνδέεται επίσης στενά με την ανάπτυξη ενός αποτελεσματικού υποδείγματος επαγγελματικής κατάρτισης και εκπαίδευσης. Η ΕΟΚΕ επαναλαμβάνει την ανάγκη ενίσχυσης των επαγγελματικών δεξιοτήτων, ιδίως των νέων και των γυναικών, ώστε να μπορούν να χρησιμοποιούνται σε εθνικό και διακρατικό επίπεδο μέσω της επανιδείκευσης των εργαζομένων. Οι οργανώσεις της κοινωνίας των πολιτών διαδραματίζουν επίσης σημαντικό ρόλο στην ενίσχυση των δεξιοτήτων μέσω της μη τυπικής εκπαίδευσης, στη διοργάνωση εργαστηρίων και κατάρτισης και στην προώθηση της κοινωνικής οικονομίας. Επίσης, επαναλαμβάνει την ανάγκη, που έχει ήδη επισημανθεί στον περιφερειακό διάλογο της Ένωσης για τη Μεσόγειο με τους κοινωνικούς εταίρους, να συμμετέχουν οι κοινωνικοί εταίροι, μεταξύ άλλων με σκοπό την αντιμετώπιση της αναντιστοιχίας μεταξύ προσφοράς και ζήτησης εντός της αγοράς εργασίας.</w:t>
      </w:r>
    </w:p>
    <w:p w:rsidRPr="008238CC" w:rsidR="007915C2" w:rsidRDefault="007915C2" w14:paraId="041266A9" w14:textId="77777777">
      <w:pPr>
        <w:overflowPunct w:val="0"/>
        <w:autoSpaceDE w:val="0"/>
        <w:autoSpaceDN w:val="0"/>
        <w:adjustRightInd w:val="0"/>
        <w:textAlignment w:val="baseline"/>
        <w:rPr>
          <w:color w:val="000000"/>
        </w:rPr>
      </w:pPr>
    </w:p>
    <w:p w:rsidRPr="008238CC" w:rsidR="00D95FB9" w:rsidP="004C2B98" w:rsidRDefault="00D95FB9" w14:paraId="50F91F22" w14:textId="77777777">
      <w:pPr>
        <w:jc w:val="left"/>
        <w:rPr>
          <w:color w:val="000000"/>
        </w:rPr>
      </w:pPr>
      <w:r>
        <w:rPr>
          <w:color w:val="000000"/>
        </w:rPr>
        <w:t>Βρυξέλλες, 24 Ιανουαρίου 2023</w:t>
      </w:r>
    </w:p>
    <w:p w:rsidRPr="008238CC" w:rsidR="00D95FB9" w:rsidP="004C2B98" w:rsidRDefault="00D95FB9" w14:paraId="002C4EF8" w14:textId="77777777">
      <w:pPr>
        <w:jc w:val="left"/>
        <w:rPr>
          <w:color w:val="000000"/>
        </w:rPr>
      </w:pPr>
    </w:p>
    <w:p w:rsidRPr="008238CC" w:rsidR="00D95FB9" w:rsidP="004C2B98" w:rsidRDefault="00D95FB9" w14:paraId="3EDE3DFC" w14:textId="77777777">
      <w:pPr>
        <w:jc w:val="left"/>
        <w:rPr>
          <w:color w:val="000000"/>
        </w:rPr>
      </w:pPr>
    </w:p>
    <w:p w:rsidRPr="008238CC" w:rsidR="00D95FB9" w:rsidP="004C2B98" w:rsidRDefault="00D95FB9" w14:paraId="6EFCC7BC" w14:textId="77777777">
      <w:pPr>
        <w:jc w:val="left"/>
        <w:rPr>
          <w:color w:val="000000"/>
        </w:rPr>
      </w:pPr>
    </w:p>
    <w:p w:rsidRPr="008238CC" w:rsidR="00D95FB9" w:rsidP="004C2B98" w:rsidRDefault="00D95FB9" w14:paraId="728761B1" w14:textId="77777777">
      <w:pPr>
        <w:jc w:val="left"/>
        <w:rPr>
          <w:color w:val="000000"/>
        </w:rPr>
      </w:pPr>
      <w:r>
        <w:rPr>
          <w:color w:val="000000"/>
        </w:rPr>
        <w:t>Christa SCWENG</w:t>
      </w:r>
    </w:p>
    <w:p w:rsidRPr="008238CC" w:rsidR="007915C2" w:rsidP="004C2B98" w:rsidRDefault="00D95FB9" w14:paraId="4EBBC0CE" w14:textId="77777777">
      <w:pPr>
        <w:jc w:val="left"/>
        <w:rPr>
          <w:color w:val="000000"/>
        </w:rPr>
      </w:pPr>
      <w:r>
        <w:rPr>
          <w:color w:val="000000"/>
        </w:rPr>
        <w:t>Πρόεδρος της Ευρωπαϊκής Οικονομικής και Κοινωνικής Επιτροπής</w:t>
      </w:r>
    </w:p>
    <w:p w:rsidRPr="008238CC" w:rsidR="007915C2" w:rsidP="007915C2" w:rsidRDefault="007915C2" w14:paraId="13E08245" w14:textId="77777777">
      <w:pPr>
        <w:spacing w:line="240" w:lineRule="auto"/>
        <w:jc w:val="left"/>
        <w:rPr>
          <w:color w:val="000000"/>
        </w:rPr>
      </w:pPr>
      <w:r>
        <w:br w:type="page"/>
      </w:r>
    </w:p>
    <w:p w:rsidRPr="008238CC" w:rsidR="007915C2" w:rsidP="007915C2" w:rsidRDefault="007915C2" w14:paraId="26F245F8" w14:textId="77777777">
      <w:pPr>
        <w:jc w:val="right"/>
        <w:rPr>
          <w:b/>
          <w:color w:val="000000"/>
          <w:sz w:val="28"/>
          <w:szCs w:val="28"/>
        </w:rPr>
      </w:pPr>
      <w:r>
        <w:rPr>
          <w:b/>
          <w:color w:val="000000"/>
          <w:sz w:val="28"/>
        </w:rPr>
        <w:t>Appendix I</w:t>
      </w:r>
    </w:p>
    <w:p w:rsidRPr="008238CC" w:rsidR="007915C2" w:rsidP="007915C2" w:rsidRDefault="007915C2" w14:paraId="3772F7B6" w14:textId="77777777">
      <w:pPr>
        <w:rPr>
          <w:color w:val="000000"/>
        </w:rPr>
      </w:pPr>
    </w:p>
    <w:p w:rsidRPr="008238CC" w:rsidR="007915C2" w:rsidP="004C2B98" w:rsidRDefault="007915C2" w14:paraId="5095D8EF" w14:textId="77777777">
      <w:pPr>
        <w:pStyle w:val="Heading1"/>
        <w:numPr>
          <w:ilvl w:val="0"/>
          <w:numId w:val="6"/>
        </w:numPr>
      </w:pPr>
      <w:r>
        <w:t>Country update</w:t>
      </w:r>
    </w:p>
    <w:p w:rsidRPr="008238CC" w:rsidR="007915C2" w:rsidP="007915C2" w:rsidRDefault="007915C2" w14:paraId="1FB01E2B" w14:textId="77777777">
      <w:pPr>
        <w:keepNext/>
        <w:keepLines/>
        <w:rPr>
          <w:color w:val="000000"/>
        </w:rPr>
      </w:pPr>
    </w:p>
    <w:p w:rsidRPr="008238CC" w:rsidR="007915C2" w:rsidP="004C2B98" w:rsidRDefault="007915C2" w14:paraId="42822D30" w14:textId="77777777">
      <w:pPr>
        <w:pStyle w:val="Heading2"/>
      </w:pPr>
      <w:r>
        <w:t>Egypt</w:t>
      </w:r>
    </w:p>
    <w:p w:rsidRPr="008238CC" w:rsidR="007915C2" w:rsidP="007915C2" w:rsidRDefault="007915C2" w14:paraId="170C74EA" w14:textId="77777777">
      <w:pPr>
        <w:keepNext/>
        <w:keepLines/>
        <w:rPr>
          <w:color w:val="000000"/>
        </w:rPr>
      </w:pPr>
    </w:p>
    <w:p w:rsidRPr="008238CC" w:rsidR="007915C2" w:rsidP="004C2B98" w:rsidRDefault="007915C2" w14:paraId="53EDECC1" w14:textId="77777777">
      <w:pPr>
        <w:pStyle w:val="Heading3"/>
      </w:pPr>
      <w:r>
        <w:t>According to the World Bank, recent structural and macroeconomic reforms have helped stabilise the economy. However, the impact of COVID-19 has undermined progress. Some key sectors such as tourism, manufacturing, the Suez Canal and mining were particularly affected by the restrictive measures adopted. To tackle the impact of the crisis, support measures were put in place for the hardest hit sectors and aid given to irregular workers. The World Bank estimates that Egypt will recover to pre-crisis levels between 2021 and 2023, but much will depend on the vaccination campaign. The multidimensional nature of the crisis has highlighted the need to undertake deeper reforms in the social, digital transformation and green transition spheres .</w:t>
      </w:r>
    </w:p>
    <w:p w:rsidRPr="008238CC" w:rsidR="007915C2" w:rsidP="007915C2" w:rsidRDefault="007915C2" w14:paraId="69A08758" w14:textId="77777777">
      <w:pPr>
        <w:rPr>
          <w:color w:val="000000"/>
        </w:rPr>
      </w:pPr>
    </w:p>
    <w:p w:rsidRPr="008238CC" w:rsidR="007915C2" w:rsidP="004C2B98" w:rsidRDefault="007915C2" w14:paraId="4E753600" w14:textId="77777777">
      <w:pPr>
        <w:pStyle w:val="Heading2"/>
      </w:pPr>
      <w:r>
        <w:t>Libya</w:t>
      </w:r>
    </w:p>
    <w:p w:rsidRPr="008238CC" w:rsidR="007915C2" w:rsidP="007915C2" w:rsidRDefault="007915C2" w14:paraId="01A58195" w14:textId="77777777">
      <w:pPr>
        <w:keepNext/>
        <w:keepLines/>
        <w:rPr>
          <w:color w:val="000000"/>
        </w:rPr>
      </w:pPr>
    </w:p>
    <w:p w:rsidRPr="008238CC" w:rsidR="007915C2" w:rsidP="004C2B98" w:rsidRDefault="007915C2" w14:paraId="4568F3F7" w14:textId="28D4D86E">
      <w:pPr>
        <w:pStyle w:val="Heading3"/>
      </w:pPr>
      <w:r>
        <w:t>Libya</w:t>
      </w:r>
      <w:r w:rsidR="00795739">
        <w:t>’</w:t>
      </w:r>
      <w:r>
        <w:t>s economy is feeling the effects not only of the pandemic crisis but also of the uncertain political and institutional situation resulting from the ongoing conflict. The country</w:t>
      </w:r>
      <w:r w:rsidR="00795739">
        <w:t>’</w:t>
      </w:r>
      <w:r>
        <w:t xml:space="preserve">s economy is largely dependent on the production and sale of oil; the fallout from the pandemic crisis and the restrictions imposed saw a sharp decline in mining and refining activities and reduced oil production. The Central Bank in Tripoli has reported that the blockade of key sectors has led to an estimated loss of tax revenue of around USD 11 billion. The World Bank expects a slow recovery from 2021 onwards and has highlighted the urgent need for structural investment and social reforms in particular for the most vulnerable groups . </w:t>
      </w:r>
    </w:p>
    <w:p w:rsidRPr="008238CC" w:rsidR="007915C2" w:rsidP="007915C2" w:rsidRDefault="007915C2" w14:paraId="66642578" w14:textId="77777777">
      <w:pPr>
        <w:rPr>
          <w:color w:val="000000"/>
        </w:rPr>
      </w:pPr>
    </w:p>
    <w:p w:rsidRPr="008238CC" w:rsidR="007915C2" w:rsidP="004C2B98" w:rsidRDefault="007915C2" w14:paraId="2AFE50A0" w14:textId="77777777">
      <w:pPr>
        <w:pStyle w:val="Heading2"/>
      </w:pPr>
      <w:r>
        <w:t xml:space="preserve">Tunisia </w:t>
      </w:r>
    </w:p>
    <w:p w:rsidRPr="008238CC" w:rsidR="007915C2" w:rsidP="007915C2" w:rsidRDefault="007915C2" w14:paraId="7967D068" w14:textId="77777777">
      <w:pPr>
        <w:keepNext/>
        <w:keepLines/>
        <w:rPr>
          <w:color w:val="000000"/>
        </w:rPr>
      </w:pPr>
    </w:p>
    <w:p w:rsidRPr="008238CC" w:rsidR="007915C2" w:rsidP="004C2B98" w:rsidRDefault="007915C2" w14:paraId="1EB30E29" w14:textId="272A0FA0">
      <w:pPr>
        <w:pStyle w:val="Heading3"/>
      </w:pPr>
      <w:r>
        <w:t>The pandemic crisis came on top of an already difficult macroeconomic situation. Civil society and the trade unions are calling for development plans and measures to improve economic and social conditions. The World Bank reports that real GDP contracted by 8.8% in the course of 2020. There were sharp declines in certain sectors such as tourism and transport, with a fall of 80% in the number of passengers arriving into the country. For the current year, the World Bank projects growth of 4%. As in many countries, the recovery will hinge on the success of the vaccination campaign and on the adoption of a recovery plan that takes into account aspects such as social policy, employment and the green and digital transition. It is important to highlight the active role of the social partners, and the proposal put forward by the Tunisian General Labour Union (UGTT) for a national dialogue to address the country</w:t>
      </w:r>
      <w:r w:rsidR="00795739">
        <w:t>’</w:t>
      </w:r>
      <w:r>
        <w:t xml:space="preserve">s structural problems, which have been exacerbated by the pandemic crisis. </w:t>
      </w:r>
    </w:p>
    <w:p w:rsidRPr="008238CC" w:rsidR="007915C2" w:rsidP="007915C2" w:rsidRDefault="007915C2" w14:paraId="5632EF6B" w14:textId="77777777">
      <w:pPr>
        <w:rPr>
          <w:color w:val="000000"/>
        </w:rPr>
      </w:pPr>
    </w:p>
    <w:p w:rsidRPr="008238CC" w:rsidR="007915C2" w:rsidP="004C2B98" w:rsidRDefault="007915C2" w14:paraId="7B17C25F" w14:textId="77777777">
      <w:pPr>
        <w:pStyle w:val="Heading2"/>
      </w:pPr>
      <w:r>
        <w:t>Algeria</w:t>
      </w:r>
    </w:p>
    <w:p w:rsidRPr="008238CC" w:rsidR="007915C2" w:rsidP="007915C2" w:rsidRDefault="007915C2" w14:paraId="5988A2EF" w14:textId="77777777">
      <w:pPr>
        <w:keepNext/>
        <w:rPr>
          <w:color w:val="000000"/>
        </w:rPr>
      </w:pPr>
    </w:p>
    <w:p w:rsidRPr="008238CC" w:rsidR="007915C2" w:rsidP="004C2B98" w:rsidRDefault="007915C2" w14:paraId="69DF7E5E" w14:textId="6BA0031D">
      <w:pPr>
        <w:pStyle w:val="Heading3"/>
      </w:pPr>
      <w:r>
        <w:t>Just as in neighbouring countries, Algeria saw its economy contract sharply in 2020. To drive economic recovery, the Algerian authorities have announced plans for public investments and a number of reforms to support the recovery and protect households. The hydrocarbon sector was the sector hardest hit by the pandemic crisis, declining by 8.5% according to the World Bank</w:t>
      </w:r>
      <w:r w:rsidR="00795739">
        <w:t>’</w:t>
      </w:r>
      <w:r>
        <w:t xml:space="preserve">s figures . </w:t>
      </w:r>
    </w:p>
    <w:p w:rsidRPr="008238CC" w:rsidR="007915C2" w:rsidP="007915C2" w:rsidRDefault="007915C2" w14:paraId="3DFFCA4B" w14:textId="77777777">
      <w:pPr>
        <w:rPr>
          <w:color w:val="000000"/>
        </w:rPr>
      </w:pPr>
    </w:p>
    <w:p w:rsidRPr="008238CC" w:rsidR="007915C2" w:rsidP="004C2B98" w:rsidRDefault="007915C2" w14:paraId="1900798A" w14:textId="77777777">
      <w:pPr>
        <w:pStyle w:val="Heading2"/>
      </w:pPr>
      <w:r>
        <w:t>Morocco</w:t>
      </w:r>
    </w:p>
    <w:p w:rsidRPr="008238CC" w:rsidR="007915C2" w:rsidP="007915C2" w:rsidRDefault="007915C2" w14:paraId="424351E3" w14:textId="77777777">
      <w:pPr>
        <w:keepNext/>
        <w:keepLines/>
        <w:rPr>
          <w:color w:val="000000"/>
        </w:rPr>
      </w:pPr>
    </w:p>
    <w:p w:rsidRPr="008238CC" w:rsidR="007915C2" w:rsidP="004C2B98" w:rsidRDefault="007915C2" w14:paraId="2BA9587E" w14:textId="60BA85D3">
      <w:pPr>
        <w:pStyle w:val="Heading3"/>
      </w:pPr>
      <w:r>
        <w:t>Morocco</w:t>
      </w:r>
      <w:r w:rsidR="00795739">
        <w:t>’</w:t>
      </w:r>
      <w:r>
        <w:t xml:space="preserve">s economy contracted sharply in the course of 2020, amounting to 7.6% of GDP, according to the World Bank. In response to the pandemic crisis, a number of measures were introduced to mitigate the adverse effects on households, businesses and workers . An economic recovery plan was announced in the summer of 2020 and legislative measures were adopted to strengthen the health sector and extend welfare especially to the most vulnerable sections of the population. </w:t>
      </w:r>
    </w:p>
    <w:p w:rsidRPr="008238CC" w:rsidR="007915C2" w:rsidP="007915C2" w:rsidRDefault="007915C2" w14:paraId="1AB4AA40" w14:textId="77777777">
      <w:pPr>
        <w:rPr>
          <w:color w:val="000000"/>
        </w:rPr>
      </w:pPr>
    </w:p>
    <w:p w:rsidRPr="008238CC" w:rsidR="007915C2" w:rsidP="004C2B98" w:rsidRDefault="007915C2" w14:paraId="1FF40FE0" w14:textId="77777777">
      <w:pPr>
        <w:pStyle w:val="Heading2"/>
      </w:pPr>
      <w:r>
        <w:t>Jordan</w:t>
      </w:r>
    </w:p>
    <w:p w:rsidRPr="008238CC" w:rsidR="007915C2" w:rsidP="007915C2" w:rsidRDefault="007915C2" w14:paraId="7111C7CF" w14:textId="77777777">
      <w:pPr>
        <w:keepNext/>
        <w:keepLines/>
        <w:rPr>
          <w:color w:val="000000"/>
        </w:rPr>
      </w:pPr>
    </w:p>
    <w:p w:rsidRPr="008238CC" w:rsidR="007915C2" w:rsidP="004C2B98" w:rsidRDefault="007915C2" w14:paraId="522B3C52" w14:textId="77E85F5A">
      <w:pPr>
        <w:pStyle w:val="Heading3"/>
      </w:pPr>
      <w:r>
        <w:t>The pandemic crisis has had a negative effect on Jordan</w:t>
      </w:r>
      <w:r w:rsidR="00795739">
        <w:t>’</w:t>
      </w:r>
      <w:r>
        <w:t>s economy, particularly affecting the tourism sector, which is one of the key sectors for the economy and one of its main sources of employment. Following a GDP contraction of 1.4% in 2020, the World Bank estimates growth of 1.4% in 2021.</w:t>
      </w:r>
    </w:p>
    <w:p w:rsidRPr="008238CC" w:rsidR="007915C2" w:rsidP="007915C2" w:rsidRDefault="007915C2" w14:paraId="5FB5F3D3" w14:textId="77777777">
      <w:pPr>
        <w:rPr>
          <w:color w:val="000000"/>
        </w:rPr>
      </w:pPr>
    </w:p>
    <w:p w:rsidRPr="008238CC" w:rsidR="007915C2" w:rsidP="004C2B98" w:rsidRDefault="007915C2" w14:paraId="6257BDEB" w14:textId="77777777">
      <w:pPr>
        <w:pStyle w:val="Heading2"/>
      </w:pPr>
      <w:r>
        <w:t>Lebanon</w:t>
      </w:r>
    </w:p>
    <w:p w:rsidRPr="008238CC" w:rsidR="007915C2" w:rsidP="007915C2" w:rsidRDefault="007915C2" w14:paraId="5B1DB929" w14:textId="77777777">
      <w:pPr>
        <w:keepNext/>
        <w:keepLines/>
        <w:rPr>
          <w:color w:val="000000"/>
        </w:rPr>
      </w:pPr>
    </w:p>
    <w:p w:rsidRPr="008238CC" w:rsidR="007915C2" w:rsidP="004C2B98" w:rsidRDefault="007915C2" w14:paraId="1E553D1A" w14:textId="77A66278">
      <w:pPr>
        <w:pStyle w:val="Heading3"/>
      </w:pPr>
      <w:r>
        <w:t>Lebanon is experiencing a profound economic, social and political crisis. The pandemic crisis has made a bad situation worse with an increasing share of the population living in poverty. The economic crisis is the worst in recent decades, with GDP falling by 37.1% in 2020, according to the World Bank. The social situation is unstable and is exacerbated by the high numbers of refugees in Palestinian refugee camps. The tourism sector, and its related industries, has been among the sectors hardest hit by the pandemic crisis. Last December, the World Bank, in cooperation with the United Nations and the European Union, set up the Lebanon Financing Facility (LFF), a fund to support the country</w:t>
      </w:r>
      <w:r w:rsidR="00795739">
        <w:t>’</w:t>
      </w:r>
      <w:r>
        <w:t xml:space="preserve">s socio-economic recovery and the Lebanese government in its reform and reconstruction process . </w:t>
      </w:r>
    </w:p>
    <w:p w:rsidRPr="008238CC" w:rsidR="007915C2" w:rsidP="007915C2" w:rsidRDefault="007915C2" w14:paraId="4715D4CE" w14:textId="77777777">
      <w:pPr>
        <w:rPr>
          <w:color w:val="000000"/>
        </w:rPr>
      </w:pPr>
    </w:p>
    <w:p w:rsidRPr="008238CC" w:rsidR="007915C2" w:rsidP="004C2B98" w:rsidRDefault="007915C2" w14:paraId="2B91ABD1" w14:textId="77777777">
      <w:pPr>
        <w:pStyle w:val="Heading2"/>
      </w:pPr>
      <w:r>
        <w:t>Syria</w:t>
      </w:r>
    </w:p>
    <w:p w:rsidRPr="008238CC" w:rsidR="007915C2" w:rsidP="007915C2" w:rsidRDefault="007915C2" w14:paraId="0E79479F" w14:textId="77777777">
      <w:pPr>
        <w:keepNext/>
        <w:keepLines/>
        <w:rPr>
          <w:color w:val="000000"/>
        </w:rPr>
      </w:pPr>
    </w:p>
    <w:p w:rsidRPr="008238CC" w:rsidR="007915C2" w:rsidP="004C2B98" w:rsidRDefault="007915C2" w14:paraId="5DBD584E" w14:textId="77777777">
      <w:pPr>
        <w:pStyle w:val="Heading3"/>
      </w:pPr>
      <w:r>
        <w:t xml:space="preserve">The pandemic crisis came against a political, economic and social backdrop already devastated by the conflict, which, according to the UN, has resulted in more than 6.6 million Syrian refugees and 6.7 million internally displaced persons (March 2021) after ten years. Years of conflict have left the healthcare system incredibly fragile and weak, and although attacks on healthcare facilities decreased in 2020, the COVID-19 pandemic has eroded the system further, stretching it to an even more critical level . As set out in the Final Declaration of the Fourth Conference of 30 June 2020 , on Supporting the future of Syria and the region, the international community pledged a total of EUR 6.9 billion for Syria and countries hosting Syrian refugees. </w:t>
      </w:r>
    </w:p>
    <w:p w:rsidRPr="008238CC" w:rsidR="007915C2" w:rsidP="007915C2" w:rsidRDefault="007915C2" w14:paraId="43F1955B" w14:textId="77777777">
      <w:pPr>
        <w:rPr>
          <w:color w:val="000000"/>
        </w:rPr>
      </w:pPr>
    </w:p>
    <w:p w:rsidRPr="008238CC" w:rsidR="007915C2" w:rsidP="004C2B98" w:rsidRDefault="007915C2" w14:paraId="25FBA8EA" w14:textId="77777777">
      <w:pPr>
        <w:pStyle w:val="Heading2"/>
      </w:pPr>
      <w:r>
        <w:t>Palestine</w:t>
      </w:r>
    </w:p>
    <w:p w:rsidRPr="008238CC" w:rsidR="007915C2" w:rsidP="007915C2" w:rsidRDefault="007915C2" w14:paraId="428BDF37" w14:textId="77777777">
      <w:pPr>
        <w:keepNext/>
        <w:rPr>
          <w:color w:val="000000"/>
        </w:rPr>
      </w:pPr>
    </w:p>
    <w:p w:rsidRPr="008238CC" w:rsidR="007915C2" w:rsidP="004C2B98" w:rsidRDefault="007915C2" w14:paraId="0AFF2264" w14:textId="74B4248A">
      <w:pPr>
        <w:pStyle w:val="Heading3"/>
      </w:pPr>
      <w:r>
        <w:t>Palestine</w:t>
      </w:r>
      <w:r w:rsidR="00795739">
        <w:t>’</w:t>
      </w:r>
      <w:r>
        <w:t>s economy has been adversely affected by the pandemic crisis. According to the World Bank, after three years of economic growth above 2%, GDP contracted by 8% in 2020, while a modest recovery of around 2.5% is expected in 2021. The growth estimates may, however, not come to pass due to the political instability in the area and heightened Israeli-Palestinian tensions .</w:t>
      </w:r>
    </w:p>
    <w:p w:rsidRPr="008238CC" w:rsidR="007915C2" w:rsidP="007915C2" w:rsidRDefault="007915C2" w14:paraId="78D70EE5" w14:textId="77777777">
      <w:pPr>
        <w:rPr>
          <w:color w:val="000000"/>
        </w:rPr>
      </w:pPr>
    </w:p>
    <w:p w:rsidRPr="008238CC" w:rsidR="007915C2" w:rsidP="004C2B98" w:rsidRDefault="007915C2" w14:paraId="6D636CB6" w14:textId="77777777">
      <w:pPr>
        <w:pStyle w:val="Heading2"/>
      </w:pPr>
      <w:r>
        <w:t>Israel</w:t>
      </w:r>
    </w:p>
    <w:p w:rsidRPr="008238CC" w:rsidR="007915C2" w:rsidP="007915C2" w:rsidRDefault="007915C2" w14:paraId="1A4E7655" w14:textId="77777777">
      <w:pPr>
        <w:keepNext/>
        <w:rPr>
          <w:color w:val="000000"/>
        </w:rPr>
      </w:pPr>
    </w:p>
    <w:p w:rsidRPr="008238CC" w:rsidR="007915C2" w:rsidP="004C2B98" w:rsidRDefault="007915C2" w14:paraId="4F1E6A3A" w14:textId="72594D1F">
      <w:pPr>
        <w:pStyle w:val="Heading3"/>
      </w:pPr>
      <w:r>
        <w:t>Israel</w:t>
      </w:r>
      <w:r w:rsidR="00795739">
        <w:t>’</w:t>
      </w:r>
      <w:r>
        <w:t xml:space="preserve">s economy, according to OECD figures, contracted by around 4.25% in the course of 2020, with growth forecast to be around 5% in 2021 and 4.5% in 2022 . The government introduced measures to support households and businesses in difficulty. Many sectors were hit by the pandemic crisis; young people and women were found to be the groups most affected by the effects of the pandemic containment measures. The Israeli government intervened in support of the most affected sectors by introducing economic stimulus packages, extending unemployment benefits and introducing supports for the self-employed, large families, older people and vulnerable groups. </w:t>
      </w:r>
    </w:p>
    <w:p w:rsidRPr="008238CC" w:rsidR="007915C2" w:rsidP="007915C2" w:rsidRDefault="007915C2" w14:paraId="5CDE1A9F" w14:textId="77777777">
      <w:pPr>
        <w:rPr>
          <w:color w:val="000000"/>
        </w:rPr>
      </w:pPr>
    </w:p>
    <w:p w:rsidRPr="008238CC" w:rsidR="007915C2" w:rsidP="007915C2" w:rsidRDefault="007915C2" w14:paraId="4FB020A6" w14:textId="77777777">
      <w:pPr>
        <w:overflowPunct w:val="0"/>
        <w:autoSpaceDE w:val="0"/>
        <w:autoSpaceDN w:val="0"/>
        <w:adjustRightInd w:val="0"/>
        <w:jc w:val="center"/>
        <w:textAlignment w:val="baseline"/>
        <w:rPr>
          <w:color w:val="000000"/>
        </w:rPr>
      </w:pPr>
      <w:r>
        <w:rPr>
          <w:color w:val="000000"/>
        </w:rPr>
        <w:t>_____________</w:t>
      </w:r>
    </w:p>
    <w:p w:rsidRPr="008238CC" w:rsidR="007915C2" w:rsidP="007915C2" w:rsidRDefault="007915C2" w14:paraId="32E166CF" w14:textId="77777777">
      <w:pPr>
        <w:rPr>
          <w:color w:val="000000"/>
        </w:rPr>
      </w:pPr>
    </w:p>
    <w:p w:rsidRPr="008238CC" w:rsidR="007915C2" w:rsidP="007915C2" w:rsidRDefault="007915C2" w14:paraId="0C31D943" w14:textId="77777777">
      <w:pPr>
        <w:spacing w:line="240" w:lineRule="auto"/>
        <w:jc w:val="left"/>
        <w:rPr>
          <w:color w:val="000000"/>
        </w:rPr>
      </w:pPr>
      <w:r>
        <w:br w:type="page"/>
      </w:r>
    </w:p>
    <w:p w:rsidRPr="008238CC" w:rsidR="007915C2" w:rsidP="007915C2" w:rsidRDefault="007915C2" w14:paraId="6F688C72" w14:textId="77777777">
      <w:pPr>
        <w:keepNext/>
        <w:keepLines/>
        <w:spacing w:before="240" w:after="160" w:line="256" w:lineRule="auto"/>
        <w:ind w:left="360"/>
        <w:jc w:val="right"/>
        <w:outlineLvl w:val="0"/>
        <w:rPr>
          <w:rFonts w:ascii="Calibri" w:hAnsi="Calibri" w:cs="Calibri"/>
          <w:b/>
          <w:bCs/>
          <w:color w:val="000000"/>
          <w:sz w:val="28"/>
          <w:szCs w:val="28"/>
        </w:rPr>
      </w:pPr>
      <w:r>
        <w:rPr>
          <w:rFonts w:ascii="Calibri" w:hAnsi="Calibri"/>
          <w:b/>
          <w:color w:val="000000"/>
          <w:sz w:val="28"/>
        </w:rPr>
        <w:t>Appendix II</w:t>
      </w:r>
    </w:p>
    <w:p w:rsidRPr="008238CC" w:rsidR="007915C2" w:rsidP="007915C2" w:rsidRDefault="007915C2" w14:paraId="18E0D898" w14:textId="77777777">
      <w:pPr>
        <w:spacing w:after="160" w:line="256" w:lineRule="auto"/>
        <w:jc w:val="left"/>
        <w:rPr>
          <w:rFonts w:ascii="Calibri" w:hAnsi="Calibri" w:eastAsia="Calibri" w:cs="Arial"/>
          <w:color w:val="000000"/>
        </w:rPr>
      </w:pPr>
    </w:p>
    <w:p w:rsidRPr="008238CC" w:rsidR="007915C2" w:rsidP="007915C2" w:rsidRDefault="007915C2" w14:paraId="04E1F758" w14:textId="367DBE41">
      <w:pPr>
        <w:spacing w:after="160" w:line="256" w:lineRule="auto"/>
        <w:jc w:val="left"/>
        <w:rPr>
          <w:rFonts w:ascii="Calibri" w:hAnsi="Calibri" w:eastAsia="Calibri" w:cs="Arial"/>
          <w:b/>
          <w:color w:val="000000"/>
        </w:rPr>
      </w:pPr>
      <w:r>
        <w:rPr>
          <w:rFonts w:ascii="Calibri" w:hAnsi="Calibri"/>
          <w:b/>
          <w:color w:val="000000"/>
        </w:rPr>
        <w:t>L</w:t>
      </w:r>
      <w:r w:rsidR="00795739">
        <w:rPr>
          <w:rFonts w:ascii="Calibri" w:hAnsi="Calibri"/>
          <w:b/>
          <w:color w:val="000000"/>
        </w:rPr>
        <w:t>’</w:t>
      </w:r>
      <w:r>
        <w:rPr>
          <w:rFonts w:ascii="Calibri" w:hAnsi="Calibri"/>
          <w:b/>
          <w:color w:val="000000"/>
        </w:rPr>
        <w:t>expérience du Maroc</w:t>
      </w:r>
    </w:p>
    <w:p w:rsidRPr="008238CC" w:rsidR="007915C2" w:rsidP="007915C2" w:rsidRDefault="007915C2" w14:paraId="6BDAA051" w14:textId="77777777">
      <w:pPr>
        <w:spacing w:after="160" w:line="256" w:lineRule="auto"/>
        <w:rPr>
          <w:rFonts w:ascii="Calibri" w:hAnsi="Calibri" w:eastAsia="Calibri" w:cs="Calibri"/>
          <w:color w:val="000000"/>
        </w:rPr>
      </w:pPr>
      <w:r>
        <w:rPr>
          <w:rFonts w:ascii="Calibri" w:hAnsi="Calibri"/>
          <w:color w:val="000000"/>
        </w:rPr>
        <w:t>La présente étude intervient alors que la pandémie Covid-19 continue toujours de sévir, créant ainsi un climat chargé de craintes et d’incertitudes qui contribue à assombrir et rendre plus floues les perspectives à court et à moyen termes. Les effets réels demeurent donc difficiles à appréhender et un retour à la normale reste tributaire, d’une part, de la capacité de notre pays à atténuer les répercussions de la crise socio-économique, tant en termes de ressources que de stratégies, et d’autre part, du degré d’efficacité du système de santé national.</w:t>
      </w:r>
    </w:p>
    <w:p w:rsidRPr="008238CC" w:rsidR="007915C2" w:rsidP="007915C2" w:rsidRDefault="007915C2" w14:paraId="3D4529DA" w14:textId="77777777">
      <w:pPr>
        <w:spacing w:after="160" w:line="256" w:lineRule="auto"/>
        <w:rPr>
          <w:rFonts w:ascii="Calibri" w:hAnsi="Calibri" w:eastAsia="Calibri" w:cs="Calibri"/>
          <w:color w:val="000000"/>
        </w:rPr>
      </w:pPr>
      <w:r>
        <w:rPr>
          <w:rFonts w:ascii="Calibri" w:hAnsi="Calibri"/>
          <w:color w:val="000000"/>
        </w:rPr>
        <w:t xml:space="preserve">A ce jour, les impacts de la crise de la Covid-19, et malgré l’importance et le caractère volontariste des mesures prises dans le cadre de l’état d’urgence sanitaire, sont profonds et multiformes et touchent aussi bien la dynamique économique que le bien-être des citoyens, la qualité et l’efficacité des services publics ou encore les conditions environnementales. La gravité de ces répercussions n’est toutefois pas fortuite. En effet, l’existence préalable de faiblesses structurelles et de vulnérabilités systémiques dans notre modèle de développement actuel qui a atteint ses limites, a exacerbé les difficultés auxquelles notre pays reste confronté, résultat notamment du retard accumulé dans des chantiers capitaux tels que l’universalisation de la protection sociale, la mise à niveau du secteur de la santé, la réforme du secteur éducation, l’intégration des activités informelles, la consolidation des droits fondamentaux, la régionalisation avancée et le renforcement et la mise à niveau des entreprises marocaines. </w:t>
      </w:r>
    </w:p>
    <w:p w:rsidRPr="008238CC" w:rsidR="007915C2" w:rsidP="007915C2" w:rsidRDefault="007915C2" w14:paraId="216375BA" w14:textId="71CC9E1C">
      <w:pPr>
        <w:spacing w:after="160" w:line="256" w:lineRule="auto"/>
        <w:rPr>
          <w:rFonts w:ascii="Calibri" w:hAnsi="Calibri" w:eastAsia="Calibri" w:cs="Calibri"/>
          <w:color w:val="000000"/>
        </w:rPr>
      </w:pPr>
      <w:r>
        <w:rPr>
          <w:rFonts w:ascii="Calibri" w:hAnsi="Calibri"/>
          <w:color w:val="000000"/>
        </w:rPr>
        <w:t>Toutefois, au regard des évolutions observées jusqu’à maintenant, et au-delà de la gravité des impacts induits et anticipés, le CESE estime que cette crise représente une opportunité réelle pour un changement radical de nos modes d’organisation, de gestion, de production et de consommation. Une telle transformation requiert des réformes structurelles profondes, à même de contribuer à préparer le Maroc à une mise en œuvre optimale du modèle de développement qui est actuellement en cours de redéfinition. L’objectif final de ces réformes à caractère multidimensionnel et global consiste bien entendu à résorber les effets de cette crise sanitaire sur le court-terme (objet ambitieux mais atteignable), mais également à contribuer à poser les bases d’un Maroc plus juste, inclusif, résilient et prospère.</w:t>
      </w:r>
      <w:r w:rsidR="00795739">
        <w:rPr>
          <w:rFonts w:ascii="Calibri" w:hAnsi="Calibri"/>
          <w:color w:val="000000"/>
        </w:rPr>
        <w:t xml:space="preserve"> </w:t>
      </w:r>
    </w:p>
    <w:p w:rsidRPr="008238CC" w:rsidR="007915C2" w:rsidP="007915C2" w:rsidRDefault="007915C2" w14:paraId="7FA818C3" w14:textId="77777777">
      <w:pPr>
        <w:spacing w:after="160" w:line="256" w:lineRule="auto"/>
        <w:rPr>
          <w:rFonts w:ascii="Calibri" w:hAnsi="Calibri" w:eastAsia="Calibri" w:cs="Calibri"/>
          <w:strike/>
          <w:color w:val="000000"/>
        </w:rPr>
      </w:pPr>
      <w:r>
        <w:rPr>
          <w:rFonts w:ascii="Calibri" w:hAnsi="Calibri"/>
          <w:color w:val="000000"/>
        </w:rPr>
        <w:t xml:space="preserve">Afin de caractériser les dynamiques en cours et de formuler des recommandations opérationnelles, le CESE a organisé de nombreuses auditions, incluant tant les représentants des institutions publiques nationales (ministères, agences, conseils élus, </w:t>
      </w:r>
      <w:r>
        <w:rPr>
          <w:rFonts w:ascii="Calibri" w:hAnsi="Calibri"/>
          <w:i/>
          <w:color w:val="000000"/>
        </w:rPr>
        <w:t>etc.</w:t>
      </w:r>
      <w:r>
        <w:rPr>
          <w:rFonts w:ascii="Calibri" w:hAnsi="Calibri"/>
          <w:color w:val="000000"/>
        </w:rPr>
        <w:t xml:space="preserve">), que ceux d’institutions internationales, d’associations et fédérations professionnelles, de syndicats de la santé, de cabinets de conseil internationaux et d’experts reconnus (84 acteurs auditionnés). Il a également examiné les textes législatifs et réglementaires en vigueur, les différentes études nationales et internationales réalisées, ainsi que les contributions académiques publiées sur cette thématique. </w:t>
      </w:r>
    </w:p>
    <w:p w:rsidRPr="008238CC" w:rsidR="007915C2" w:rsidP="007915C2" w:rsidRDefault="007915C2" w14:paraId="6ECAF9E2" w14:textId="77777777">
      <w:pPr>
        <w:spacing w:after="160" w:line="256" w:lineRule="auto"/>
        <w:rPr>
          <w:rFonts w:ascii="Calibri" w:hAnsi="Calibri" w:eastAsia="Calibri" w:cs="Calibri"/>
          <w:b/>
          <w:bCs/>
          <w:i/>
          <w:iCs/>
          <w:color w:val="000000"/>
        </w:rPr>
      </w:pPr>
      <w:r>
        <w:rPr>
          <w:rFonts w:ascii="Calibri" w:hAnsi="Calibri"/>
          <w:b/>
          <w:i/>
          <w:color w:val="000000"/>
        </w:rPr>
        <w:t>La crise que vit le monde actuellement est inédite par sa nature et par l’ampleur des retombées socio-économiques qu’elle a induit, et continue d’induire</w:t>
      </w:r>
      <w:r w:rsidRPr="008238CC">
        <w:rPr>
          <w:rFonts w:ascii="Calibri" w:hAnsi="Calibri" w:eastAsia="Calibri" w:cs="Calibri"/>
          <w:b/>
          <w:bCs/>
          <w:i/>
          <w:iCs/>
          <w:color w:val="000000"/>
          <w:vertAlign w:val="superscript"/>
        </w:rPr>
        <w:footnoteReference w:id="7"/>
      </w:r>
    </w:p>
    <w:p w:rsidRPr="008238CC" w:rsidR="007915C2" w:rsidP="007915C2" w:rsidRDefault="007915C2" w14:paraId="7BE1357B" w14:textId="663CFDB8">
      <w:pPr>
        <w:spacing w:after="160" w:line="256" w:lineRule="auto"/>
        <w:rPr>
          <w:rFonts w:ascii="Calibri" w:hAnsi="Calibri" w:eastAsia="Calibri" w:cs="Calibri"/>
          <w:color w:val="000000"/>
        </w:rPr>
      </w:pPr>
      <w:r>
        <w:rPr>
          <w:rFonts w:ascii="Calibri" w:hAnsi="Calibri"/>
          <w:color w:val="000000"/>
        </w:rPr>
        <w:t>S’étant propagée à tous les pays, la pandémie de la Covid-19 a mis les décideurs publics devant un dilemme, en les acculant à arbitrer entre l’imposition d’un confinement strict pour une logique surdéterminée par la sauvegarde de la vie des citoyens et la poursuite de règles sanitaires moins contraignantes, dans le sens de privilégier beaucoup plus l’activité économique. Mais quel que fût le choix, toutes les économies ont eu à subir, à des degrés divers et de façon concomitante, un double choc négatif : au niveau de l’offre, du fait du repli drastique de l’activité des entreprises ; au niveau de la demande, en lien avec la baisse du pouvoir d’achat d’un nombre très important de ménages.</w:t>
      </w:r>
      <w:r w:rsidR="00795739">
        <w:rPr>
          <w:rFonts w:ascii="Calibri" w:hAnsi="Calibri"/>
          <w:color w:val="000000"/>
        </w:rPr>
        <w:t xml:space="preserve"> </w:t>
      </w:r>
    </w:p>
    <w:p w:rsidRPr="008238CC" w:rsidR="007915C2" w:rsidP="007915C2" w:rsidRDefault="007915C2" w14:paraId="09CD9C8F" w14:textId="470F2F7C">
      <w:pPr>
        <w:spacing w:after="160" w:line="256" w:lineRule="auto"/>
        <w:rPr>
          <w:rFonts w:ascii="Calibri" w:hAnsi="Calibri" w:eastAsia="Calibri" w:cs="Calibri"/>
          <w:color w:val="000000"/>
        </w:rPr>
      </w:pPr>
      <w:r>
        <w:rPr>
          <w:rFonts w:ascii="Calibri" w:hAnsi="Calibri"/>
          <w:color w:val="000000"/>
        </w:rPr>
        <w:t>Cette détérioration des conditions économiques n’a bien sûr pas manqué d’accentuer les inégalités préexistantes et les vulnérabilités de la population, les personnes les plus gravement touchées par la crise étant souvent celles qui subissent déjà de grandes discriminations comme les femmes, les enfants et les personnes âgées. En outre, les mesures restrictives temporaires adoptées durant le confinement ont restreint les déplacements des personnes, en même temps que leur accès aux soins, au travail, à l’éducation, à la culture et aux loisirs</w:t>
      </w:r>
      <w:r w:rsidRPr="008238CC">
        <w:rPr>
          <w:rFonts w:ascii="Calibri" w:hAnsi="Calibri" w:eastAsia="Calibri" w:cs="Calibri"/>
          <w:color w:val="000000"/>
          <w:vertAlign w:val="superscript"/>
        </w:rPr>
        <w:footnoteReference w:id="8"/>
      </w:r>
      <w:r>
        <w:rPr>
          <w:rFonts w:ascii="Calibri" w:hAnsi="Calibri"/>
          <w:color w:val="000000"/>
        </w:rPr>
        <w:t>.</w:t>
      </w:r>
      <w:r w:rsidR="00795739">
        <w:rPr>
          <w:rFonts w:ascii="Calibri" w:hAnsi="Calibri"/>
          <w:color w:val="000000"/>
        </w:rPr>
        <w:t xml:space="preserve"> </w:t>
      </w:r>
    </w:p>
    <w:p w:rsidRPr="008238CC" w:rsidR="007915C2" w:rsidP="007915C2" w:rsidRDefault="007915C2" w14:paraId="2FFBCA94" w14:textId="77777777">
      <w:pPr>
        <w:spacing w:after="160" w:line="256" w:lineRule="auto"/>
        <w:rPr>
          <w:rFonts w:ascii="Calibri" w:hAnsi="Calibri" w:eastAsia="Calibri" w:cs="Calibri"/>
          <w:color w:val="000000"/>
        </w:rPr>
      </w:pPr>
    </w:p>
    <w:p w:rsidRPr="008238CC" w:rsidR="007915C2" w:rsidP="007915C2" w:rsidRDefault="007915C2" w14:paraId="6997652F" w14:textId="77777777">
      <w:pPr>
        <w:spacing w:after="160" w:line="256" w:lineRule="auto"/>
        <w:rPr>
          <w:rFonts w:ascii="Calibri" w:hAnsi="Calibri" w:eastAsia="Calibri" w:cs="Calibri"/>
          <w:b/>
          <w:bCs/>
          <w:i/>
          <w:iCs/>
          <w:color w:val="000000"/>
        </w:rPr>
      </w:pPr>
      <w:r>
        <w:rPr>
          <w:rFonts w:ascii="Calibri" w:hAnsi="Calibri"/>
          <w:b/>
          <w:i/>
          <w:color w:val="000000"/>
        </w:rPr>
        <w:t xml:space="preserve">Pour lutter contre la pandémie et eu égard à la gravité de la situation, l’état d’urgence sanitaire a été décrété au Maroc </w:t>
      </w:r>
    </w:p>
    <w:p w:rsidRPr="008238CC" w:rsidR="007915C2" w:rsidP="007915C2" w:rsidRDefault="007915C2" w14:paraId="7011989C" w14:textId="77777777">
      <w:pPr>
        <w:spacing w:after="160" w:line="256" w:lineRule="auto"/>
        <w:rPr>
          <w:rFonts w:ascii="Calibri" w:hAnsi="Calibri" w:eastAsia="Calibri" w:cs="Calibri"/>
          <w:color w:val="000000"/>
        </w:rPr>
      </w:pPr>
      <w:r>
        <w:rPr>
          <w:rFonts w:ascii="Calibri" w:hAnsi="Calibri"/>
          <w:color w:val="000000"/>
        </w:rPr>
        <w:t xml:space="preserve">Notre pays n’a pas dérogé à cette règle. Ainsi, depuis la détection du premier cas importé de Covid-19 le 2 mars 2020, et tenant compte des développements rapides intervenant à l’échelle mondiale, le Maroc a graduellement mis en place un ensemble de mesures préventives et multiformes en mobilisant ses structures, tant au niveau central que local. Cette dynamique a culminé avec l’adoption le 20 mars de l’état d’urgence sanitaire sous la forme d’un confinement strict, au regard des carences du système de santé national et au risque de saturation des capacités hospitalières en cas de multiplication de cas graves nécessitant une prise en charge médicale lourde. </w:t>
      </w:r>
    </w:p>
    <w:p w:rsidRPr="008238CC" w:rsidR="007915C2" w:rsidP="007915C2" w:rsidRDefault="007915C2" w14:paraId="6E187F05" w14:textId="77777777">
      <w:pPr>
        <w:spacing w:after="160" w:line="256" w:lineRule="auto"/>
        <w:rPr>
          <w:rFonts w:ascii="Calibri" w:hAnsi="Calibri" w:eastAsia="Calibri" w:cs="Calibri"/>
          <w:color w:val="000000"/>
        </w:rPr>
      </w:pPr>
      <w:r>
        <w:rPr>
          <w:rFonts w:ascii="Calibri" w:hAnsi="Calibri"/>
          <w:color w:val="000000"/>
        </w:rPr>
        <w:t>Dans ce cadre, un ensemble de dispositions législatives et règlementaires ont été promulguées, restreignant la libre circulation des personnes (déplacements nocturnes ou interurbains), imposant la fermeture des lieux accueillant le public, raccourcissant les horaires d’ouverture des commerces et réduisant les capacités maximales dans les transports en commun. Pour sa part, la réponse sanitaire a consisté en une mise à niveau des établissements hospitaliers, qui s’est accompagnée d’une participation active de la médecine militaire, mais sans toutefois impliquer significativement le secteur privé dans ces efforts de lutte (hormis quelques initiatives ponctuelles dans certaines villes et pour des opérations particulières). La fermeture des établissements scolaires, annoncée le 13 mars 2020, a conduit à la mise en place d’un plan de travail à court terme pour assurer la continuité pédagogique à distance durant la période du confinement.</w:t>
      </w:r>
    </w:p>
    <w:p w:rsidRPr="008238CC" w:rsidR="007915C2" w:rsidP="007915C2" w:rsidRDefault="007915C2" w14:paraId="3CCDE7D1" w14:textId="77777777">
      <w:pPr>
        <w:spacing w:after="160" w:line="256" w:lineRule="auto"/>
        <w:rPr>
          <w:rFonts w:ascii="Calibri" w:hAnsi="Calibri" w:eastAsia="Calibri" w:cs="Calibri"/>
          <w:color w:val="000000"/>
        </w:rPr>
      </w:pPr>
      <w:r>
        <w:rPr>
          <w:rFonts w:ascii="Calibri" w:hAnsi="Calibri"/>
          <w:color w:val="000000"/>
        </w:rPr>
        <w:t xml:space="preserve">Bien que les autorités marocaines aient fait preuve d’une grande réactivité au début de la crise, il n’en demeure pas moins que depuis l’annonce du deuxième prolongement du confinement, une forme de ressentiment semble s’être installée chez les citoyens et les différents acteurs économiques. Cette réaction chez nos concitoyens fait suite à certaines déclarations officielles qui donnaient l’impression d’un manque de visibilité et de coordination, ainsi que d’une sorte d’hésitation dans la gestion des phases ultérieures. </w:t>
      </w:r>
    </w:p>
    <w:p w:rsidRPr="008238CC" w:rsidR="007915C2" w:rsidP="007915C2" w:rsidRDefault="007915C2" w14:paraId="42430049" w14:textId="77777777">
      <w:pPr>
        <w:spacing w:after="160" w:line="256" w:lineRule="auto"/>
        <w:rPr>
          <w:rFonts w:ascii="Calibri" w:hAnsi="Calibri" w:eastAsia="Calibri" w:cs="Calibri"/>
          <w:b/>
          <w:bCs/>
          <w:i/>
          <w:iCs/>
          <w:color w:val="000000"/>
        </w:rPr>
      </w:pPr>
      <w:r>
        <w:rPr>
          <w:rFonts w:ascii="Calibri" w:hAnsi="Calibri"/>
          <w:b/>
          <w:i/>
          <w:color w:val="000000"/>
        </w:rPr>
        <w:t>L’ampleur des retombées socio-économiques durant la période de confinement</w:t>
      </w:r>
    </w:p>
    <w:p w:rsidRPr="008238CC" w:rsidR="007915C2" w:rsidP="007915C2" w:rsidRDefault="007915C2" w14:paraId="1F6ED5AD" w14:textId="77777777">
      <w:pPr>
        <w:spacing w:after="160" w:line="256" w:lineRule="auto"/>
        <w:rPr>
          <w:rFonts w:ascii="Calibri" w:hAnsi="Calibri" w:eastAsia="Calibri" w:cs="Calibri"/>
          <w:color w:val="000000"/>
        </w:rPr>
      </w:pPr>
      <w:r>
        <w:rPr>
          <w:rFonts w:ascii="Calibri" w:hAnsi="Calibri"/>
          <w:color w:val="000000"/>
        </w:rPr>
        <w:t>Quatre chiffres édifiants illustrent à eux seuls la gravité de la situation actuelle : (i) une contraction prévue de la croissance économique comprise entre -5,8% (HCP et MEFRA) et -6,3% (BAM) pour l’année en cours, soit probablement la plus forte baisse enregistrée durant les 7 dernières décennies ; (ii) 958 000 salariés ont déclaré être en arrêt de travail dans le secteur formel, bénéficiant ainsi de l’indemnité Covid</w:t>
      </w:r>
      <w:r w:rsidRPr="008238CC">
        <w:rPr>
          <w:rFonts w:ascii="Calibri" w:hAnsi="Calibri" w:eastAsia="Calibri" w:cs="Calibri"/>
          <w:color w:val="000000"/>
          <w:vertAlign w:val="superscript"/>
        </w:rPr>
        <w:footnoteReference w:id="9"/>
      </w:r>
      <w:r>
        <w:rPr>
          <w:rFonts w:ascii="Calibri" w:hAnsi="Calibri"/>
          <w:color w:val="000000"/>
        </w:rPr>
        <w:t> ; (iii) près de 134 000 entreprises sur les 216 000 affiliées à la CNSS avaient déclaré être impactées par la crise de la Covid-19 ; (iv) 5,5 millions de ménages, ramédistes et non-ramédistes, vivant du secteur informel, ont dépendu des aides octroyées dans le cadre de l’opération « Tadamon »</w:t>
      </w:r>
      <w:r w:rsidRPr="008238CC">
        <w:rPr>
          <w:rFonts w:ascii="Calibri" w:hAnsi="Calibri" w:eastAsia="Calibri" w:cs="Calibri"/>
          <w:color w:val="000000"/>
          <w:vertAlign w:val="superscript"/>
        </w:rPr>
        <w:footnoteReference w:id="10"/>
      </w:r>
      <w:r>
        <w:rPr>
          <w:rFonts w:ascii="Calibri" w:hAnsi="Calibri"/>
          <w:color w:val="000000"/>
        </w:rPr>
        <w:t xml:space="preserve">. Cette dégradation des conditions économiques et par conséquent du marché de l’emploi, n’a pas été sans conséquences sur le revenu et le pouvoir d’achat des ménages, tel que le reflète la baisse de près de 50% du revenu mensuel moyen des actifs occupés. </w:t>
      </w:r>
    </w:p>
    <w:p w:rsidRPr="008238CC" w:rsidR="007915C2" w:rsidP="007915C2" w:rsidRDefault="007915C2" w14:paraId="7A080990" w14:textId="77777777">
      <w:pPr>
        <w:spacing w:after="160" w:line="256" w:lineRule="auto"/>
        <w:rPr>
          <w:rFonts w:ascii="Calibri" w:hAnsi="Calibri" w:eastAsia="Calibri" w:cs="Calibri"/>
          <w:color w:val="000000"/>
        </w:rPr>
      </w:pPr>
      <w:r>
        <w:rPr>
          <w:rFonts w:ascii="Calibri" w:hAnsi="Calibri"/>
          <w:color w:val="000000"/>
        </w:rPr>
        <w:t xml:space="preserve">Il est à mentionner que l’impact économique sur les différents secteurs d’activité a été conditionné par plusieurs facteurs comme la nature du marché (domestique ou extérieur), la nature du produit (de première nécessité vs autres produits), la sévérité des règles sanitaires appliquées à chaque secteur ou les habitudes de consommation des individus (exemple du tourisme). Ainsi, certains secteurs ont pu résister sinon croître durant cette période, à l’instar de l’industrie extractive et celle des dérivés des phosphates, l’industrie agroalimentaire, ainsi que les secteurs des activités financières et des télécoms. </w:t>
      </w:r>
    </w:p>
    <w:p w:rsidRPr="008238CC" w:rsidR="007915C2" w:rsidP="007915C2" w:rsidRDefault="007915C2" w14:paraId="2163D09A" w14:textId="77777777">
      <w:pPr>
        <w:spacing w:after="160" w:line="256" w:lineRule="auto"/>
        <w:rPr>
          <w:rFonts w:ascii="Calibri" w:hAnsi="Calibri" w:eastAsia="Calibri" w:cs="Calibri"/>
          <w:color w:val="000000"/>
        </w:rPr>
      </w:pPr>
      <w:r>
        <w:rPr>
          <w:rFonts w:ascii="Calibri" w:hAnsi="Calibri"/>
          <w:color w:val="000000"/>
        </w:rPr>
        <w:t xml:space="preserve">Conjuguée aux restrictions qui n’ont pas facilité l’accès aux services de base, notamment pour les catégories les plus vulnérables, et à la faiblesse des filets de protection sociale, la baisse de revenu ainsi relevée a contribué à accroître les inégalités déjà existantes, constituant donc un facteur potentiel de basculement de franges de la population dans la pauvreté. De même, dans le cas du secteur de l’éducation où une certaine forme de continuité pédagogique a pu, plus ou moins, être maintenue, l’impact de la fracture numérique entre le milieu urbain et rural, et surtout entre les familles aisées et démunies, a altéré le levier classique d’ascension sociale en compromettant l’accès égalitaire au droit à l’éducation. </w:t>
      </w:r>
    </w:p>
    <w:p w:rsidRPr="008238CC" w:rsidR="007915C2" w:rsidP="007915C2" w:rsidRDefault="007915C2" w14:paraId="0D465E05" w14:textId="77777777">
      <w:pPr>
        <w:spacing w:after="160" w:line="256" w:lineRule="auto"/>
        <w:rPr>
          <w:rFonts w:ascii="Calibri" w:hAnsi="Calibri" w:eastAsia="Calibri" w:cs="Calibri"/>
          <w:b/>
          <w:bCs/>
          <w:i/>
          <w:iCs/>
          <w:color w:val="000000"/>
        </w:rPr>
      </w:pPr>
      <w:r>
        <w:rPr>
          <w:rFonts w:ascii="Calibri" w:hAnsi="Calibri"/>
          <w:b/>
          <w:i/>
          <w:color w:val="000000"/>
        </w:rPr>
        <w:t>Les carences structurelles qui freinent le développement de notre pays ont joué un rôle considérable dans l’amplification des impacts</w:t>
      </w:r>
    </w:p>
    <w:p w:rsidRPr="008238CC" w:rsidR="007915C2" w:rsidP="007915C2" w:rsidRDefault="007915C2" w14:paraId="5F919086" w14:textId="77777777">
      <w:pPr>
        <w:spacing w:after="160" w:line="256" w:lineRule="auto"/>
        <w:rPr>
          <w:rFonts w:ascii="Calibri" w:hAnsi="Calibri" w:eastAsia="Calibri" w:cs="Calibri"/>
          <w:color w:val="000000"/>
        </w:rPr>
      </w:pPr>
      <w:r>
        <w:rPr>
          <w:rFonts w:ascii="Calibri" w:hAnsi="Calibri"/>
          <w:color w:val="000000"/>
        </w:rPr>
        <w:t xml:space="preserve">Les répercussions de la crise n’auraient pas été aussi sévères sans les déficiences structurelles qui caractérisent notre pays à plusieurs niveaux dans un contexte où la primauté a été accordée à la dimension sanitaire et à la protection du droit à la vie, premier droit de tout être humain (article 20 de la Constitution), avant de s’attaquer aux dimensions sociales et économiques. </w:t>
      </w:r>
    </w:p>
    <w:p w:rsidRPr="008238CC" w:rsidR="007915C2" w:rsidP="007915C2" w:rsidRDefault="007915C2" w14:paraId="6E62530C" w14:textId="77777777">
      <w:pPr>
        <w:spacing w:after="160" w:line="256" w:lineRule="auto"/>
        <w:rPr>
          <w:rFonts w:ascii="Calibri" w:hAnsi="Calibri" w:eastAsia="Calibri" w:cs="Calibri"/>
          <w:color w:val="000000"/>
        </w:rPr>
      </w:pPr>
      <w:r>
        <w:rPr>
          <w:rFonts w:ascii="Calibri" w:hAnsi="Calibri"/>
          <w:color w:val="000000"/>
        </w:rPr>
        <w:t>En termes de services sociaux de base, le système de santé national</w:t>
      </w:r>
      <w:r>
        <w:rPr>
          <w:rFonts w:ascii="Calibri" w:hAnsi="Calibri"/>
          <w:b/>
          <w:color w:val="000000"/>
        </w:rPr>
        <w:t xml:space="preserve"> </w:t>
      </w:r>
      <w:r>
        <w:rPr>
          <w:rFonts w:ascii="Calibri" w:hAnsi="Calibri"/>
          <w:color w:val="000000"/>
        </w:rPr>
        <w:t>est</w:t>
      </w:r>
      <w:r>
        <w:rPr>
          <w:rFonts w:ascii="Calibri" w:hAnsi="Calibri"/>
          <w:b/>
          <w:color w:val="000000"/>
        </w:rPr>
        <w:t xml:space="preserve"> </w:t>
      </w:r>
      <w:r>
        <w:rPr>
          <w:rFonts w:ascii="Calibri" w:hAnsi="Calibri"/>
          <w:color w:val="000000"/>
        </w:rPr>
        <w:t>caractérisé par une prédominance de la médecine curative qui ne permettait déjà pas de répondre valablement aux attentes des usagers, tandis que le système éducatif n’a pas encore implémenté, de manière structurelle, la digitalisation des curricula et des programmes</w:t>
      </w:r>
      <w:r w:rsidRPr="008238CC">
        <w:rPr>
          <w:rFonts w:ascii="Calibri" w:hAnsi="Calibri" w:eastAsia="Calibri" w:cs="Calibri"/>
          <w:color w:val="000000"/>
          <w:vertAlign w:val="superscript"/>
        </w:rPr>
        <w:footnoteReference w:id="11"/>
      </w:r>
      <w:r>
        <w:rPr>
          <w:rFonts w:ascii="Calibri" w:hAnsi="Calibri"/>
          <w:color w:val="000000"/>
        </w:rPr>
        <w:t xml:space="preserve">. Le système de protection sociale s’avère pour sa part fondamentalement inadapté et insuffisamment doté pour atténuer les effets des licenciements massifs, de l’accroissement des activités informelles, de l’aggravation des maladies ou encore de la hausse de la consommation des soins. </w:t>
      </w:r>
    </w:p>
    <w:p w:rsidRPr="008238CC" w:rsidR="007915C2" w:rsidP="007915C2" w:rsidRDefault="007915C2" w14:paraId="4D18E28D" w14:textId="77777777">
      <w:pPr>
        <w:spacing w:after="160" w:line="256" w:lineRule="auto"/>
        <w:rPr>
          <w:rFonts w:ascii="Calibri" w:hAnsi="Calibri" w:eastAsia="Calibri" w:cs="Calibri"/>
          <w:color w:val="000000"/>
        </w:rPr>
      </w:pPr>
      <w:r>
        <w:rPr>
          <w:rFonts w:ascii="Calibri" w:hAnsi="Calibri"/>
          <w:color w:val="000000"/>
        </w:rPr>
        <w:t xml:space="preserve">Au plan économique, les choix de politiques industrielles ont rendu le tissu productif vulnérable aux changements brusques au niveau des chaines de valeur mondiales et des chaines logistiques, en n’accordant que peu d’importance à l’exploitation des opportunités de substitution aux importations. En parallèle, les efforts de restructuration de l’appareil productif n’ont pas permis de régler les problèmes de taille et de sous-capitalisation des entreprises nationales. De plus, les difficultés liées à l’étroitesse de la base fiscale, compromettent les marges budgétaires de l’Etat et sa capacité à engager des politiques contracycliques. </w:t>
      </w:r>
    </w:p>
    <w:p w:rsidRPr="008238CC" w:rsidR="007915C2" w:rsidP="007915C2" w:rsidRDefault="007915C2" w14:paraId="4EB82A57" w14:textId="77777777">
      <w:pPr>
        <w:spacing w:after="160" w:line="256" w:lineRule="auto"/>
        <w:rPr>
          <w:rFonts w:ascii="Calibri" w:hAnsi="Calibri" w:eastAsia="Calibri" w:cs="Calibri"/>
          <w:color w:val="000000"/>
        </w:rPr>
      </w:pPr>
      <w:r>
        <w:rPr>
          <w:rFonts w:ascii="Calibri" w:hAnsi="Calibri"/>
          <w:color w:val="000000"/>
        </w:rPr>
        <w:t xml:space="preserve">D’un autre côté, la crise de la Covid-19 a permis de révéler plusieurs atouts liés, notamment, à la réactivité et la mobilisation des autorités, à la capacité d’adaptation et d’agilité de certains secteurs productifs, à la solidarité affichée par les citoyens et au processus de transformation digitale déjà enclenché dans notre pays. </w:t>
      </w:r>
    </w:p>
    <w:p w:rsidRPr="008238CC" w:rsidR="007915C2" w:rsidP="007915C2" w:rsidRDefault="007915C2" w14:paraId="0A3D33C2" w14:textId="77777777">
      <w:pPr>
        <w:spacing w:after="160" w:line="256" w:lineRule="auto"/>
        <w:rPr>
          <w:rFonts w:ascii="Calibri" w:hAnsi="Calibri" w:eastAsia="Calibri" w:cs="Calibri"/>
          <w:b/>
          <w:bCs/>
          <w:i/>
          <w:iCs/>
          <w:color w:val="000000"/>
        </w:rPr>
      </w:pPr>
      <w:r>
        <w:rPr>
          <w:rFonts w:ascii="Calibri" w:hAnsi="Calibri"/>
          <w:b/>
          <w:i/>
          <w:color w:val="000000"/>
        </w:rPr>
        <w:t>Ces mêmes carences ont également réduit, dans des proportions plus ou moins grandes, l’effectivité des interventions publiques</w:t>
      </w:r>
    </w:p>
    <w:p w:rsidRPr="008238CC" w:rsidR="007915C2" w:rsidP="007915C2" w:rsidRDefault="007915C2" w14:paraId="68F75F62" w14:textId="77777777">
      <w:pPr>
        <w:spacing w:after="160" w:line="256" w:lineRule="auto"/>
        <w:rPr>
          <w:rFonts w:ascii="Calibri" w:hAnsi="Calibri" w:eastAsia="Calibri" w:cs="Calibri"/>
          <w:color w:val="000000"/>
        </w:rPr>
      </w:pPr>
      <w:r>
        <w:rPr>
          <w:rFonts w:ascii="Calibri" w:hAnsi="Calibri"/>
          <w:color w:val="000000"/>
        </w:rPr>
        <w:t>Bien qu’il s’avère prématuré de dresser un état définitif de la balance risques-bénéfices de la gestion de la crise sanitaire, la levée progressive du confinement, en particulier à partir du 19 juillet 2020 (3</w:t>
      </w:r>
      <w:r>
        <w:rPr>
          <w:rFonts w:ascii="Calibri" w:hAnsi="Calibri"/>
          <w:color w:val="000000"/>
          <w:vertAlign w:val="superscript"/>
        </w:rPr>
        <w:t>ème</w:t>
      </w:r>
      <w:r>
        <w:rPr>
          <w:rFonts w:ascii="Calibri" w:hAnsi="Calibri"/>
          <w:color w:val="000000"/>
        </w:rPr>
        <w:t xml:space="preserve"> phase du déconfinement), a provoqué une recrudescence du nombre de cas de Covid-19, ce qui a eu pour conséquence de dégrader substantiellement le bilan sanitaire positif qui a caractérisé la période du confinement. Les mesures prises durant la phase de déconfinement (restrictions de déplacement, suspension des transports dans certaines zones, </w:t>
      </w:r>
      <w:r>
        <w:rPr>
          <w:rFonts w:ascii="Calibri" w:hAnsi="Calibri"/>
          <w:i/>
          <w:color w:val="000000"/>
        </w:rPr>
        <w:t>etc.</w:t>
      </w:r>
      <w:r>
        <w:rPr>
          <w:rFonts w:ascii="Calibri" w:hAnsi="Calibri"/>
          <w:color w:val="000000"/>
        </w:rPr>
        <w:t>) et la communication parfois hésitante autour de ces mesures ont donné lieu à des interprétations parfois erronées sur les réseaux sociaux et à des situations de confusion chez beaucoup de citoyens. Enfin, les tentatives de pallier, dans la mesure du possible, les carences structurelles de notre système de santé, par la prise de mesures urgentes et rapides via le « Fonds spécial pour la gestion de la pandémie du Coronavirus "La Covid-19" » créé en application des Hautes Instructions de Sa Majesté le Roi, a toutefois conduit à une mobilisation quasi-exclusive dudit système pour la lutte contre la pandémie, au détriment des autres pathologies.</w:t>
      </w:r>
    </w:p>
    <w:p w:rsidRPr="008238CC" w:rsidR="007915C2" w:rsidP="007915C2" w:rsidRDefault="007915C2" w14:paraId="75131E7F" w14:textId="77777777">
      <w:pPr>
        <w:spacing w:after="160" w:line="256" w:lineRule="auto"/>
        <w:rPr>
          <w:rFonts w:ascii="Calibri" w:hAnsi="Calibri" w:eastAsia="Calibri" w:cs="Calibri"/>
          <w:color w:val="000000"/>
        </w:rPr>
      </w:pPr>
      <w:r>
        <w:rPr>
          <w:rFonts w:ascii="Calibri" w:hAnsi="Calibri"/>
          <w:color w:val="000000"/>
        </w:rPr>
        <w:t>Ce fonds spécial a également été mobilisé pour réduire l’impact du confinement aussi bien sur les ménages que sur les entreprises. Il ne constitue toutefois qu’un palliatif transitoire, dans la mesure où les transferts effectués à partir du fonds spécial covid-19, limités dans le temps, ne pourront en aucun cas soutenir une demande durable, ni de répondre valablement aux effets de la crise actuelle. Cet état de fait renvoie donc à la nécessité de doter le pays très rapidement d’un système de protection sociale pour la réduction des risques sociaux, la préservation de la cohésion sociale, la redistribution et l’accélération de la circulation des flux et la constitution d’épargne longue.</w:t>
      </w:r>
    </w:p>
    <w:p w:rsidRPr="008238CC" w:rsidR="007915C2" w:rsidP="007915C2" w:rsidRDefault="007915C2" w14:paraId="7985DD8D" w14:textId="77777777">
      <w:pPr>
        <w:spacing w:after="160" w:line="256" w:lineRule="auto"/>
        <w:rPr>
          <w:rFonts w:ascii="Calibri" w:hAnsi="Calibri" w:eastAsia="Calibri" w:cs="Calibri"/>
          <w:color w:val="000000"/>
        </w:rPr>
      </w:pPr>
      <w:r>
        <w:rPr>
          <w:rFonts w:ascii="Calibri" w:hAnsi="Calibri"/>
          <w:color w:val="000000"/>
        </w:rPr>
        <w:t xml:space="preserve">D’autre part, les aides aux entreprises n’ont pas pour finalité de résoudre les deux principales problématiques qui limitent le développement des entreprises et remettent en cause la viabilité de leurs activités, à savoir la sous-capitalisation et le surendettement. De même qu’elles ne servent pas à remettre à niveau ces entreprises pour améliorer leur compétitivité, tant sur le marché interne que sur les marchés externes. Les aides distribuées aux entreprises, au demeurant insuffisantes ne servent qu’à offrir un soutien relatif et temporaire. La pérennité des entreprises marocaines est ainsi essentiellement dépendante de la mise en œuvre du plan de relance de 120 milliards de Dirhams (11% du PIB), annoncé par Sa Majesté Le Roi, le 29 juillet de l’année en cours. Il convient de souligner que les mesures prises par les pouvoirs publics ne s’étendent pas aux mesures non conventionnelles telles que celles adoptées par certains pays dans le contexte de crise exceptionnelle. En outre, il convient d’attirer l’attention sur le fait que la plupart des mesures de relance sont des instruments de dette, alors que les solutions de fonds propres et de quasi-fonds propres, certes plus compliquées à mettre en œuvre, n’ont pas été priorisées malgré le fait que la plupart des entreprises souffrent de problèmes liés à cette nature de fonds. </w:t>
      </w:r>
    </w:p>
    <w:p w:rsidRPr="008238CC" w:rsidR="007915C2" w:rsidP="007915C2" w:rsidRDefault="007915C2" w14:paraId="1F916E53" w14:textId="32F9C2B7">
      <w:pPr>
        <w:spacing w:after="160" w:line="256" w:lineRule="auto"/>
        <w:rPr>
          <w:rFonts w:ascii="Calibri" w:hAnsi="Calibri" w:eastAsia="Calibri" w:cs="Calibri"/>
          <w:color w:val="000000"/>
        </w:rPr>
      </w:pPr>
      <w:r>
        <w:rPr>
          <w:rFonts w:ascii="Calibri" w:hAnsi="Calibri"/>
          <w:color w:val="000000"/>
        </w:rPr>
        <w:t xml:space="preserve">S’agissant de la continuité pédagogique du système éducatif, une première appréciation de l’offre du Ministère chargé de l’éducation (MENFPESRS), pour la mise en place d’un dispositif d’enseignement à distance en urgence prévu pour assurer la scolarité de millions de marocains (site web, chaînes télévisées, réseaux sociaux, Massar, </w:t>
      </w:r>
      <w:r>
        <w:rPr>
          <w:rFonts w:ascii="Calibri" w:hAnsi="Calibri"/>
          <w:i/>
          <w:color w:val="000000"/>
        </w:rPr>
        <w:t>etc.</w:t>
      </w:r>
      <w:r>
        <w:rPr>
          <w:rFonts w:ascii="Calibri" w:hAnsi="Calibri"/>
          <w:color w:val="000000"/>
        </w:rPr>
        <w:t xml:space="preserve">), reste plutôt mitigée au regard du problème de manque de qualité et de richesse du contenu, mais également du choix de ce mode eu égard aux inégalités sociales criantes en termes aussi bien de disponibilité des outils numériques et de connexion à internet, que de conditions sociales pour le suivi et l’assimilation du contenu (logement, degré d’implication des parents, </w:t>
      </w:r>
      <w:r>
        <w:rPr>
          <w:rFonts w:ascii="Calibri" w:hAnsi="Calibri"/>
          <w:i/>
          <w:color w:val="000000"/>
        </w:rPr>
        <w:t>etc.</w:t>
      </w:r>
      <w:r>
        <w:rPr>
          <w:rFonts w:ascii="Calibri" w:hAnsi="Calibri"/>
          <w:color w:val="000000"/>
        </w:rPr>
        <w:t>).</w:t>
      </w:r>
      <w:r w:rsidR="00795739">
        <w:rPr>
          <w:rFonts w:ascii="Calibri" w:hAnsi="Calibri"/>
          <w:color w:val="000000"/>
        </w:rPr>
        <w:t xml:space="preserve"> </w:t>
      </w:r>
    </w:p>
    <w:p w:rsidRPr="008238CC" w:rsidR="007915C2" w:rsidP="007915C2" w:rsidRDefault="007915C2" w14:paraId="2942229F" w14:textId="77777777">
      <w:pPr>
        <w:spacing w:after="160" w:line="256" w:lineRule="auto"/>
        <w:rPr>
          <w:rFonts w:ascii="Calibri" w:hAnsi="Calibri" w:eastAsia="Calibri" w:cs="Calibri"/>
          <w:color w:val="000000"/>
        </w:rPr>
      </w:pPr>
      <w:r>
        <w:rPr>
          <w:rFonts w:ascii="Calibri" w:hAnsi="Calibri"/>
          <w:color w:val="000000"/>
        </w:rPr>
        <w:t>La gouvernance de la crise Covid-19 en matière d’environnement et de développement durable</w:t>
      </w:r>
      <w:r>
        <w:rPr>
          <w:rFonts w:ascii="Calibri" w:hAnsi="Calibri"/>
          <w:b/>
          <w:color w:val="000000"/>
        </w:rPr>
        <w:t xml:space="preserve"> </w:t>
      </w:r>
      <w:r>
        <w:rPr>
          <w:rFonts w:ascii="Calibri" w:hAnsi="Calibri"/>
          <w:color w:val="000000"/>
        </w:rPr>
        <w:t xml:space="preserve">s’est caractérisée, quant à elle, par l’attention accordée à la disponibilité et l’accessibilité des biens de consommation ainsi qu’à la sécurisation de l’approvisionnement en produits alimentaires. </w:t>
      </w:r>
    </w:p>
    <w:p w:rsidRPr="008238CC" w:rsidR="007915C2" w:rsidP="007915C2" w:rsidRDefault="007915C2" w14:paraId="6936F7A4" w14:textId="77777777">
      <w:pPr>
        <w:spacing w:after="160" w:line="256" w:lineRule="auto"/>
        <w:rPr>
          <w:rFonts w:ascii="Calibri" w:hAnsi="Calibri" w:eastAsia="Calibri" w:cs="Calibri"/>
          <w:b/>
          <w:bCs/>
          <w:i/>
          <w:iCs/>
          <w:color w:val="000000"/>
        </w:rPr>
      </w:pPr>
      <w:r>
        <w:rPr>
          <w:rFonts w:ascii="Calibri" w:hAnsi="Calibri"/>
          <w:b/>
          <w:i/>
          <w:color w:val="000000"/>
        </w:rPr>
        <w:t>Les enseignements des expériences et tendances internationales laisse entrevoir des pistes prometteuses pour aider à tracer une nouvelle trajectoire de développement pour le Maroc</w:t>
      </w:r>
    </w:p>
    <w:p w:rsidRPr="008238CC" w:rsidR="007915C2" w:rsidP="007915C2" w:rsidRDefault="007915C2" w14:paraId="7CC72C29" w14:textId="752362AF">
      <w:pPr>
        <w:spacing w:after="160" w:line="256" w:lineRule="auto"/>
        <w:rPr>
          <w:rFonts w:ascii="Calibri" w:hAnsi="Calibri" w:eastAsia="Calibri" w:cs="Calibri"/>
          <w:color w:val="000000"/>
        </w:rPr>
      </w:pPr>
      <w:r>
        <w:rPr>
          <w:rFonts w:ascii="Calibri" w:hAnsi="Calibri"/>
          <w:color w:val="000000"/>
        </w:rPr>
        <w:t>Complétant la démarche analytique adoptée dans le cadre de cette étude, l’appréciation</w:t>
      </w:r>
      <w:r w:rsidR="00795739">
        <w:rPr>
          <w:rFonts w:ascii="Calibri" w:hAnsi="Calibri"/>
          <w:color w:val="000000"/>
        </w:rPr>
        <w:t xml:space="preserve"> </w:t>
      </w:r>
      <w:r>
        <w:rPr>
          <w:rFonts w:ascii="Calibri" w:hAnsi="Calibri"/>
          <w:color w:val="000000"/>
        </w:rPr>
        <w:t xml:space="preserve">des tendances révélées par la crise constitue une dernière étape cruciale pour encadrer la formulation des inflexions qui permettront d’aider à réaliser les ambitions à moyen et long termes de notre pays. A ce titre, il est à mentionner qu’une conséquence capitale de la crise a été la remise en question du principe d’efficience des modèles de développement, au profit de la notion de résilience. </w:t>
      </w:r>
    </w:p>
    <w:p w:rsidRPr="008238CC" w:rsidR="007915C2" w:rsidP="007915C2" w:rsidRDefault="007915C2" w14:paraId="7FF61C13" w14:textId="77777777">
      <w:pPr>
        <w:spacing w:after="160" w:line="256" w:lineRule="auto"/>
        <w:rPr>
          <w:rFonts w:ascii="Calibri" w:hAnsi="Calibri" w:eastAsia="Calibri" w:cs="Calibri"/>
          <w:color w:val="000000"/>
        </w:rPr>
      </w:pPr>
      <w:r>
        <w:rPr>
          <w:rFonts w:ascii="Calibri" w:hAnsi="Calibri"/>
          <w:color w:val="000000"/>
        </w:rPr>
        <w:t xml:space="preserve">Ceci a permis de souligner la nécessité de disposer d’un Etat fort, volontariste, régulateur et investisseur, capable de faire converger les intérêts individuels vers l’intérêt général en intervenant sur plusieurs niveaux : (i) pallier les défaillances du marché ; (ii) accorder les incitations aux secteurs prioritaires, actuels ou à développer ; (iii) protéger les agents économiques, ménages et entreprises ; (iv) susciter le jeu coopératif entre acteurs ; (v) assurer la continuité d’un service public minimum de qualité et mettre en cohérence, au service de la population, la contribution du secteur privé aux services de base. </w:t>
      </w:r>
    </w:p>
    <w:p w:rsidRPr="008238CC" w:rsidR="007915C2" w:rsidP="007915C2" w:rsidRDefault="007915C2" w14:paraId="1F9FF66C" w14:textId="6AE5BCF6">
      <w:pPr>
        <w:spacing w:after="160" w:line="256" w:lineRule="auto"/>
        <w:rPr>
          <w:rFonts w:ascii="Calibri" w:hAnsi="Calibri" w:eastAsia="Calibri" w:cs="Calibri"/>
          <w:color w:val="000000"/>
        </w:rPr>
      </w:pPr>
      <w:r>
        <w:rPr>
          <w:rFonts w:ascii="Calibri" w:hAnsi="Calibri"/>
          <w:color w:val="000000"/>
        </w:rPr>
        <w:t xml:space="preserve">Mais cette revisite de la nature des systèmes (économique, social, sociétal, environnemental, </w:t>
      </w:r>
      <w:r>
        <w:rPr>
          <w:rFonts w:ascii="Calibri" w:hAnsi="Calibri"/>
          <w:i/>
          <w:color w:val="000000"/>
        </w:rPr>
        <w:t>etc.</w:t>
      </w:r>
      <w:r>
        <w:rPr>
          <w:rFonts w:ascii="Calibri" w:hAnsi="Calibri"/>
          <w:color w:val="000000"/>
        </w:rPr>
        <w:t xml:space="preserve">) renvoie également à la nécessité de rompre avec la concentration de l’économie, en opérant une rupture avec les pratiques rentières, en luttant contre la corruption et en libérant l’espace économique au profit de tous ceux qui souhaitent entreprendre. </w:t>
      </w:r>
    </w:p>
    <w:p w:rsidRPr="008238CC" w:rsidR="007915C2" w:rsidP="007915C2" w:rsidRDefault="007915C2" w14:paraId="56BD47E7" w14:textId="77777777">
      <w:pPr>
        <w:spacing w:after="160" w:line="256" w:lineRule="auto"/>
        <w:rPr>
          <w:rFonts w:ascii="Calibri" w:hAnsi="Calibri" w:eastAsia="Calibri" w:cs="Calibri"/>
          <w:color w:val="000000"/>
        </w:rPr>
      </w:pPr>
      <w:r>
        <w:rPr>
          <w:rFonts w:ascii="Calibri" w:hAnsi="Calibri"/>
          <w:color w:val="000000"/>
        </w:rPr>
        <w:t xml:space="preserve">Quatre tendances ont ainsi pu être relevées en l’espèce. Premièrement, il a été constaté une dynamique d’élargissement et un renforcement des politiques de santé via, notamment un renouvellement des engagements pris au titre des ODD et l’accélération et l’élaboration de stratégies de santé numérique adaptées. Deuxièmement, la crise a mis en exergue le besoin pressant  d’évoluer vers un « Etat social », eu égard au creusement des inégalités en matière d’éducation et de formation en temps de crise, l’affaiblissement de la protection sociale et la fragilisation constante de l’accès aux droits humains fondamentaux. Troisièmement, au niveau économique, le rôle que peut jouer la transformation digitale dans le renforcement de la résilience et de l’amélioration de la croissance et de la productivité a été jugé décisif, tandis que les discours souverainistes et les appels aux relocalisations, au protectionnisme et à la réindustrialisation sont revenus sur le devant de la scène. Quatrièmement, les principales tendances environnementales à l’échelle nationale et internationale pointent dans leur grande majorité vers le maintien des efforts pour la transition écologique et la décarbonation des économies. </w:t>
      </w:r>
    </w:p>
    <w:p w:rsidRPr="008238CC" w:rsidR="007915C2" w:rsidP="007915C2" w:rsidRDefault="007915C2" w14:paraId="367C4B60" w14:textId="77777777">
      <w:pPr>
        <w:spacing w:after="160" w:line="256" w:lineRule="auto"/>
        <w:rPr>
          <w:rFonts w:ascii="Calibri" w:hAnsi="Calibri" w:eastAsia="Calibri" w:cs="Calibri"/>
          <w:strike/>
          <w:color w:val="000000"/>
        </w:rPr>
      </w:pPr>
      <w:r>
        <w:rPr>
          <w:rFonts w:ascii="Calibri" w:hAnsi="Calibri"/>
          <w:b/>
          <w:i/>
          <w:color w:val="000000"/>
        </w:rPr>
        <w:t>La nécessité d’une nouvelle vision permettant de surmonter les effets négatifs de la crise et d’amorcer une nouvelle trajectoire de développement</w:t>
      </w:r>
    </w:p>
    <w:p w:rsidRPr="008238CC" w:rsidR="007915C2" w:rsidP="007915C2" w:rsidRDefault="007915C2" w14:paraId="59646F46" w14:textId="77777777">
      <w:pPr>
        <w:spacing w:after="160" w:line="256" w:lineRule="auto"/>
        <w:rPr>
          <w:rFonts w:ascii="Calibri" w:hAnsi="Calibri" w:eastAsia="Calibri" w:cs="Calibri"/>
          <w:color w:val="000000"/>
        </w:rPr>
      </w:pPr>
      <w:r>
        <w:rPr>
          <w:rFonts w:ascii="Calibri" w:hAnsi="Calibri"/>
          <w:color w:val="000000"/>
        </w:rPr>
        <w:t xml:space="preserve">La dynamique impulsée par la nécessité de faire face à la crise Covid-19, et ses impacts négatifs, doit marquer le début d’une transformation profonde du pays en s’appuyant sur les Hautes orientations Royales et sur la Constitution qui avait suscité un large débat et permis d’aboutir à un consensus sur plusieurs aspects fondamentaux de notre projet de société. Elle doit exploiter tous les atouts du pays et capitaliser sur ses réalisations et sur la richesse de son capital immatériel. </w:t>
      </w:r>
    </w:p>
    <w:p w:rsidRPr="008238CC" w:rsidR="007915C2" w:rsidP="007915C2" w:rsidRDefault="007915C2" w14:paraId="7D0DC29E" w14:textId="77777777">
      <w:pPr>
        <w:spacing w:after="160" w:line="256" w:lineRule="auto"/>
        <w:rPr>
          <w:rFonts w:ascii="Calibri" w:hAnsi="Calibri" w:eastAsia="Calibri" w:cs="Calibri"/>
          <w:color w:val="000000"/>
        </w:rPr>
      </w:pPr>
      <w:r>
        <w:rPr>
          <w:rFonts w:ascii="Calibri" w:hAnsi="Calibri"/>
          <w:color w:val="000000"/>
        </w:rPr>
        <w:t xml:space="preserve">Le CESE considère, à ce titre, que l’ambition exprimée dans son rapport sur le nouveau modèle de développement est toujours d’actualité, puisque cette crise n’a fait que confirmer son bien-fondé et sa légitimité. Cette ambition doit, toutefois, prendre en compte une exigence majeure qui s’avère indispensable et qui marquera toutes les stratégies Post-Covid dans le monde, à savoir la résilience systémique. </w:t>
      </w:r>
    </w:p>
    <w:p w:rsidRPr="008238CC" w:rsidR="007915C2" w:rsidP="007915C2" w:rsidRDefault="007915C2" w14:paraId="13F020B6" w14:textId="77777777">
      <w:pPr>
        <w:spacing w:after="160" w:line="256" w:lineRule="auto"/>
        <w:rPr>
          <w:rFonts w:ascii="Calibri" w:hAnsi="Calibri" w:eastAsia="Calibri" w:cs="Calibri"/>
          <w:i/>
          <w:iCs/>
          <w:color w:val="000000"/>
        </w:rPr>
      </w:pPr>
      <w:r>
        <w:rPr>
          <w:rFonts w:ascii="Calibri" w:hAnsi="Calibri"/>
          <w:color w:val="000000"/>
        </w:rPr>
        <w:t xml:space="preserve">Ainsi, l’ambition qui doit être visée consiste à </w:t>
      </w:r>
      <w:r>
        <w:rPr>
          <w:rFonts w:ascii="Calibri" w:hAnsi="Calibri"/>
          <w:i/>
          <w:color w:val="000000"/>
        </w:rPr>
        <w:t>« Construire un modèle de développement dynamique qui assure une croissance forte, inclusive et durable, garantit l’égalité des chances, favorise l’épanouissement de l’individu et renforce ses capacités au sein d’une société prospère, solidaire et résiliente, centrée sur le citoyen ».</w:t>
      </w:r>
    </w:p>
    <w:p w:rsidRPr="008238CC" w:rsidR="007915C2" w:rsidP="007915C2" w:rsidRDefault="007915C2" w14:paraId="7E239C96" w14:textId="77777777">
      <w:pPr>
        <w:spacing w:after="160" w:line="256" w:lineRule="auto"/>
        <w:rPr>
          <w:rFonts w:ascii="Calibri" w:hAnsi="Calibri" w:eastAsia="Calibri" w:cs="Calibri"/>
          <w:color w:val="000000"/>
        </w:rPr>
      </w:pPr>
      <w:r>
        <w:rPr>
          <w:rFonts w:ascii="Calibri" w:hAnsi="Calibri"/>
          <w:color w:val="000000"/>
        </w:rPr>
        <w:t>Parmi les défis que le Conseil juge capitaux à relever, il y a lieu de citer:</w:t>
      </w:r>
    </w:p>
    <w:p w:rsidRPr="008238CC" w:rsidR="007915C2" w:rsidP="007915C2" w:rsidRDefault="007915C2" w14:paraId="373B28B8" w14:textId="77777777">
      <w:pPr>
        <w:numPr>
          <w:ilvl w:val="0"/>
          <w:numId w:val="4"/>
        </w:numPr>
        <w:spacing w:line="256" w:lineRule="auto"/>
        <w:contextualSpacing/>
        <w:jc w:val="left"/>
        <w:rPr>
          <w:rFonts w:ascii="Calibri" w:hAnsi="Calibri" w:eastAsia="Calibri" w:cs="Calibri"/>
          <w:color w:val="000000"/>
        </w:rPr>
      </w:pPr>
      <w:r>
        <w:rPr>
          <w:rFonts w:ascii="Calibri" w:hAnsi="Calibri"/>
          <w:color w:val="000000"/>
        </w:rPr>
        <w:t>L’incertitude provoquée par la pandémie, qui nécessite plus que jamais de l’anticipation et de l’agilité ;</w:t>
      </w:r>
    </w:p>
    <w:p w:rsidRPr="008238CC" w:rsidR="007915C2" w:rsidP="007915C2" w:rsidRDefault="007915C2" w14:paraId="7395E8FE" w14:textId="77777777">
      <w:pPr>
        <w:numPr>
          <w:ilvl w:val="0"/>
          <w:numId w:val="4"/>
        </w:numPr>
        <w:spacing w:line="256" w:lineRule="auto"/>
        <w:contextualSpacing/>
        <w:jc w:val="left"/>
        <w:rPr>
          <w:rFonts w:ascii="Calibri" w:hAnsi="Calibri" w:eastAsia="Calibri" w:cs="Calibri"/>
          <w:color w:val="000000"/>
        </w:rPr>
      </w:pPr>
      <w:r>
        <w:rPr>
          <w:rFonts w:ascii="Calibri" w:hAnsi="Calibri"/>
          <w:color w:val="000000"/>
        </w:rPr>
        <w:t>La capacité de l’Etat à</w:t>
      </w:r>
      <w:r>
        <w:rPr>
          <w:rFonts w:ascii="Calibri" w:hAnsi="Calibri"/>
          <w:strike/>
          <w:color w:val="000000"/>
        </w:rPr>
        <w:t xml:space="preserve"> </w:t>
      </w:r>
      <w:r>
        <w:rPr>
          <w:rFonts w:ascii="Calibri" w:hAnsi="Calibri"/>
          <w:color w:val="000000"/>
        </w:rPr>
        <w:t>s’adapter à son nouveau rôle, déterminé en cela par les inflexions majeures provoquées par la crise mais, également, par la nécessité d’assurer la souveraineté nationale dans les secteurs stratégiques;</w:t>
      </w:r>
    </w:p>
    <w:p w:rsidRPr="008238CC" w:rsidR="007915C2" w:rsidP="007915C2" w:rsidRDefault="007915C2" w14:paraId="5918436B" w14:textId="77777777">
      <w:pPr>
        <w:numPr>
          <w:ilvl w:val="0"/>
          <w:numId w:val="4"/>
        </w:numPr>
        <w:spacing w:line="256" w:lineRule="auto"/>
        <w:contextualSpacing/>
        <w:jc w:val="left"/>
        <w:rPr>
          <w:rFonts w:ascii="Calibri" w:hAnsi="Calibri" w:eastAsia="Calibri" w:cs="Calibri"/>
          <w:color w:val="000000"/>
        </w:rPr>
      </w:pPr>
      <w:r>
        <w:rPr>
          <w:rFonts w:ascii="Calibri" w:hAnsi="Calibri"/>
          <w:color w:val="000000"/>
        </w:rPr>
        <w:t xml:space="preserve">L’essoufflement de la croissance depuis 2010, aggravé par la récession historique attendue en 2020 et la menace qui plane sur plusieurs secteurs d’activité de l’économie nationale touchés par la crise ; </w:t>
      </w:r>
    </w:p>
    <w:p w:rsidRPr="008238CC" w:rsidR="007915C2" w:rsidP="007915C2" w:rsidRDefault="007915C2" w14:paraId="12DF567C" w14:textId="77777777">
      <w:pPr>
        <w:numPr>
          <w:ilvl w:val="0"/>
          <w:numId w:val="4"/>
        </w:numPr>
        <w:spacing w:line="256" w:lineRule="auto"/>
        <w:contextualSpacing/>
        <w:jc w:val="left"/>
        <w:rPr>
          <w:rFonts w:ascii="Calibri" w:hAnsi="Calibri" w:eastAsia="Calibri" w:cs="Calibri"/>
          <w:color w:val="000000"/>
        </w:rPr>
      </w:pPr>
      <w:r>
        <w:rPr>
          <w:rFonts w:ascii="Calibri" w:hAnsi="Calibri"/>
          <w:color w:val="000000"/>
        </w:rPr>
        <w:t>Les contraintes de mise en œuvre de nouvelles politiques sociales et, notamment, la refonte en profondeur du système de santé, l’accélération des réformes du système éducatif et la généralisation de la protection sociale ;</w:t>
      </w:r>
    </w:p>
    <w:p w:rsidRPr="008238CC" w:rsidR="007915C2" w:rsidP="007915C2" w:rsidRDefault="007915C2" w14:paraId="1D059B21" w14:textId="77777777">
      <w:pPr>
        <w:numPr>
          <w:ilvl w:val="0"/>
          <w:numId w:val="4"/>
        </w:numPr>
        <w:spacing w:line="256" w:lineRule="auto"/>
        <w:contextualSpacing/>
        <w:jc w:val="left"/>
        <w:rPr>
          <w:rFonts w:ascii="Calibri" w:hAnsi="Calibri" w:eastAsia="Calibri" w:cs="Calibri"/>
          <w:color w:val="000000"/>
        </w:rPr>
      </w:pPr>
      <w:r>
        <w:rPr>
          <w:rFonts w:ascii="Calibri" w:hAnsi="Calibri"/>
          <w:color w:val="000000"/>
        </w:rPr>
        <w:t>La nécessité d’accélérer la transition énergétique et écologique vers un nouveau modèle de développement durable, équitable et inclusif, en concordance avec les Objectifs de Développement Durable (Agenda 2030) ;</w:t>
      </w:r>
    </w:p>
    <w:p w:rsidRPr="008238CC" w:rsidR="007915C2" w:rsidP="007915C2" w:rsidRDefault="007915C2" w14:paraId="7B1D10C9" w14:textId="77777777">
      <w:pPr>
        <w:numPr>
          <w:ilvl w:val="0"/>
          <w:numId w:val="4"/>
        </w:numPr>
        <w:spacing w:line="256" w:lineRule="auto"/>
        <w:contextualSpacing/>
        <w:jc w:val="left"/>
        <w:rPr>
          <w:rFonts w:ascii="Calibri" w:hAnsi="Calibri" w:eastAsia="Calibri" w:cs="Calibri"/>
          <w:color w:val="000000"/>
        </w:rPr>
      </w:pPr>
      <w:r>
        <w:rPr>
          <w:rFonts w:ascii="Calibri" w:hAnsi="Calibri"/>
          <w:color w:val="000000"/>
        </w:rPr>
        <w:t>Le repositionnement international et continental du Maroc pour être en phase avec les mutations des chaines mondiales de production.</w:t>
      </w:r>
    </w:p>
    <w:p w:rsidRPr="008238CC" w:rsidR="007915C2" w:rsidP="007915C2" w:rsidRDefault="007915C2" w14:paraId="2519DA05" w14:textId="77777777">
      <w:pPr>
        <w:spacing w:after="160" w:line="256" w:lineRule="auto"/>
        <w:rPr>
          <w:rFonts w:ascii="Calibri" w:hAnsi="Calibri" w:eastAsia="Calibri" w:cs="Calibri"/>
          <w:color w:val="000000"/>
        </w:rPr>
      </w:pPr>
    </w:p>
    <w:p w:rsidRPr="008238CC" w:rsidR="007915C2" w:rsidP="007915C2" w:rsidRDefault="007915C2" w14:paraId="6BCDB3FA" w14:textId="77777777">
      <w:pPr>
        <w:spacing w:after="160" w:line="256" w:lineRule="auto"/>
        <w:rPr>
          <w:rFonts w:ascii="Calibri" w:hAnsi="Calibri" w:eastAsia="Calibri" w:cs="Calibri"/>
          <w:color w:val="000000"/>
        </w:rPr>
      </w:pPr>
      <w:r>
        <w:rPr>
          <w:rFonts w:ascii="Calibri" w:hAnsi="Calibri"/>
          <w:color w:val="000000"/>
        </w:rPr>
        <w:t>Pour relever ces défis, le CESE propose des inflexions et des recommandations dont la mise en œuvre se doit d’être progressive et cumulative. Les actions à mener doivent permettre à notre pays d’atteindre trois grands objectifs stratégiques :</w:t>
      </w:r>
    </w:p>
    <w:p w:rsidRPr="008238CC" w:rsidR="007915C2" w:rsidP="007915C2" w:rsidRDefault="007915C2" w14:paraId="4D7E6692" w14:textId="77777777">
      <w:pPr>
        <w:numPr>
          <w:ilvl w:val="0"/>
          <w:numId w:val="5"/>
        </w:numPr>
        <w:spacing w:line="256" w:lineRule="auto"/>
        <w:jc w:val="left"/>
        <w:rPr>
          <w:rFonts w:ascii="Calibri" w:hAnsi="Calibri" w:eastAsia="Calibri" w:cs="Calibri"/>
          <w:color w:val="000000"/>
        </w:rPr>
      </w:pPr>
      <w:r>
        <w:rPr>
          <w:rFonts w:ascii="Calibri" w:hAnsi="Calibri"/>
          <w:color w:val="000000"/>
        </w:rPr>
        <w:t>Renforcer la résilience du pays et sa capacité à vivre avec le Coronavirus aussi longtemps que nécessaire, tout en assurant le droit à la santé aux citoyens, le soutien du pouvoir d’achat des ménages et la sauvegarde de l’appareil productif ;</w:t>
      </w:r>
    </w:p>
    <w:p w:rsidRPr="008238CC" w:rsidR="007915C2" w:rsidP="007915C2" w:rsidRDefault="007915C2" w14:paraId="0531C67C" w14:textId="77777777">
      <w:pPr>
        <w:numPr>
          <w:ilvl w:val="0"/>
          <w:numId w:val="5"/>
        </w:numPr>
        <w:spacing w:line="256" w:lineRule="auto"/>
        <w:jc w:val="left"/>
        <w:rPr>
          <w:rFonts w:ascii="Calibri" w:hAnsi="Calibri" w:eastAsia="Calibri" w:cs="Calibri"/>
          <w:color w:val="000000"/>
        </w:rPr>
      </w:pPr>
      <w:r>
        <w:rPr>
          <w:rFonts w:ascii="Calibri" w:hAnsi="Calibri"/>
          <w:color w:val="000000"/>
        </w:rPr>
        <w:t>Relancer l’économie du pays en incitant les entreprises à améliorer leur compétitivité et à créer des emplois, mais aussi à s’adapter aux changements déclenchés par la crise pour saisir toutes les opportunités offertes par la nouvelle reconfiguration des chaines de production mondiales ;</w:t>
      </w:r>
    </w:p>
    <w:p w:rsidRPr="008238CC" w:rsidR="007915C2" w:rsidP="007915C2" w:rsidRDefault="007915C2" w14:paraId="6198358C" w14:textId="77777777">
      <w:pPr>
        <w:numPr>
          <w:ilvl w:val="0"/>
          <w:numId w:val="5"/>
        </w:numPr>
        <w:spacing w:line="256" w:lineRule="auto"/>
        <w:jc w:val="left"/>
        <w:rPr>
          <w:rFonts w:ascii="Calibri" w:hAnsi="Calibri" w:eastAsia="Calibri" w:cs="Calibri"/>
          <w:color w:val="000000"/>
        </w:rPr>
      </w:pPr>
      <w:r>
        <w:rPr>
          <w:rFonts w:ascii="Calibri" w:hAnsi="Calibri"/>
          <w:color w:val="000000"/>
        </w:rPr>
        <w:t>Mettre le Maroc sur une nouvelle trajectoire de développement en remédiant aux faiblesses et vulnérabilités de notre modèle actuel et en accélérant les réformes et les restructurations nécessaires à l’émergence d’un Maroc durablement prospère, plus inclusif, plus solidaire et plus résilient.</w:t>
      </w:r>
    </w:p>
    <w:p w:rsidR="00875460" w:rsidP="007915C2" w:rsidRDefault="00875460" w14:paraId="274B2609" w14:textId="77777777">
      <w:pPr>
        <w:spacing w:after="160" w:line="256" w:lineRule="auto"/>
        <w:rPr>
          <w:rFonts w:ascii="Calibri" w:hAnsi="Calibri" w:eastAsia="Calibri" w:cs="Calibri"/>
          <w:b/>
          <w:bCs/>
          <w:i/>
          <w:iCs/>
          <w:color w:val="000000"/>
        </w:rPr>
      </w:pPr>
    </w:p>
    <w:p w:rsidRPr="008238CC" w:rsidR="007915C2" w:rsidP="007915C2" w:rsidRDefault="007915C2" w14:paraId="08FEE983" w14:textId="77777777">
      <w:pPr>
        <w:spacing w:after="160" w:line="256" w:lineRule="auto"/>
        <w:rPr>
          <w:rFonts w:ascii="Calibri" w:hAnsi="Calibri" w:eastAsia="Calibri" w:cs="Calibri"/>
          <w:b/>
          <w:bCs/>
          <w:i/>
          <w:iCs/>
          <w:color w:val="000000"/>
        </w:rPr>
      </w:pPr>
      <w:r>
        <w:rPr>
          <w:rFonts w:ascii="Calibri" w:hAnsi="Calibri"/>
          <w:b/>
          <w:i/>
          <w:color w:val="000000"/>
        </w:rPr>
        <w:t>Les inflexions majeures pour réussir la sortie de crise et favoriser une mise en œuvre optimale du nouveau modèle de développement</w:t>
      </w:r>
    </w:p>
    <w:p w:rsidRPr="008238CC" w:rsidR="007915C2" w:rsidP="007915C2" w:rsidRDefault="007915C2" w14:paraId="3650E995" w14:textId="77777777">
      <w:pPr>
        <w:spacing w:after="160" w:line="256" w:lineRule="auto"/>
        <w:rPr>
          <w:rFonts w:ascii="Calibri" w:hAnsi="Calibri" w:eastAsia="Calibri" w:cs="Calibri"/>
          <w:color w:val="000000"/>
        </w:rPr>
      </w:pPr>
      <w:r>
        <w:rPr>
          <w:rFonts w:ascii="Calibri" w:hAnsi="Calibri"/>
          <w:color w:val="000000"/>
        </w:rPr>
        <w:t>Organisées en 7 axes distincts, les 149 recommandations retenues par le Conseil visent principalement à renforcer la capacité de notre pays à anticiper les changements et à s’y adapter en toute agilité.</w:t>
      </w:r>
    </w:p>
    <w:p w:rsidRPr="008238CC" w:rsidR="007915C2" w:rsidP="007915C2" w:rsidRDefault="007915C2" w14:paraId="591DCC4C" w14:textId="77777777">
      <w:pPr>
        <w:spacing w:after="160" w:line="256" w:lineRule="auto"/>
        <w:jc w:val="left"/>
        <w:rPr>
          <w:rFonts w:ascii="Calibri" w:hAnsi="Calibri" w:eastAsia="Calibri" w:cs="Arial"/>
          <w:b/>
          <w:bCs/>
          <w:color w:val="000000"/>
          <w:u w:val="single"/>
        </w:rPr>
      </w:pPr>
      <w:r>
        <w:rPr>
          <w:rFonts w:ascii="Calibri" w:hAnsi="Calibri"/>
          <w:b/>
          <w:color w:val="000000"/>
          <w:u w:val="single"/>
        </w:rPr>
        <w:t>Vivre avec la Covid-19 : entre les impératifs de l’urgence et la nécessité d’adaptation</w:t>
      </w:r>
    </w:p>
    <w:p w:rsidRPr="008238CC" w:rsidR="007915C2" w:rsidP="007915C2" w:rsidRDefault="007915C2" w14:paraId="67337146" w14:textId="77777777">
      <w:pPr>
        <w:spacing w:after="160" w:line="256" w:lineRule="auto"/>
        <w:rPr>
          <w:rFonts w:ascii="Calibri" w:hAnsi="Calibri" w:eastAsia="Calibri" w:cs="Calibri"/>
          <w:color w:val="000000"/>
        </w:rPr>
      </w:pPr>
      <w:r>
        <w:rPr>
          <w:rFonts w:ascii="Calibri" w:hAnsi="Calibri"/>
          <w:color w:val="000000"/>
        </w:rPr>
        <w:t>La crise sanitaire, dont le dénouement et les implications globales restent toujours incertains, ne peut être gérée dans la durée à travers les mêmes mesures restrictives que celles édictées durant le confinement, au regard des coûts socioéconomiques insupportables qu’elles engendrent. Eu égard aux faiblesses patentes mises en lumière par la crise, l’épreuve que traverse actuellement notre pays impose des ajustements urgents, afin de permettre aux citoyens et au tissu productif de s’adapter à ce nouvel environnement, et reprendre un niveau d’activité aussi proche de la normale que possible en attendant une solution définitive à la pandémie.</w:t>
      </w:r>
    </w:p>
    <w:p w:rsidRPr="008238CC" w:rsidR="007915C2" w:rsidP="007915C2" w:rsidRDefault="007915C2" w14:paraId="3B8D7953" w14:textId="77777777">
      <w:pPr>
        <w:spacing w:after="160" w:line="256" w:lineRule="auto"/>
        <w:rPr>
          <w:rFonts w:ascii="Calibri" w:hAnsi="Calibri" w:eastAsia="Calibri" w:cs="Arial"/>
          <w:color w:val="000000"/>
        </w:rPr>
      </w:pPr>
      <w:r>
        <w:rPr>
          <w:rFonts w:ascii="Calibri" w:hAnsi="Calibri"/>
          <w:color w:val="000000"/>
        </w:rPr>
        <w:t xml:space="preserve">Le premier axe se rapporte en conséquence aux mesures à introduire rapidement pour permettre de vivre avec la Covid-19 ; un objectif atteignable sous réserve de faire évoluer les mentalités en capitalisant sur les éléments favorables induits par la crise. Il s’agit ainsi de mesures qui visent la refonte des secteurs sociaux de base (santé et éducation), la reconfiguration des procédés et relations de travail (secteurs public et privé) et l’adoption d’une approche active et participative dans la gestion des risques, tout en consacrant les fondements de l’état de droit. </w:t>
      </w:r>
    </w:p>
    <w:p w:rsidRPr="008238CC" w:rsidR="007915C2" w:rsidP="007915C2" w:rsidRDefault="007915C2" w14:paraId="3D743866" w14:textId="77777777">
      <w:pPr>
        <w:spacing w:after="160" w:line="256" w:lineRule="auto"/>
        <w:jc w:val="left"/>
        <w:rPr>
          <w:rFonts w:ascii="Calibri" w:hAnsi="Calibri" w:eastAsia="Calibri" w:cs="Arial"/>
          <w:b/>
          <w:bCs/>
          <w:color w:val="000000"/>
          <w:u w:val="single"/>
        </w:rPr>
      </w:pPr>
      <w:r>
        <w:rPr>
          <w:rFonts w:ascii="Calibri" w:hAnsi="Calibri"/>
          <w:b/>
          <w:color w:val="000000"/>
          <w:u w:val="single"/>
        </w:rPr>
        <w:t>Renforcer les trois missions fondamentales de l’Etat et réorienter les politiques publiques pour un Maroc plus inclusif et plus résilient</w:t>
      </w:r>
    </w:p>
    <w:p w:rsidRPr="008238CC" w:rsidR="007915C2" w:rsidP="007915C2" w:rsidRDefault="007915C2" w14:paraId="2EA47354" w14:textId="77777777">
      <w:pPr>
        <w:spacing w:after="160" w:line="256" w:lineRule="auto"/>
        <w:rPr>
          <w:rFonts w:ascii="Calibri" w:hAnsi="Calibri" w:eastAsia="Calibri" w:cs="Calibri"/>
          <w:color w:val="000000"/>
        </w:rPr>
      </w:pPr>
      <w:r>
        <w:rPr>
          <w:rFonts w:ascii="Calibri" w:hAnsi="Calibri"/>
          <w:color w:val="000000"/>
        </w:rPr>
        <w:t xml:space="preserve">Les effets des mesures de lutte contre la pandémie laissent entrevoir un nouveau rôle pour l’Etat dans la sphère publique, en lien avec la mise en avant des faiblesses du modèle néolibéral qui prône un Etat minimal, la suprématie des marchés et une réduction au minimum des dépenses publiques sociales, y compris dans des secteurs vitaux comme la santé, l’éducation et la protection sociale. La crise sanitaire de 2020 est en effet venue réitérer les appels pour un retour d’un « Etat-Providence » rénové sur le plan social, à savoir un Etat qui place le citoyen au centre de ses préoccupations et prônant des politiques keynésiennes plus ambitieuses sur le plan économique en vue de réduire l’incertitude, rassurer les investisseurs et soutenir la demande. </w:t>
      </w:r>
    </w:p>
    <w:p w:rsidRPr="008238CC" w:rsidR="007915C2" w:rsidP="007915C2" w:rsidRDefault="007915C2" w14:paraId="75E921EC" w14:textId="7D14384D">
      <w:pPr>
        <w:spacing w:after="160" w:line="256" w:lineRule="auto"/>
        <w:rPr>
          <w:rFonts w:ascii="Calibri" w:hAnsi="Calibri" w:eastAsia="Calibri" w:cs="Calibri"/>
          <w:color w:val="000000"/>
        </w:rPr>
      </w:pPr>
      <w:r>
        <w:rPr>
          <w:rFonts w:ascii="Calibri" w:hAnsi="Calibri"/>
          <w:color w:val="000000"/>
        </w:rPr>
        <w:t>Les recommandations de cet axe portent spécifiquement sur les inflexions majeures à opérer pour adapter le rôle de l’Etat aux nouvelles exigences du monde Post-Covid, permettant ainsi de réorienter les choix de politiques publiques et l’approche de gouvernance. Cette revue du rôle de l’Etat est considérée à travers le renforcement de trois missions principales : un Etat assureur systémique en temps de crise, un état social au service du citoyen et un Etat stratège avec une vision de long-terme.</w:t>
      </w:r>
      <w:r w:rsidR="00795739">
        <w:rPr>
          <w:rFonts w:ascii="Calibri" w:hAnsi="Calibri"/>
          <w:color w:val="000000"/>
        </w:rPr>
        <w:t xml:space="preserve"> </w:t>
      </w:r>
    </w:p>
    <w:p w:rsidRPr="008238CC" w:rsidR="007915C2" w:rsidP="007915C2" w:rsidRDefault="007915C2" w14:paraId="0BC754B9" w14:textId="77777777">
      <w:pPr>
        <w:spacing w:after="160" w:line="256" w:lineRule="auto"/>
        <w:jc w:val="left"/>
        <w:rPr>
          <w:rFonts w:ascii="Calibri" w:hAnsi="Calibri" w:eastAsia="Calibri" w:cs="Arial"/>
          <w:b/>
          <w:bCs/>
          <w:color w:val="000000"/>
          <w:u w:val="single"/>
        </w:rPr>
      </w:pPr>
      <w:r>
        <w:rPr>
          <w:rFonts w:ascii="Calibri" w:hAnsi="Calibri"/>
          <w:b/>
          <w:color w:val="000000"/>
          <w:u w:val="single"/>
        </w:rPr>
        <w:t>Passer d’un système de soins à un système de santé</w:t>
      </w:r>
    </w:p>
    <w:p w:rsidRPr="008238CC" w:rsidR="007915C2" w:rsidP="007915C2" w:rsidRDefault="007915C2" w14:paraId="7909E597" w14:textId="77777777">
      <w:pPr>
        <w:spacing w:after="160" w:line="256" w:lineRule="auto"/>
        <w:rPr>
          <w:rFonts w:ascii="Calibri" w:hAnsi="Calibri" w:eastAsia="Calibri" w:cs="Arial"/>
          <w:color w:val="000000"/>
        </w:rPr>
      </w:pPr>
      <w:r>
        <w:rPr>
          <w:rFonts w:ascii="Calibri" w:hAnsi="Calibri"/>
          <w:color w:val="000000"/>
        </w:rPr>
        <w:t xml:space="preserve">La pandémie aura fait prendre conscience que la refonte du système de santé est plus que jamais un enjeu majeur de cohésion, de justice et de paix sociale, qui devrait induire une véritable volonté de changement politique et l’élaboration d’un cadre d’action clair et ambitieux. A ce stade, il devient plus que jamais urgent pour notre pays de développer un système de santé national qui garantisse la qualité et l’efficacité de l’offre de soins de santé, l’accès équitable aux soins et la protection financière des patients, l’efficience de l’offre et la viabilité financière à long terme. </w:t>
      </w:r>
    </w:p>
    <w:p w:rsidRPr="008238CC" w:rsidR="007915C2" w:rsidP="007915C2" w:rsidRDefault="007915C2" w14:paraId="0BB9CE64" w14:textId="17AEE6CA">
      <w:pPr>
        <w:spacing w:after="160" w:line="256" w:lineRule="auto"/>
        <w:rPr>
          <w:rFonts w:ascii="Calibri" w:hAnsi="Calibri" w:eastAsia="Calibri" w:cs="Calibri"/>
          <w:color w:val="000000"/>
        </w:rPr>
      </w:pPr>
      <w:r>
        <w:rPr>
          <w:rFonts w:ascii="Calibri" w:hAnsi="Calibri"/>
          <w:color w:val="000000"/>
        </w:rPr>
        <w:t xml:space="preserve">Cet axe porte sur les réformes structurelles nécessaires à l’émergence d’un véritable système de santé, partant de la vision et la volonté politique jusqu’à la question de la santé et de la sécurité, en passant par la gouvernance, les ressources humaines et le financement. </w:t>
      </w:r>
      <w:r>
        <w:rPr>
          <w:rFonts w:ascii="Calibri" w:hAnsi="Calibri"/>
          <w:i/>
          <w:color w:val="000000"/>
        </w:rPr>
        <w:t>In fine</w:t>
      </w:r>
      <w:r>
        <w:rPr>
          <w:rFonts w:ascii="Calibri" w:hAnsi="Calibri"/>
          <w:color w:val="000000"/>
        </w:rPr>
        <w:t>, le nouveau système auquel appelle le CESE doit assurer l’effectivité d’une médecine préventive efficace et garantir une offre de soins de santé de qualité, couvrant l’ensemble du territoire et accessible à tous les citoyens, sans distinction.</w:t>
      </w:r>
      <w:r w:rsidR="00795739">
        <w:rPr>
          <w:rFonts w:ascii="Calibri" w:hAnsi="Calibri"/>
          <w:color w:val="000000"/>
        </w:rPr>
        <w:t xml:space="preserve"> </w:t>
      </w:r>
    </w:p>
    <w:p w:rsidRPr="008238CC" w:rsidR="007915C2" w:rsidP="007915C2" w:rsidRDefault="007915C2" w14:paraId="722F819B" w14:textId="77777777">
      <w:pPr>
        <w:spacing w:after="160" w:line="256" w:lineRule="auto"/>
        <w:jc w:val="left"/>
        <w:rPr>
          <w:rFonts w:ascii="Calibri" w:hAnsi="Calibri" w:eastAsia="Calibri" w:cs="Arial"/>
          <w:b/>
          <w:bCs/>
          <w:color w:val="000000"/>
          <w:u w:val="single"/>
        </w:rPr>
      </w:pPr>
      <w:r>
        <w:rPr>
          <w:rFonts w:ascii="Calibri" w:hAnsi="Calibri"/>
          <w:b/>
          <w:color w:val="000000"/>
          <w:u w:val="single"/>
        </w:rPr>
        <w:t xml:space="preserve">Mettre en place un système de protection sociale généralisée et des stratégies innovantes pour réduire l’informel </w:t>
      </w:r>
    </w:p>
    <w:p w:rsidRPr="008238CC" w:rsidR="007915C2" w:rsidP="007915C2" w:rsidRDefault="007915C2" w14:paraId="238C08C1" w14:textId="77777777">
      <w:pPr>
        <w:spacing w:after="160" w:line="256" w:lineRule="auto"/>
        <w:rPr>
          <w:rFonts w:ascii="Calibri" w:hAnsi="Calibri" w:eastAsia="Calibri" w:cs="Calibri"/>
          <w:color w:val="000000"/>
        </w:rPr>
      </w:pPr>
      <w:r>
        <w:rPr>
          <w:rFonts w:ascii="Calibri" w:hAnsi="Calibri"/>
          <w:color w:val="000000"/>
        </w:rPr>
        <w:t xml:space="preserve">La crise de la Covid-19 n’a fait que confirmer le niveau élevé de vulnérabilité de larges franges de la population exerçant dans des métiers faiblement organisés ou dans l’informel. L‘urgence de remédier à cette carence structurelle qui n’a que trop duré n’est plus à démontrer, une situation qui nécessite de mener un certain nombre d’actions et de réformes pour renforcer et étendre aussi bien le dispositif de filets sociaux, que la couverture maladie, dans le sens d’une universalisation des systèmes. </w:t>
      </w:r>
    </w:p>
    <w:p w:rsidRPr="008238CC" w:rsidR="007915C2" w:rsidP="007915C2" w:rsidRDefault="007915C2" w14:paraId="4E3887E3" w14:textId="673B31F7">
      <w:pPr>
        <w:spacing w:after="160" w:line="256" w:lineRule="auto"/>
        <w:rPr>
          <w:rFonts w:ascii="Calibri" w:hAnsi="Calibri" w:eastAsia="Calibri" w:cs="Calibri"/>
          <w:color w:val="000000"/>
        </w:rPr>
      </w:pPr>
      <w:r>
        <w:rPr>
          <w:rFonts w:ascii="Calibri" w:hAnsi="Calibri"/>
          <w:color w:val="000000"/>
        </w:rPr>
        <w:t>Le présent axe traite tout autant des réformes nécessaires pour assurer une protection sociale universelle qui profite de manière équitable et soutenable à tous les individus, avec pour principes la viabilité et la convergence des régimes, que des leviers à envisager pour insérer et restructurer les activités vulnérables et informelles.</w:t>
      </w:r>
      <w:r w:rsidR="00795739">
        <w:rPr>
          <w:rFonts w:ascii="Calibri" w:hAnsi="Calibri"/>
          <w:color w:val="000000"/>
        </w:rPr>
        <w:t xml:space="preserve"> </w:t>
      </w:r>
    </w:p>
    <w:p w:rsidRPr="008238CC" w:rsidR="007915C2" w:rsidP="007915C2" w:rsidRDefault="007915C2" w14:paraId="69C1FD02" w14:textId="77777777">
      <w:pPr>
        <w:spacing w:after="160" w:line="256" w:lineRule="auto"/>
        <w:jc w:val="left"/>
        <w:rPr>
          <w:rFonts w:ascii="Calibri" w:hAnsi="Calibri" w:eastAsia="Calibri" w:cs="Arial"/>
          <w:b/>
          <w:bCs/>
          <w:color w:val="000000"/>
          <w:u w:val="single"/>
        </w:rPr>
      </w:pPr>
      <w:r>
        <w:rPr>
          <w:rFonts w:ascii="Calibri" w:hAnsi="Calibri"/>
          <w:b/>
          <w:color w:val="000000"/>
          <w:u w:val="single"/>
        </w:rPr>
        <w:t>Relancer l’économie à court terme tout en renforçant sa résilience à moyen terme face aux éventuels chocs futurs</w:t>
      </w:r>
    </w:p>
    <w:p w:rsidRPr="008238CC" w:rsidR="007915C2" w:rsidP="007915C2" w:rsidRDefault="007915C2" w14:paraId="521424FF" w14:textId="77777777">
      <w:pPr>
        <w:spacing w:after="160" w:line="256" w:lineRule="auto"/>
        <w:rPr>
          <w:rFonts w:ascii="Calibri" w:hAnsi="Calibri" w:eastAsia="Calibri" w:cs="Calibri"/>
          <w:color w:val="000000"/>
        </w:rPr>
      </w:pPr>
      <w:r>
        <w:rPr>
          <w:rFonts w:ascii="Calibri" w:hAnsi="Calibri"/>
          <w:color w:val="000000"/>
        </w:rPr>
        <w:t>Si les fermetures d’entreprises, les mesures de distanciation et la perturbation de certaines chaines d’approvisionnement ont sévèrement impacté l’offre, il n’en demeure pas moins que certains indicateurs pointent vers le fait que l’impact négatif de la crise est encore plus prononcé au niveau de la demande. La nature même du choc Covid renvoie à la nécessité pour les pouvoirs publics de continuer à agir simultanément sur l’offre et la demande, mais aussi sur le niveau d’incertitude qui impacte fortement la formation des anticipations des agents.</w:t>
      </w:r>
    </w:p>
    <w:p w:rsidRPr="008238CC" w:rsidR="007915C2" w:rsidP="007915C2" w:rsidRDefault="007915C2" w14:paraId="69DC1A5C" w14:textId="77777777">
      <w:pPr>
        <w:spacing w:after="160" w:line="256" w:lineRule="auto"/>
        <w:rPr>
          <w:rFonts w:ascii="Calibri" w:hAnsi="Calibri" w:eastAsia="Calibri" w:cs="Calibri"/>
          <w:color w:val="000000"/>
        </w:rPr>
      </w:pPr>
      <w:r>
        <w:rPr>
          <w:rFonts w:ascii="Calibri" w:hAnsi="Calibri"/>
          <w:color w:val="000000"/>
        </w:rPr>
        <w:t xml:space="preserve">Ce cinquième axe traite des inflexions majeures à opérer, en matière de politiques économiques (monétaire, fiscale, budgétaire, commerciale, industrielle, </w:t>
      </w:r>
      <w:r>
        <w:rPr>
          <w:rFonts w:ascii="Calibri" w:hAnsi="Calibri"/>
          <w:i/>
          <w:color w:val="000000"/>
        </w:rPr>
        <w:t>etc.</w:t>
      </w:r>
      <w:r>
        <w:rPr>
          <w:rFonts w:ascii="Calibri" w:hAnsi="Calibri"/>
          <w:color w:val="000000"/>
        </w:rPr>
        <w:t>) pour (i) la sauvegarde de l’activité et des emplois, (ii) l’amélioration de la résilience et de la compétitivité des entreprises nationales, (iii) l’insertion de l’économie informelle en tenant compte de ses caractéristiques. Deux temporalités distinctes sont considérées avec, chacune, des objectifs spécifiques : le court-terme pour la sauvegarde de l’économie, grâce à des mesures préventives pour limiter la destruction des emplois et les faillites des entreprises ; le moyen/long terme pour accroitre la résilience et le caractère inclusif de l’économie, à travers une revisite globale des priorités des politiques économiques du Maroc.</w:t>
      </w:r>
    </w:p>
    <w:p w:rsidRPr="008238CC" w:rsidR="007915C2" w:rsidP="007915C2" w:rsidRDefault="007915C2" w14:paraId="3BEC1F74" w14:textId="77777777">
      <w:pPr>
        <w:spacing w:after="160" w:line="256" w:lineRule="auto"/>
        <w:jc w:val="left"/>
        <w:rPr>
          <w:rFonts w:ascii="Calibri" w:hAnsi="Calibri" w:eastAsia="Calibri" w:cs="Arial"/>
          <w:b/>
          <w:bCs/>
          <w:color w:val="000000"/>
          <w:u w:val="single"/>
        </w:rPr>
      </w:pPr>
      <w:r>
        <w:rPr>
          <w:rFonts w:ascii="Calibri" w:hAnsi="Calibri"/>
          <w:b/>
          <w:color w:val="000000"/>
          <w:u w:val="single"/>
        </w:rPr>
        <w:t>Développer les secteurs stratégiques pour renforcer la souveraineté du pays</w:t>
      </w:r>
    </w:p>
    <w:p w:rsidRPr="008238CC" w:rsidR="007915C2" w:rsidP="007915C2" w:rsidRDefault="007915C2" w14:paraId="6C7F6B6C" w14:textId="77777777">
      <w:pPr>
        <w:spacing w:after="160" w:line="256" w:lineRule="auto"/>
        <w:rPr>
          <w:rFonts w:ascii="Calibri" w:hAnsi="Calibri" w:eastAsia="Calibri" w:cs="Calibri"/>
          <w:color w:val="000000"/>
        </w:rPr>
      </w:pPr>
      <w:r>
        <w:rPr>
          <w:rFonts w:ascii="Calibri" w:hAnsi="Calibri"/>
          <w:color w:val="000000"/>
        </w:rPr>
        <w:t xml:space="preserve">Partant de l’hypothèse que les crises majeures peuvent devenir de plus en plus fréquentes, avec des risques plus importants en termes de perturbation des approvisionnements sur les marchés mondiaux, le Maroc est appelé à renforcer son positionnement sur un certain nombre de secteurs vitaux pour réduire sa dépendance et sa vulnérabilité aux chocs extérieurs. Le renforcement de la souveraineté passe également par une réduction de la dépendance technologique du Maroc, à l’aide d’une stratégie intégrée de la R&amp;D et l’innovation. A moyen/long terme, notre pays est </w:t>
      </w:r>
      <w:r>
        <w:rPr>
          <w:rFonts w:ascii="Calibri" w:hAnsi="Calibri"/>
          <w:color w:val="000000"/>
          <w:vertAlign w:val="superscript"/>
        </w:rPr>
        <w:t>«</w:t>
      </w:r>
      <w:r>
        <w:rPr>
          <w:rFonts w:ascii="Calibri" w:hAnsi="Calibri"/>
          <w:color w:val="000000"/>
        </w:rPr>
        <w:t> condamné </w:t>
      </w:r>
      <w:r>
        <w:rPr>
          <w:rFonts w:ascii="Calibri" w:hAnsi="Calibri"/>
          <w:color w:val="000000"/>
          <w:vertAlign w:val="superscript"/>
        </w:rPr>
        <w:t>»</w:t>
      </w:r>
      <w:r>
        <w:rPr>
          <w:rFonts w:ascii="Calibri" w:hAnsi="Calibri"/>
          <w:color w:val="000000"/>
        </w:rPr>
        <w:t xml:space="preserve"> à transiter d’un consommateur net à un producteur net de connaissance dans les domaines scientifiques et technologiques de l’avenir, étant donné l’aspect cumulatif de la corrélation forte entre l’innovation et la compétitivité d’une économie. </w:t>
      </w:r>
    </w:p>
    <w:p w:rsidRPr="008238CC" w:rsidR="007915C2" w:rsidP="007915C2" w:rsidRDefault="007915C2" w14:paraId="6F48F69B" w14:textId="77777777">
      <w:pPr>
        <w:spacing w:after="160" w:line="256" w:lineRule="auto"/>
        <w:rPr>
          <w:rFonts w:ascii="Calibri" w:hAnsi="Calibri" w:eastAsia="Calibri" w:cs="Calibri"/>
          <w:color w:val="000000"/>
        </w:rPr>
      </w:pPr>
      <w:r>
        <w:rPr>
          <w:rFonts w:ascii="Calibri" w:hAnsi="Calibri"/>
          <w:color w:val="000000"/>
        </w:rPr>
        <w:t>Les recommandations de ce sixième axe portent sur les secteurs stratégiques révélés par la crise Covid-19, et dont le développement doit être maitrisé par notre pays afin de réduire sa dépendance vis-à-vis de l’étranger et accroître ainsi la résilience de son économie. Parmi les domaines stratégiques, il y a lieu de citer l’industrie pharmaceutique, le secteur alimentaire ou encore secteur énergétique, mais aussi l’écosystème de la R&amp;D et l’innovation.</w:t>
      </w:r>
    </w:p>
    <w:p w:rsidRPr="008238CC" w:rsidR="007915C2" w:rsidP="007915C2" w:rsidRDefault="007915C2" w14:paraId="5D29998F" w14:textId="77777777">
      <w:pPr>
        <w:spacing w:after="160" w:line="256" w:lineRule="auto"/>
        <w:jc w:val="left"/>
        <w:rPr>
          <w:rFonts w:ascii="Calibri" w:hAnsi="Calibri" w:eastAsia="Calibri" w:cs="Arial"/>
          <w:b/>
          <w:bCs/>
          <w:color w:val="000000"/>
          <w:u w:val="single"/>
        </w:rPr>
      </w:pPr>
      <w:r>
        <w:rPr>
          <w:rFonts w:ascii="Calibri" w:hAnsi="Calibri"/>
          <w:b/>
          <w:color w:val="000000"/>
          <w:u w:val="single"/>
        </w:rPr>
        <w:t>Mettre en place une politique nationale intégrée et globale de transformation digitale</w:t>
      </w:r>
    </w:p>
    <w:p w:rsidRPr="008238CC" w:rsidR="007915C2" w:rsidP="007915C2" w:rsidRDefault="007915C2" w14:paraId="1FF4E987" w14:textId="77777777">
      <w:pPr>
        <w:spacing w:after="160" w:line="256" w:lineRule="auto"/>
        <w:rPr>
          <w:rFonts w:ascii="Calibri" w:hAnsi="Calibri" w:eastAsia="Calibri" w:cs="Calibri"/>
          <w:color w:val="000000"/>
        </w:rPr>
      </w:pPr>
      <w:r>
        <w:rPr>
          <w:rFonts w:ascii="Calibri" w:hAnsi="Calibri"/>
          <w:color w:val="000000"/>
        </w:rPr>
        <w:t>Le recours aux technologies digitales a connu un essor remarquable durant la crise de la Covid-19, au niveau du fonctionnement de l’administration publique, au niveau des habitudes des consommateurs et usagers, ainsi qu’au niveau des entreprises privées dont une partie a procédé à des changements significatifs en introduisant le digital dans le processus de production, dans la distribution, la promotion et la gestion des ressources humaines via le recours au travail à distance. La crise a en revanche montré que l’intégration du digital est loin d’être égalitaire au Maroc et que le risque d’élargissement de la fracture numérique entre aisés et pauvres, entre urbains et ruraux, demeure présent. L’accélération de la tendance mondiale vers des économies et des sociétés plus digitalisées impose au Maroc de faire de la digitalisation un chantier structurant, de portée stratégique.</w:t>
      </w:r>
    </w:p>
    <w:p w:rsidRPr="008238CC" w:rsidR="007915C2" w:rsidP="007915C2" w:rsidRDefault="007915C2" w14:paraId="11AFAD13" w14:textId="3701632E">
      <w:pPr>
        <w:spacing w:after="160" w:line="256" w:lineRule="auto"/>
        <w:rPr>
          <w:rFonts w:ascii="Calibri" w:hAnsi="Calibri" w:eastAsia="Calibri" w:cs="Calibri"/>
          <w:color w:val="000000"/>
        </w:rPr>
      </w:pPr>
      <w:r>
        <w:rPr>
          <w:rFonts w:ascii="Calibri" w:hAnsi="Calibri"/>
          <w:color w:val="000000"/>
        </w:rPr>
        <w:t>Le septième et dernier axe porte donc sur ce levier transversal vital qui permet, d’une part, d’améliorer l’efficacité d’exécution de notre pays dans tous les domaines, notamment dans les services publics destinés aux citoyens et aux entreprises, les services sociaux de base et l’économie, et d’autre part, de remédier à certains problèmes structurels à moindre coût et dans des délais plus courts. Les recommandations associées à ce thème couvrent également la vision relative à la stratégie à suivre, ainsi que les voies pour élever le digital au rang de droit fondamental avec pour finalité une connectivité numérique de qualité, pour tous et partout.</w:t>
      </w:r>
      <w:r w:rsidR="00795739">
        <w:rPr>
          <w:rFonts w:ascii="Calibri" w:hAnsi="Calibri"/>
          <w:color w:val="000000"/>
        </w:rPr>
        <w:t xml:space="preserve"> </w:t>
      </w:r>
    </w:p>
    <w:p w:rsidRPr="008238CC" w:rsidR="007915C2" w:rsidP="00130B82" w:rsidRDefault="007915C2" w14:paraId="1B8F5AE4" w14:textId="77777777">
      <w:pPr>
        <w:spacing w:line="240" w:lineRule="auto"/>
        <w:jc w:val="center"/>
        <w:rPr>
          <w:sz w:val="24"/>
          <w:szCs w:val="24"/>
        </w:rPr>
      </w:pPr>
      <w:r>
        <w:rPr>
          <w:color w:val="000000"/>
        </w:rPr>
        <w:t>____________</w:t>
      </w:r>
    </w:p>
    <w:p w:rsidRPr="008238CC" w:rsidR="007915C2" w:rsidP="00E2376B" w:rsidRDefault="007915C2" w14:paraId="659E9E04" w14:textId="77777777"/>
    <w:p w:rsidRPr="008238CC" w:rsidR="00F53370" w:rsidRDefault="00F53370" w14:paraId="1120DA58" w14:textId="77777777"/>
    <w:sectPr w:rsidRPr="008238CC" w:rsidR="00F53370" w:rsidSect="001E74A1">
      <w:headerReference w:type="default" r:id="rId18"/>
      <w:footerReference w:type="default" r:id="rId19"/>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75722" w14:textId="77777777" w:rsidR="00E5452E" w:rsidRDefault="00E5452E" w:rsidP="00F53370">
      <w:pPr>
        <w:spacing w:line="240" w:lineRule="auto"/>
      </w:pPr>
      <w:r>
        <w:separator/>
      </w:r>
    </w:p>
  </w:endnote>
  <w:endnote w:type="continuationSeparator" w:id="0">
    <w:p w14:paraId="6E71F196" w14:textId="77777777" w:rsidR="00E5452E" w:rsidRDefault="00E5452E"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0FE1"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6A37" w14:textId="7F7A8CA9" w:rsidR="0084105C" w:rsidRPr="003065C9" w:rsidRDefault="00833285" w:rsidP="00833285">
    <w:pPr>
      <w:pStyle w:val="Footer"/>
      <w:jc w:val="left"/>
    </w:pPr>
    <w:r>
      <w:t xml:space="preserve">REX/537 – EESC-2021-02760-00-01-AC-TRA (EN) </w:t>
    </w:r>
    <w:r>
      <w:fldChar w:fldCharType="begin"/>
    </w:r>
    <w:r>
      <w:instrText xml:space="preserve"> PAGE  \* Arabic  \* MERGEFORMAT </w:instrText>
    </w:r>
    <w:r>
      <w:fldChar w:fldCharType="separate"/>
    </w:r>
    <w:r w:rsidR="00B231CC">
      <w:rPr>
        <w:noProof/>
      </w:rPr>
      <w:t>20</w:t>
    </w:r>
    <w:r>
      <w:fldChar w:fldCharType="end"/>
    </w:r>
    <w:r>
      <w:t>/</w:t>
    </w:r>
    <w:r>
      <w:fldChar w:fldCharType="begin"/>
    </w:r>
    <w:r>
      <w:instrText xml:space="preserve"> = </w:instrText>
    </w:r>
    <w:r w:rsidR="002B21D1">
      <w:fldChar w:fldCharType="begin"/>
    </w:r>
    <w:r w:rsidR="002B21D1">
      <w:instrText xml:space="preserve"> NUMPAGES </w:instrText>
    </w:r>
    <w:r w:rsidR="002B21D1">
      <w:fldChar w:fldCharType="separate"/>
    </w:r>
    <w:r w:rsidR="00B231CC">
      <w:rPr>
        <w:noProof/>
      </w:rPr>
      <w:instrText>22</w:instrText>
    </w:r>
    <w:r w:rsidR="002B21D1">
      <w:fldChar w:fldCharType="end"/>
    </w:r>
    <w:r>
      <w:instrText xml:space="preserve"> - 2 </w:instrText>
    </w:r>
    <w:r>
      <w:fldChar w:fldCharType="separate"/>
    </w:r>
    <w:r w:rsidR="00B231CC">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9E206" w14:textId="77777777" w:rsidR="00E5452E" w:rsidRDefault="00E5452E" w:rsidP="00F53370">
      <w:pPr>
        <w:spacing w:line="240" w:lineRule="auto"/>
      </w:pPr>
      <w:r>
        <w:separator/>
      </w:r>
    </w:p>
  </w:footnote>
  <w:footnote w:type="continuationSeparator" w:id="0">
    <w:p w14:paraId="1B1FF85E" w14:textId="77777777" w:rsidR="00E5452E" w:rsidRDefault="00E5452E" w:rsidP="00F53370">
      <w:pPr>
        <w:spacing w:line="240" w:lineRule="auto"/>
      </w:pPr>
      <w:r>
        <w:continuationSeparator/>
      </w:r>
    </w:p>
  </w:footnote>
  <w:footnote w:id="1">
    <w:p w14:paraId="1F4284B4" w14:textId="2C4F96BD" w:rsidR="007915C2" w:rsidRPr="000733E2" w:rsidRDefault="007915C2" w:rsidP="007915C2">
      <w:pPr>
        <w:pStyle w:val="Heading1"/>
        <w:numPr>
          <w:ilvl w:val="0"/>
          <w:numId w:val="0"/>
        </w:numPr>
        <w:spacing w:after="60" w:line="240" w:lineRule="auto"/>
        <w:ind w:left="567" w:hanging="567"/>
        <w:rPr>
          <w:rStyle w:val="FootnoteTextChar"/>
        </w:rPr>
      </w:pPr>
      <w:r>
        <w:rPr>
          <w:rStyle w:val="FootnoteReference"/>
        </w:rPr>
        <w:footnoteRef/>
      </w:r>
      <w:r>
        <w:tab/>
      </w:r>
      <w:r>
        <w:rPr>
          <w:rStyle w:val="FootnoteTextChar"/>
        </w:rPr>
        <w:t xml:space="preserve">Η παρούσα ενημερωτική έκθεση συμπληρώνεται επίσης από πρόσφατες γνωμοδοτήσεις της ΕΟΚΕ για το θέμα αυτό, και συγκεκριμένα τις: «Μηχανισμός Ανάκαμψης και Ανθεκτικότητας και Μέσο Τεχνικής Υποστήριξης», </w:t>
      </w:r>
      <w:hyperlink r:id="rId1" w:history="1">
        <w:r>
          <w:rPr>
            <w:rStyle w:val="Hyperlink"/>
            <w:i/>
            <w:sz w:val="16"/>
          </w:rPr>
          <w:t>ΕΕ C 364 της 28.10.2020, σ. 132</w:t>
        </w:r>
      </w:hyperlink>
      <w:r>
        <w:rPr>
          <w:rStyle w:val="FootnoteTextChar"/>
        </w:rPr>
        <w:t>, «Κανονισμός σχετικά με την πρωτοβουλία επενδύσεων για την αντιμετώπιση του κορονοϊού» (δεν έχει δημοσιευθεί ακόμα στην ΕΕ), REX/529 «Μια επιτακτική ανάγκη για την περίοδο μετά την κρίση COVID</w:t>
      </w:r>
      <w:r>
        <w:rPr>
          <w:rStyle w:val="FootnoteTextChar"/>
        </w:rPr>
        <w:noBreakHyphen/>
        <w:t xml:space="preserve">19: ο σχεδιασμός νέου μοντέλου πολυμερών σχέσεων», </w:t>
      </w:r>
      <w:hyperlink r:id="rId2" w:history="1">
        <w:r>
          <w:rPr>
            <w:rStyle w:val="Hyperlink"/>
            <w:i/>
            <w:sz w:val="16"/>
          </w:rPr>
          <w:t>ΕΕ C 364 της 28.10.2020, σ. 53</w:t>
        </w:r>
      </w:hyperlink>
      <w:r>
        <w:rPr>
          <w:rStyle w:val="FootnoteTextChar"/>
        </w:rPr>
        <w:t>.</w:t>
      </w:r>
    </w:p>
  </w:footnote>
  <w:footnote w:id="2">
    <w:p w14:paraId="55E9BE89" w14:textId="77777777" w:rsidR="007915C2" w:rsidRPr="008238CC" w:rsidRDefault="007915C2" w:rsidP="007915C2">
      <w:pPr>
        <w:pStyle w:val="FootnoteText"/>
      </w:pPr>
      <w:r>
        <w:rPr>
          <w:rStyle w:val="FootnoteReference"/>
        </w:rPr>
        <w:footnoteRef/>
      </w:r>
      <w:r>
        <w:tab/>
      </w:r>
      <w:hyperlink r:id="rId3" w:history="1">
        <w:r>
          <w:rPr>
            <w:rStyle w:val="Hyperlink"/>
          </w:rPr>
          <w:t>https://meddialogue.eu/wp-content/uploads/2021/02/Publication-Bridging-the-sea.pdf</w:t>
        </w:r>
      </w:hyperlink>
      <w:r>
        <w:t>.</w:t>
      </w:r>
    </w:p>
  </w:footnote>
  <w:footnote w:id="3">
    <w:p w14:paraId="033F831C" w14:textId="77777777" w:rsidR="007915C2" w:rsidRPr="008238CC" w:rsidRDefault="007915C2" w:rsidP="007915C2">
      <w:pPr>
        <w:pStyle w:val="FootnoteText"/>
      </w:pPr>
      <w:r>
        <w:rPr>
          <w:rStyle w:val="FootnoteReference"/>
        </w:rPr>
        <w:footnoteRef/>
      </w:r>
      <w:r>
        <w:tab/>
      </w:r>
      <w:hyperlink r:id="rId4" w:history="1">
        <w:r>
          <w:rPr>
            <w:rStyle w:val="Hyperlink"/>
          </w:rPr>
          <w:t>https://read.oecd-ilibrary.org/view/?ref=124_124984-7uf8nm95se&amp;title=Covid-19_Tourism_Policy_Responses&amp;_ga=2.143901749.1647750476.1622806508-1692148678.1622806341</w:t>
        </w:r>
      </w:hyperlink>
      <w:r>
        <w:t>.</w:t>
      </w:r>
    </w:p>
  </w:footnote>
  <w:footnote w:id="4">
    <w:p w14:paraId="36958DE2" w14:textId="77777777" w:rsidR="007915C2" w:rsidRPr="008238CC" w:rsidRDefault="007915C2" w:rsidP="007915C2">
      <w:pPr>
        <w:pStyle w:val="FootnoteText"/>
      </w:pPr>
      <w:r>
        <w:rPr>
          <w:rStyle w:val="FootnoteReference"/>
        </w:rPr>
        <w:footnoteRef/>
      </w:r>
      <w:r>
        <w:tab/>
      </w:r>
      <w:hyperlink r:id="rId5" w:history="1">
        <w:r>
          <w:rPr>
            <w:rStyle w:val="Hyperlink"/>
          </w:rPr>
          <w:t>https://unctad.org/system/files/official-document/ditcinf2020d3_en.pdf</w:t>
        </w:r>
      </w:hyperlink>
      <w:r>
        <w:t>.</w:t>
      </w:r>
    </w:p>
  </w:footnote>
  <w:footnote w:id="5">
    <w:p w14:paraId="2270E03C" w14:textId="4E936416" w:rsidR="007915C2" w:rsidRPr="008238CC" w:rsidRDefault="007915C2" w:rsidP="007915C2">
      <w:pPr>
        <w:pStyle w:val="FootnoteText"/>
      </w:pPr>
      <w:r>
        <w:rPr>
          <w:rStyle w:val="FootnoteReference"/>
        </w:rPr>
        <w:footnoteRef/>
      </w:r>
      <w:r>
        <w:t xml:space="preserve"> </w:t>
      </w:r>
      <w:r>
        <w:tab/>
      </w:r>
      <w:hyperlink r:id="rId6" w:history="1">
        <w:r>
          <w:rPr>
            <w:rStyle w:val="Hyperlink"/>
          </w:rPr>
          <w:t>UfM Foreign Affairs Ministers set priority areas for stronger cooperation and integration in the Euro-Mediterranean region [Οι υπουργοί Εξωτερικών της ΕγΜ θέτουν τομείς προτεραιότητας για την ενίσχυση της συνεργασίας και της διασύνδεσης στην ευρωμεσογειακή περιοχή] – Union for the Mediterranean (ufmsecretariat.org)</w:t>
        </w:r>
      </w:hyperlink>
      <w:r>
        <w:t>.</w:t>
      </w:r>
    </w:p>
  </w:footnote>
  <w:footnote w:id="6">
    <w:p w14:paraId="5F573310" w14:textId="4DBCC9BA" w:rsidR="007915C2" w:rsidRPr="008238CC" w:rsidRDefault="007915C2" w:rsidP="007915C2">
      <w:pPr>
        <w:pStyle w:val="FootnoteText"/>
      </w:pPr>
      <w:r>
        <w:rPr>
          <w:rStyle w:val="FootnoteReference"/>
        </w:rPr>
        <w:footnoteRef/>
      </w:r>
      <w:r>
        <w:tab/>
      </w:r>
      <w:hyperlink r:id="rId7" w:history="1">
        <w:r>
          <w:rPr>
            <w:rStyle w:val="Hyperlink"/>
          </w:rPr>
          <w:t>https://www.2021portugal.eu/en/porto-social-summit/porto-social-commitment/</w:t>
        </w:r>
      </w:hyperlink>
      <w:r>
        <w:t>.</w:t>
      </w:r>
    </w:p>
  </w:footnote>
  <w:footnote w:id="7">
    <w:p w14:paraId="2F4EE1C7" w14:textId="77777777" w:rsidR="007915C2" w:rsidRPr="008238CC" w:rsidRDefault="007915C2" w:rsidP="007915C2">
      <w:pPr>
        <w:pStyle w:val="FootnoteText"/>
        <w:rPr>
          <w:szCs w:val="16"/>
        </w:rPr>
      </w:pPr>
      <w:r>
        <w:rPr>
          <w:rStyle w:val="FootnoteReference"/>
          <w:szCs w:val="24"/>
        </w:rPr>
        <w:footnoteRef/>
      </w:r>
      <w:r>
        <w:tab/>
        <w:t>Les prévisions de croissance, tout en demeurant entourées de fortes incertitudes, tablent sur une contraction importante du PIB mondial de l’ordre de -4,4%, soit près de 2,6 fois la baisse enregistrée par l’économie mondiale en 2009 suite à la crise financière. Pour leur part, les échanges commerciaux ont baissé de près de 3,5 % en glissement annuel au cours du premier trimestre, en raison de la faiblesse de la demande, de l’effondrement du tourisme international, et des ruptures d’approvisionnement provoquées par les mesures de confinement, parfois encore aggravées par des restrictions sur les échanges. Enfin, la Banque mondiale estime que plus de 100 millions de personnes tomberont dans l’extrême pauvreté, tandis que la FAO évalue à 451 millions (35%) le nombre d’emplois formels dans les systèmes alimentaires seraient amenés à disparaitre du fait de la pandémie de la Covid-19.</w:t>
      </w:r>
    </w:p>
  </w:footnote>
  <w:footnote w:id="8">
    <w:p w14:paraId="00385787" w14:textId="77777777" w:rsidR="007915C2" w:rsidRPr="008238CC" w:rsidRDefault="007915C2" w:rsidP="007915C2">
      <w:pPr>
        <w:spacing w:after="60" w:line="240" w:lineRule="auto"/>
        <w:ind w:left="567" w:hanging="567"/>
        <w:rPr>
          <w:rFonts w:cs="Calibri"/>
          <w:sz w:val="16"/>
          <w:szCs w:val="16"/>
        </w:rPr>
      </w:pPr>
      <w:r>
        <w:rPr>
          <w:rStyle w:val="FootnoteReference"/>
          <w:rFonts w:cs="Calibri"/>
          <w:szCs w:val="24"/>
        </w:rPr>
        <w:footnoteRef/>
      </w:r>
      <w:r>
        <w:rPr>
          <w:sz w:val="16"/>
        </w:rPr>
        <w:tab/>
        <w:t>UN, Covid 19 et droits humains, Réagissons ensemble, avril 2020.</w:t>
      </w:r>
    </w:p>
  </w:footnote>
  <w:footnote w:id="9">
    <w:p w14:paraId="0C828D6B" w14:textId="77777777" w:rsidR="007915C2" w:rsidRPr="008238CC" w:rsidRDefault="007915C2" w:rsidP="007915C2">
      <w:pPr>
        <w:pStyle w:val="FootnoteText"/>
        <w:rPr>
          <w:szCs w:val="16"/>
        </w:rPr>
      </w:pPr>
      <w:r>
        <w:rPr>
          <w:rStyle w:val="FootnoteReference"/>
          <w:szCs w:val="24"/>
        </w:rPr>
        <w:footnoteRef/>
      </w:r>
      <w:r>
        <w:tab/>
        <w:t>Loi de finances rectificative 2020.</w:t>
      </w:r>
    </w:p>
  </w:footnote>
  <w:footnote w:id="10">
    <w:p w14:paraId="0777FE45" w14:textId="77777777" w:rsidR="007915C2" w:rsidRPr="008238CC" w:rsidRDefault="007915C2" w:rsidP="007915C2">
      <w:pPr>
        <w:pStyle w:val="FootnoteText"/>
        <w:rPr>
          <w:szCs w:val="16"/>
        </w:rPr>
      </w:pPr>
      <w:r>
        <w:rPr>
          <w:rStyle w:val="FootnoteReference"/>
          <w:szCs w:val="24"/>
        </w:rPr>
        <w:footnoteRef/>
      </w:r>
      <w:r>
        <w:tab/>
        <w:t>Financée grâce au Fonds spécial Covid</w:t>
      </w:r>
    </w:p>
  </w:footnote>
  <w:footnote w:id="11">
    <w:p w14:paraId="216247FE" w14:textId="77777777" w:rsidR="007915C2" w:rsidRPr="008238CC" w:rsidRDefault="007915C2" w:rsidP="007915C2">
      <w:pPr>
        <w:pStyle w:val="FootnoteText"/>
        <w:rPr>
          <w:szCs w:val="16"/>
        </w:rPr>
      </w:pPr>
      <w:r>
        <w:rPr>
          <w:rStyle w:val="FootnoteReference"/>
          <w:szCs w:val="24"/>
        </w:rPr>
        <w:footnoteRef/>
      </w:r>
      <w:r>
        <w:tab/>
        <w:t>CSEFRS, « une école de justice sociale : Contribution à la réflexion sur le modèle de développement »,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AF09" w14:textId="77777777" w:rsidR="00574C9B" w:rsidRDefault="002B21D1">
    <w:pPr>
      <w:pStyle w:val="Header"/>
    </w:pPr>
    <w:r>
      <w:pict w14:anchorId="60EB5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244EA" w14:textId="0BC82D5E" w:rsidR="00574C9B" w:rsidRDefault="00CE06C3">
    <w:pPr>
      <w:pStyle w:val="Header"/>
    </w:pPr>
    <w:r>
      <w:rPr>
        <w:noProof/>
        <w:lang w:val="en-US"/>
      </w:rPr>
      <w:drawing>
        <wp:anchor distT="0" distB="0" distL="114300" distR="114300" simplePos="0" relativeHeight="251666432" behindDoc="0" locked="0" layoutInCell="1" allowOverlap="1" wp14:anchorId="41784D08" wp14:editId="7C05F656">
          <wp:simplePos x="0" y="0"/>
          <wp:positionH relativeFrom="page">
            <wp:align>center</wp:align>
          </wp:positionH>
          <wp:positionV relativeFrom="page">
            <wp:posOffset>288290</wp:posOffset>
          </wp:positionV>
          <wp:extent cx="6944360" cy="3343275"/>
          <wp:effectExtent l="0" t="0" r="8890" b="9525"/>
          <wp:wrapNone/>
          <wp:docPr id="1" name="Picture 1" title="EESCLogo2021_E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2B21D1">
      <w:pict w14:anchorId="567C9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4A78" w14:textId="77777777" w:rsidR="00574C9B" w:rsidRDefault="002B21D1">
    <w:pPr>
      <w:pStyle w:val="Header"/>
    </w:pPr>
    <w:r>
      <w:pict w14:anchorId="0456A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0805" w14:textId="77777777" w:rsidR="00574C9B" w:rsidRDefault="002B21D1">
    <w:pPr>
      <w:pStyle w:val="Header"/>
    </w:pPr>
    <w:r>
      <w:pict w14:anchorId="0C549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8FE4" w14:textId="77777777" w:rsidR="00574C9B" w:rsidRDefault="00574C9B">
    <w:pPr>
      <w:pStyle w:val="Header"/>
    </w:pPr>
    <w:r>
      <w:rPr>
        <w:noProof/>
        <w:lang w:val="en-US"/>
      </w:rPr>
      <w:drawing>
        <wp:anchor distT="0" distB="0" distL="114300" distR="114300" simplePos="0" relativeHeight="251665408" behindDoc="1" locked="0" layoutInCell="1" allowOverlap="1" wp14:anchorId="2496B17F" wp14:editId="44242037">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3971" w14:textId="77777777" w:rsidR="00574C9B" w:rsidRDefault="002B21D1">
    <w:pPr>
      <w:pStyle w:val="Header"/>
    </w:pPr>
    <w:r>
      <w:pict w14:anchorId="38F4B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EB3F" w14:textId="77777777" w:rsidR="00FA08F8" w:rsidRDefault="002B2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6F0B43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520F59E6"/>
    <w:multiLevelType w:val="hybridMultilevel"/>
    <w:tmpl w:val="BC3017EA"/>
    <w:lvl w:ilvl="0" w:tplc="C7F2456C">
      <w:start w:val="21"/>
      <w:numFmt w:val="bullet"/>
      <w:lvlText w:val="-"/>
      <w:lvlJc w:val="left"/>
      <w:pPr>
        <w:ind w:left="720" w:hanging="360"/>
      </w:pPr>
      <w:rPr>
        <w:rFonts w:ascii="Calibri" w:eastAsia="Calibri" w:hAnsi="Calibri" w:cs="Calibri" w:hint="default"/>
        <w:color w:val="auto"/>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2" w15:restartNumberingAfterBreak="0">
    <w:nsid w:val="59D7533B"/>
    <w:multiLevelType w:val="hybridMultilevel"/>
    <w:tmpl w:val="804C4F40"/>
    <w:lvl w:ilvl="0" w:tplc="380C001B">
      <w:start w:val="1"/>
      <w:numFmt w:val="lowerRoman"/>
      <w:lvlText w:val="%1."/>
      <w:lvlJc w:val="right"/>
      <w:pPr>
        <w:ind w:left="720" w:hanging="360"/>
      </w:p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02871"/>
    <w:rsid w:val="00020389"/>
    <w:rsid w:val="00053D00"/>
    <w:rsid w:val="000733E2"/>
    <w:rsid w:val="00097244"/>
    <w:rsid w:val="000A0F3B"/>
    <w:rsid w:val="000B4E1D"/>
    <w:rsid w:val="00130B82"/>
    <w:rsid w:val="00177999"/>
    <w:rsid w:val="0019231D"/>
    <w:rsid w:val="001D61AC"/>
    <w:rsid w:val="001E15AA"/>
    <w:rsid w:val="001E3FA1"/>
    <w:rsid w:val="00200E87"/>
    <w:rsid w:val="00214BDC"/>
    <w:rsid w:val="00215E81"/>
    <w:rsid w:val="0024727F"/>
    <w:rsid w:val="002B21D1"/>
    <w:rsid w:val="002B6A7B"/>
    <w:rsid w:val="00305BCF"/>
    <w:rsid w:val="003353D7"/>
    <w:rsid w:val="003659F9"/>
    <w:rsid w:val="00373016"/>
    <w:rsid w:val="003C715E"/>
    <w:rsid w:val="003E6C87"/>
    <w:rsid w:val="004C2B98"/>
    <w:rsid w:val="00564A31"/>
    <w:rsid w:val="00574C9B"/>
    <w:rsid w:val="0058411F"/>
    <w:rsid w:val="005D11D8"/>
    <w:rsid w:val="006125A1"/>
    <w:rsid w:val="00653E7D"/>
    <w:rsid w:val="00662207"/>
    <w:rsid w:val="00667F09"/>
    <w:rsid w:val="006B4554"/>
    <w:rsid w:val="006B57A6"/>
    <w:rsid w:val="006D53A6"/>
    <w:rsid w:val="00722B68"/>
    <w:rsid w:val="00744D6A"/>
    <w:rsid w:val="007845FC"/>
    <w:rsid w:val="00787837"/>
    <w:rsid w:val="00787ABB"/>
    <w:rsid w:val="007915C2"/>
    <w:rsid w:val="00795739"/>
    <w:rsid w:val="007B6C64"/>
    <w:rsid w:val="00814794"/>
    <w:rsid w:val="00822952"/>
    <w:rsid w:val="008238CC"/>
    <w:rsid w:val="00833285"/>
    <w:rsid w:val="00836505"/>
    <w:rsid w:val="00844B87"/>
    <w:rsid w:val="00875460"/>
    <w:rsid w:val="0089251B"/>
    <w:rsid w:val="008A6DD4"/>
    <w:rsid w:val="008F74D7"/>
    <w:rsid w:val="00904C42"/>
    <w:rsid w:val="00906DAC"/>
    <w:rsid w:val="00924C05"/>
    <w:rsid w:val="00937CF2"/>
    <w:rsid w:val="00976645"/>
    <w:rsid w:val="00976F77"/>
    <w:rsid w:val="0098228C"/>
    <w:rsid w:val="009976D5"/>
    <w:rsid w:val="009C4100"/>
    <w:rsid w:val="009D44AD"/>
    <w:rsid w:val="009E2100"/>
    <w:rsid w:val="00A36AB0"/>
    <w:rsid w:val="00AB37A3"/>
    <w:rsid w:val="00AC2634"/>
    <w:rsid w:val="00AC5114"/>
    <w:rsid w:val="00B231CC"/>
    <w:rsid w:val="00B25683"/>
    <w:rsid w:val="00B51901"/>
    <w:rsid w:val="00B6741E"/>
    <w:rsid w:val="00BD50F6"/>
    <w:rsid w:val="00BF5BA2"/>
    <w:rsid w:val="00C073E1"/>
    <w:rsid w:val="00C25647"/>
    <w:rsid w:val="00C33893"/>
    <w:rsid w:val="00C66AEA"/>
    <w:rsid w:val="00C9040A"/>
    <w:rsid w:val="00C91E4D"/>
    <w:rsid w:val="00CB110A"/>
    <w:rsid w:val="00CB7CD0"/>
    <w:rsid w:val="00CE06C3"/>
    <w:rsid w:val="00D039AF"/>
    <w:rsid w:val="00D95232"/>
    <w:rsid w:val="00D95FB9"/>
    <w:rsid w:val="00DA1AA8"/>
    <w:rsid w:val="00DB7F50"/>
    <w:rsid w:val="00DE30C7"/>
    <w:rsid w:val="00DF400F"/>
    <w:rsid w:val="00E15BF4"/>
    <w:rsid w:val="00E2376B"/>
    <w:rsid w:val="00E26935"/>
    <w:rsid w:val="00E27707"/>
    <w:rsid w:val="00E50EAB"/>
    <w:rsid w:val="00E52B04"/>
    <w:rsid w:val="00E5452E"/>
    <w:rsid w:val="00E661B7"/>
    <w:rsid w:val="00E70911"/>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E48C71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CC"/>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238CC"/>
    <w:pPr>
      <w:numPr>
        <w:numId w:val="1"/>
      </w:numPr>
      <w:ind w:left="567" w:hanging="567"/>
      <w:outlineLvl w:val="0"/>
    </w:pPr>
    <w:rPr>
      <w:kern w:val="28"/>
    </w:rPr>
  </w:style>
  <w:style w:type="paragraph" w:styleId="Heading2">
    <w:name w:val="heading 2"/>
    <w:basedOn w:val="Normal"/>
    <w:next w:val="Normal"/>
    <w:link w:val="Heading2Char"/>
    <w:qFormat/>
    <w:rsid w:val="008238CC"/>
    <w:pPr>
      <w:numPr>
        <w:ilvl w:val="1"/>
        <w:numId w:val="1"/>
      </w:numPr>
      <w:ind w:left="567" w:hanging="567"/>
      <w:outlineLvl w:val="1"/>
    </w:pPr>
  </w:style>
  <w:style w:type="paragraph" w:styleId="Heading3">
    <w:name w:val="heading 3"/>
    <w:basedOn w:val="Normal"/>
    <w:next w:val="Normal"/>
    <w:link w:val="Heading3Char"/>
    <w:qFormat/>
    <w:rsid w:val="008238CC"/>
    <w:pPr>
      <w:numPr>
        <w:ilvl w:val="2"/>
        <w:numId w:val="1"/>
      </w:numPr>
      <w:ind w:left="567" w:hanging="567"/>
      <w:outlineLvl w:val="2"/>
    </w:pPr>
  </w:style>
  <w:style w:type="paragraph" w:styleId="Heading4">
    <w:name w:val="heading 4"/>
    <w:basedOn w:val="Normal"/>
    <w:next w:val="Normal"/>
    <w:link w:val="Heading4Char"/>
    <w:qFormat/>
    <w:rsid w:val="008238CC"/>
    <w:pPr>
      <w:numPr>
        <w:ilvl w:val="3"/>
        <w:numId w:val="1"/>
      </w:numPr>
      <w:ind w:left="567" w:hanging="567"/>
      <w:outlineLvl w:val="3"/>
    </w:pPr>
  </w:style>
  <w:style w:type="paragraph" w:styleId="Heading5">
    <w:name w:val="heading 5"/>
    <w:basedOn w:val="Normal"/>
    <w:next w:val="Normal"/>
    <w:link w:val="Heading5Char"/>
    <w:qFormat/>
    <w:rsid w:val="008238CC"/>
    <w:pPr>
      <w:numPr>
        <w:ilvl w:val="4"/>
        <w:numId w:val="1"/>
      </w:numPr>
      <w:ind w:left="567" w:hanging="567"/>
      <w:outlineLvl w:val="4"/>
    </w:pPr>
  </w:style>
  <w:style w:type="paragraph" w:styleId="Heading6">
    <w:name w:val="heading 6"/>
    <w:basedOn w:val="Normal"/>
    <w:next w:val="Normal"/>
    <w:link w:val="Heading6Char"/>
    <w:qFormat/>
    <w:rsid w:val="008238CC"/>
    <w:pPr>
      <w:numPr>
        <w:ilvl w:val="5"/>
        <w:numId w:val="1"/>
      </w:numPr>
      <w:ind w:left="567" w:hanging="567"/>
      <w:outlineLvl w:val="5"/>
    </w:pPr>
  </w:style>
  <w:style w:type="paragraph" w:styleId="Heading7">
    <w:name w:val="heading 7"/>
    <w:basedOn w:val="Normal"/>
    <w:next w:val="Normal"/>
    <w:link w:val="Heading7Char"/>
    <w:qFormat/>
    <w:rsid w:val="008238CC"/>
    <w:pPr>
      <w:numPr>
        <w:ilvl w:val="6"/>
        <w:numId w:val="1"/>
      </w:numPr>
      <w:ind w:left="567" w:hanging="567"/>
      <w:outlineLvl w:val="6"/>
    </w:pPr>
  </w:style>
  <w:style w:type="paragraph" w:styleId="Heading8">
    <w:name w:val="heading 8"/>
    <w:basedOn w:val="Normal"/>
    <w:next w:val="Normal"/>
    <w:link w:val="Heading8Char"/>
    <w:qFormat/>
    <w:rsid w:val="008238CC"/>
    <w:pPr>
      <w:numPr>
        <w:ilvl w:val="7"/>
        <w:numId w:val="1"/>
      </w:numPr>
      <w:ind w:left="567" w:hanging="567"/>
      <w:outlineLvl w:val="7"/>
    </w:pPr>
  </w:style>
  <w:style w:type="paragraph" w:styleId="Heading9">
    <w:name w:val="heading 9"/>
    <w:basedOn w:val="Normal"/>
    <w:next w:val="Normal"/>
    <w:link w:val="Heading9Char"/>
    <w:qFormat/>
    <w:rsid w:val="008238C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8238CC"/>
  </w:style>
  <w:style w:type="character" w:customStyle="1" w:styleId="FooterChar">
    <w:name w:val="Footer Char"/>
    <w:basedOn w:val="DefaultParagraphFont"/>
    <w:link w:val="Footer"/>
    <w:rsid w:val="00F53370"/>
    <w:rPr>
      <w:rFonts w:ascii="Times New Roman" w:eastAsia="Times New Roman" w:hAnsi="Times New Roman" w:cs="Times New Roman"/>
      <w:lang w:val="el-G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8238CC"/>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8238CC"/>
  </w:style>
  <w:style w:type="character" w:customStyle="1" w:styleId="HeaderChar">
    <w:name w:val="Header Char"/>
    <w:basedOn w:val="DefaultParagraphFont"/>
    <w:link w:val="Header"/>
    <w:rsid w:val="00F53370"/>
    <w:rPr>
      <w:rFonts w:ascii="Times New Roman" w:eastAsia="Times New Roman" w:hAnsi="Times New Roman" w:cs="Times New Roman"/>
      <w:lang w:val="el-GR"/>
    </w:rPr>
  </w:style>
  <w:style w:type="paragraph" w:customStyle="1" w:styleId="quotes">
    <w:name w:val="quotes"/>
    <w:basedOn w:val="Normal"/>
    <w:next w:val="Normal"/>
    <w:rsid w:val="008238CC"/>
    <w:pPr>
      <w:ind w:left="720"/>
    </w:pPr>
    <w:rPr>
      <w:i/>
    </w:rPr>
  </w:style>
  <w:style w:type="character" w:styleId="FootnoteReference">
    <w:name w:val="footnote reference"/>
    <w:aliases w:val="Footnote symbol"/>
    <w:basedOn w:val="DefaultParagraphFont"/>
    <w:unhideWhenUsed/>
    <w:qFormat/>
    <w:rsid w:val="008238CC"/>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FollowedHyperlink">
    <w:name w:val="FollowedHyperlink"/>
    <w:basedOn w:val="DefaultParagraphFont"/>
    <w:uiPriority w:val="99"/>
    <w:semiHidden/>
    <w:unhideWhenUsed/>
    <w:rsid w:val="008238CC"/>
    <w:rPr>
      <w:color w:val="954F72" w:themeColor="followedHyperlink"/>
      <w:u w:val="single"/>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B6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3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2.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meddialogue.eu/wp-content/uploads/2021/02/Publication-Bridging-the-sea.pdf" TargetMode="External"/><Relationship Id="rId7" Type="http://schemas.openxmlformats.org/officeDocument/2006/relationships/hyperlink" Target="https://www.2021portugal.eu/en/porto-social-summit/porto-social-commitment/" TargetMode="External"/><Relationship Id="rId2" Type="http://schemas.openxmlformats.org/officeDocument/2006/relationships/hyperlink" Target="https://eur-lex.europa.eu/legal-content/EL/TXT/?uri=uriserv%3AOJ.C_.2020.364.01.0053.01.ELL&amp;toc=OJ%3AC%3A2020%3A364%3ATOC" TargetMode="External"/><Relationship Id="rId1" Type="http://schemas.openxmlformats.org/officeDocument/2006/relationships/hyperlink" Target="https://eur-lex.europa.eu/legal-content/EL/TXT/?uri=uriserv%3AOJ.C_.2020.364.01.0132.01.ELL&amp;toc=OJ%3AC%3A2020%3A364%3ATOC" TargetMode="External"/><Relationship Id="rId6" Type="http://schemas.openxmlformats.org/officeDocument/2006/relationships/hyperlink" Target="https://ufmsecretariat.org/5th-regional-forum-news/" TargetMode="External"/><Relationship Id="rId5" Type="http://schemas.openxmlformats.org/officeDocument/2006/relationships/hyperlink" Target="https://unctad.org/system/files/official-document/ditcinf2020d3_en.pdf" TargetMode="External"/><Relationship Id="rId4" Type="http://schemas.openxmlformats.org/officeDocument/2006/relationships/hyperlink" Target="https://read.oecd-ilibrary.org/view/?ref=124_124984-7uf8nm95se&amp;title=Covid-19_Tourism_Policy_Responses&amp;_ga=2.143901749.1647750476.1622806508-1692148678.1622806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6" ma:contentTypeDescription="Defines the documents for Document Manager V2" ma:contentTypeScope="" ma:versionID="d519d576acc3faf30814d5b68e6ef22c">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52b7c5fda01af84229fc452a92b24884"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V63NAVDT5PV3-197900780-13832</_dlc_DocId>
    <_dlc_DocIdUrl xmlns="01cfe264-354f-4f3f-acd0-cf26eb309336">
      <Url>http://dm/eesc/2021/_layouts/15/DocIdRedir.aspx?ID=V63NAVDT5PV3-197900780-13832</Url>
      <Description>V63NAVDT5PV3-197900780-13832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2023-02-24T12:00:00+00:00</ProductionDate>
    <DocumentNumber xmlns="1bc4b14f-a4b5-43b1-8863-417d54b6b72f">2760</DocumentNumber>
    <FicheYear xmlns="01cfe264-354f-4f3f-acd0-cf26eb309336" xsi:nil="true"/>
    <DocumentVersion xmlns="01cfe264-354f-4f3f-acd0-cf26eb309336">1</DocumentVersion>
    <DossierNumber xmlns="01cfe264-354f-4f3f-acd0-cf26eb309336">537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77</Value>
      <Value>66</Value>
      <Value>58</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01cfe264-354f-4f3f-acd0-cf26eb309336">PAGLIARA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2628</FicheNumber>
    <OriginalSender xmlns="01cfe264-354f-4f3f-acd0-cf26eb309336">
      <UserInfo>
        <DisplayName>Vassilaki Zoitsa</DisplayName>
        <AccountId>1941</AccountId>
        <AccountType/>
      </UserInfo>
    </OriginalSender>
    <DocumentPart xmlns="01cfe264-354f-4f3f-acd0-cf26eb309336">0</DocumentPart>
    <AdoptionDate xmlns="01cfe264-354f-4f3f-acd0-cf26eb309336">2023-01-24T12:00:00+00:00</AdoptionDate>
    <RequestingService xmlns="01cfe264-354f-4f3f-acd0-cf26eb309336">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bc4b14f-a4b5-43b1-8863-417d54b6b72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Props1.xml><?xml version="1.0" encoding="utf-8"?>
<ds:datastoreItem xmlns:ds="http://schemas.openxmlformats.org/officeDocument/2006/customXml" ds:itemID="{D007ED66-3242-4712-8370-87C6FA039FBE}"/>
</file>

<file path=customXml/itemProps2.xml><?xml version="1.0" encoding="utf-8"?>
<ds:datastoreItem xmlns:ds="http://schemas.openxmlformats.org/officeDocument/2006/customXml" ds:itemID="{F1333E0D-32CA-41B0-98A3-CA9911A195E9}"/>
</file>

<file path=customXml/itemProps3.xml><?xml version="1.0" encoding="utf-8"?>
<ds:datastoreItem xmlns:ds="http://schemas.openxmlformats.org/officeDocument/2006/customXml" ds:itemID="{02590302-62BF-4DAB-8F05-2DDE4811CAFC}"/>
</file>

<file path=customXml/itemProps4.xml><?xml version="1.0" encoding="utf-8"?>
<ds:datastoreItem xmlns:ds="http://schemas.openxmlformats.org/officeDocument/2006/customXml" ds:itemID="{CECF846E-52C7-4F23-8A64-FA976223545B}"/>
</file>

<file path=docProps/app.xml><?xml version="1.0" encoding="utf-8"?>
<Properties xmlns="http://schemas.openxmlformats.org/officeDocument/2006/extended-properties" xmlns:vt="http://schemas.openxmlformats.org/officeDocument/2006/docPropsVTypes">
  <Template>Normal.dotm</Template>
  <TotalTime>4</TotalTime>
  <Pages>22</Pages>
  <Words>9240</Words>
  <Characters>52674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61791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Ο ρόλος της κοινωνίας των πολιτών στην ανασυγκρότηση και την ανθεκτικότητα της Ευρωμεσογειακής περιοχής</dc:title>
  <dc:subject>AC</dc:subject>
  <dc:creator>Francois Aude</dc:creator>
  <cp:keywords>EESC-2021-02760-00-01-AC-TRA-EN</cp:keywords>
  <dc:description>Rapporteur: PAGLIARA - Original language: EN - Date of document: 24-02-2023 - Date of meeting:  - External documents:  - Administrator: M. BERGER Andreas</dc:description>
  <cp:lastModifiedBy>Vassilaki Zoitsa</cp:lastModifiedBy>
  <cp:revision>11</cp:revision>
  <dcterms:created xsi:type="dcterms:W3CDTF">2023-02-24T09:14:00Z</dcterms:created>
  <dcterms:modified xsi:type="dcterms:W3CDTF">2023-02-24T11:22:00Z</dcterms:modified>
  <cp:category>REX/537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24/02/2023, 26/01/2023, 17/05/2022</vt:lpwstr>
  </property>
  <property fmtid="{D5CDD505-2E9C-101B-9397-08002B2CF9AE}" pid="4" name="Pref_Time">
    <vt:lpwstr>10:07:46, 15:46:28, 14:58:36</vt:lpwstr>
  </property>
  <property fmtid="{D5CDD505-2E9C-101B-9397-08002B2CF9AE}" pid="5" name="Pref_User">
    <vt:lpwstr>pacup, amett, enied</vt:lpwstr>
  </property>
  <property fmtid="{D5CDD505-2E9C-101B-9397-08002B2CF9AE}" pid="6" name="Pref_FileName">
    <vt:lpwstr>EESC-2021-02760-00-01-AC-TRA.docx, EESC-2021-02760-00-00-AC-TRA-EN-CRR.docx, COR-EESC-2022-02592-00-00-ADMIN-ORI.docx</vt:lpwstr>
  </property>
  <property fmtid="{D5CDD505-2E9C-101B-9397-08002B2CF9AE}" pid="7" name="ContentTypeId">
    <vt:lpwstr>0x010100EA97B91038054C99906057A708A1480A009690440AC106F944B6F22BE813F1E9BC</vt:lpwstr>
  </property>
  <property fmtid="{D5CDD505-2E9C-101B-9397-08002B2CF9AE}" pid="8" name="_dlc_DocIdItemGuid">
    <vt:lpwstr>d885e153-854a-415c-8572-bf9b0b24a44b</vt:lpwstr>
  </property>
  <property fmtid="{D5CDD505-2E9C-101B-9397-08002B2CF9AE}" pid="9" name="AvailableTranslations">
    <vt:lpwstr>18;#LV|46f7e311-5d9f-4663-b433-18aeccb7ace7;#39;#SL|98a412ae-eb01-49e9-ae3d-585a81724cfc;#45;#RO|feb747a2-64cd-4299-af12-4833ddc30497;#35;#PL|1e03da61-4678-4e07-b136-b5024ca9197b;#11;#DE|f6b31e5a-26fa-4935-b661-318e46daf27e;#9;#EN|f2175f21-25d7-44a3-96da-d6a61b075e1b;#4;#FR|d2afafd3-4c81-4f60-8f52-ee33f2f54ff3;#16;#IT|0774613c-01ed-4e5d-a25d-11d2388de825;#15;#LT|a7ff5ce7-6123-4f68-865a-a57c31810414;#42;#FI|87606a43-d45f-42d6-b8c9-e1a3457db5b7;#38;#HR|2f555653-ed1a-4fe6-8362-9082d95989e5;#19;#SK|46d9fce0-ef79-4f71-b89b-cd6aa82426b8;#25;#CS|72f9705b-0217-4fd3-bea2-cbc7ed80e26e;#14;#ET|ff6c3f4c-b02c-4c3c-ab07-2c37995a7a0a;#28;#ES|e7a6b05b-ae16-40c8-add9-68b64b03aeba;#13;#PT|50ccc04a-eadd-42ae-a0cb-acaf45f812ba;#21;#HU|6b229040-c589-4408-b4c1-4285663d20a8;#17;#NL|55c6556c-b4f4-441d-9acf-c498d4f838bd;#40;#SV|c2ed69e7-a339-43d7-8f22-d93680a92aa0;#12;#DA|5d49c027-8956-412b-aa16-e85a0f96ad0e;#37;#EL|6d4f4d51-af9b-4650-94b4-4276bee85c91;#58;#MT|7df99101-6854-4a26-b53a-b88c0da02c26;#41;#BG|1a1b3951-7821-4e6a-85f5-5673fc08bd2c;#66;#GA|762d2456-c427-4ecb-b312-af3dad8e258c</vt:lpwstr>
  </property>
  <property fmtid="{D5CDD505-2E9C-101B-9397-08002B2CF9AE}" pid="10" name="DocumentType_0">
    <vt:lpwstr>AC|a4cc1d15-fb08-4679-ad46-e4e0cba5fe92</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2760</vt:i4>
  </property>
  <property fmtid="{D5CDD505-2E9C-101B-9397-08002B2CF9AE}" pid="14" name="DocumentVersion">
    <vt:i4>1</vt:i4>
  </property>
  <property fmtid="{D5CDD505-2E9C-101B-9397-08002B2CF9AE}" pid="15" name="DossierNumber">
    <vt:i4>537</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77;#REX|6820eaf5-116e-436b-ad9c-156f8a94c2a1</vt:lpwstr>
  </property>
  <property fmtid="{D5CDD505-2E9C-101B-9397-08002B2CF9AE}" pid="19" name="DocumentSource">
    <vt:lpwstr>1;#EESC|422833ec-8d7e-4e65-8e4e-8bed07ffb729</vt:lpwstr>
  </property>
  <property fmtid="{D5CDD505-2E9C-101B-9397-08002B2CF9AE}" pid="20" name="AdoptionDate">
    <vt:filetime>2023-01-24T12:00:00Z</vt:filetime>
  </property>
  <property fmtid="{D5CDD505-2E9C-101B-9397-08002B2CF9AE}" pid="21" name="DocumentType">
    <vt:lpwstr>86;#AC|a4cc1d15-fb08-4679-ad46-e4e0cba5fe92</vt:lpwstr>
  </property>
  <property fmtid="{D5CDD505-2E9C-101B-9397-08002B2CF9AE}" pid="22" name="RequestingService">
    <vt:lpwstr>Relations extérieures</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9" name="AvailableTranslations_0">
    <vt:lpwstr>DE|f6b31e5a-26fa-4935-b661-318e46daf27e;EN|f2175f21-25d7-44a3-96da-d6a61b075e1b;IT|0774613c-01ed-4e5d-a25d-11d2388de825;PT|50ccc04a-eadd-42ae-a0cb-acaf45f812ba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86;#AC|a4cc1d15-fb08-4679-ad46-e4e0cba5fe92;#13;#PT|50ccc04a-eadd-42ae-a0cb-acaf45f812ba;#11;#DE|f6b31e5a-26fa-4935-b661-318e46daf27e;#77;#REX|6820eaf5-116e-436b-ad9c-156f8a94c2a1;#7;#TRA|150d2a88-1431-44e6-a8ca-0bb753ab8672;#9;#EN|f2175f21-25d7-44a3-96da-d6a61b075e1b;#5;#Unrestricted|826e22d7-d029-4ec0-a450-0c28ff673572;#6;#Final|ea5e6674-7b27-4bac-b091-73adbb394efe;#1;#EESC|422833ec-8d7e-4e65-8e4e-8bed07ffb729;#16;#IT|0774613c-01ed-4e5d-a25d-11d2388de825</vt:lpwstr>
  </property>
  <property fmtid="{D5CDD505-2E9C-101B-9397-08002B2CF9AE}" pid="33" name="Rapporteur">
    <vt:lpwstr>PAGLIARA</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2628</vt:i4>
  </property>
  <property fmtid="{D5CDD505-2E9C-101B-9397-08002B2CF9AE}" pid="38" name="DocumentLanguage">
    <vt:lpwstr>37;#EL|6d4f4d51-af9b-4650-94b4-4276bee85c91</vt:lpwstr>
  </property>
  <property fmtid="{D5CDD505-2E9C-101B-9397-08002B2CF9AE}" pid="39" name="_docset_NoMedatataSyncRequired">
    <vt:lpwstr>False</vt:lpwstr>
  </property>
</Properties>
</file>