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319B" w14:textId="5C18A370" w:rsidR="00C635B4" w:rsidRPr="00EF2D6B" w:rsidRDefault="00B94816" w:rsidP="00A3683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2123182" wp14:editId="08FB6F08">
            <wp:extent cx="1792605" cy="1239520"/>
            <wp:effectExtent l="0" t="0" r="0" b="0"/>
            <wp:docPr id="1" name="Picture 1" title="EESCLogo_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7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0D209E6" wp14:editId="3842F8FF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CCA41" w14:textId="77777777" w:rsidR="00E32214" w:rsidRPr="00260E65" w:rsidRDefault="00E32214" w:rsidP="00C635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209E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14:paraId="403CCA41" w14:textId="77777777" w:rsidR="00E32214" w:rsidRPr="00260E65" w:rsidRDefault="00E32214" w:rsidP="00C635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39EC89" w14:textId="77777777" w:rsidR="00C635B4" w:rsidRPr="00EF2D6B" w:rsidRDefault="00C635B4" w:rsidP="00A3683C">
      <w:pPr>
        <w:rPr>
          <w:lang w:val="en-GB"/>
        </w:rPr>
      </w:pPr>
    </w:p>
    <w:p w14:paraId="0F342CD3" w14:textId="77777777" w:rsidR="00C635B4" w:rsidRPr="00EF2D6B" w:rsidRDefault="00C635B4" w:rsidP="00A3683C">
      <w:pPr>
        <w:jc w:val="right"/>
      </w:pPr>
      <w:r>
        <w:rPr>
          <w:b/>
        </w:rPr>
        <w:t>REX/529</w:t>
      </w:r>
    </w:p>
    <w:p w14:paraId="5FA8413D" w14:textId="1FA289B1" w:rsidR="00C635B4" w:rsidRPr="00EF2D6B" w:rsidRDefault="00C635B4" w:rsidP="00A3683C">
      <w:pPr>
        <w:jc w:val="right"/>
      </w:pPr>
      <w:r>
        <w:rPr>
          <w:b/>
        </w:rPr>
        <w:t>Mimořádná situace po pandemii COVID-19 –</w:t>
      </w:r>
      <w:r>
        <w:rPr>
          <w:b/>
        </w:rPr>
        <w:br/>
        <w:t>návrh nové multilaterální struktury</w:t>
      </w:r>
    </w:p>
    <w:p w14:paraId="54DBAFE7" w14:textId="77777777" w:rsidR="00C635B4" w:rsidRPr="00EF2D6B" w:rsidRDefault="00C635B4" w:rsidP="00A3683C">
      <w:pPr>
        <w:rPr>
          <w:lang w:val="en-GB"/>
        </w:rPr>
      </w:pPr>
    </w:p>
    <w:p w14:paraId="0AF81C98" w14:textId="77777777" w:rsidR="00C635B4" w:rsidRPr="00EF2D6B" w:rsidRDefault="00C635B4" w:rsidP="00A3683C">
      <w:pPr>
        <w:rPr>
          <w:lang w:val="en-GB"/>
        </w:rPr>
      </w:pPr>
    </w:p>
    <w:p w14:paraId="6B6DA75E" w14:textId="45537D8C" w:rsidR="00C635B4" w:rsidRPr="00EF2D6B" w:rsidRDefault="00043AB4" w:rsidP="00A3683C">
      <w:pPr>
        <w:jc w:val="center"/>
      </w:pPr>
      <w:r>
        <w:rPr>
          <w:b/>
          <w:sz w:val="28"/>
        </w:rPr>
        <w:t>STANOVISKO</w:t>
      </w:r>
      <w:r>
        <w:rPr>
          <w:b/>
          <w:sz w:val="28"/>
        </w:rPr>
        <w:br/>
      </w:r>
      <w:r>
        <w:rPr>
          <w:b/>
        </w:rPr>
        <w:br/>
      </w:r>
      <w:r>
        <w:t>Evropského hospodářského</w:t>
      </w:r>
      <w:r w:rsidR="00BD04FB">
        <w:t xml:space="preserve"> a </w:t>
      </w:r>
      <w:r>
        <w:t>sociálního výboru</w:t>
      </w:r>
      <w:r>
        <w:br/>
      </w:r>
      <w:r>
        <w:br/>
      </w:r>
      <w:r>
        <w:rPr>
          <w:b/>
        </w:rPr>
        <w:t>Mimořádná situace po pandemii COVID-19 – návr</w:t>
      </w:r>
      <w:r w:rsidR="001E0CE1">
        <w:rPr>
          <w:b/>
        </w:rPr>
        <w:t>h nové multilaterální struktury</w:t>
      </w:r>
    </w:p>
    <w:p w14:paraId="68BAAB2B" w14:textId="5769BCD8" w:rsidR="00C635B4" w:rsidRDefault="00C635B4" w:rsidP="00A3683C">
      <w:pPr>
        <w:jc w:val="center"/>
      </w:pPr>
      <w:r>
        <w:t>(stanovisko</w:t>
      </w:r>
      <w:r w:rsidR="00BD04FB">
        <w:t xml:space="preserve"> z </w:t>
      </w:r>
      <w:r>
        <w:t>vlastní iniciativy)</w:t>
      </w:r>
    </w:p>
    <w:p w14:paraId="04AE45FE" w14:textId="15E53088" w:rsidR="001868DA" w:rsidRDefault="001868DA" w:rsidP="00A3683C">
      <w:pPr>
        <w:jc w:val="center"/>
        <w:rPr>
          <w:lang w:val="en-GB"/>
        </w:rPr>
      </w:pPr>
    </w:p>
    <w:p w14:paraId="14839345" w14:textId="13A58B69" w:rsidR="001868DA" w:rsidRPr="00EF2D6B" w:rsidRDefault="001868DA" w:rsidP="00A3683C">
      <w:pPr>
        <w:jc w:val="center"/>
      </w:pPr>
      <w:r>
        <w:t xml:space="preserve">Zpravodajka: </w:t>
      </w:r>
      <w:r>
        <w:rPr>
          <w:b/>
        </w:rPr>
        <w:t>Emmanuelle BUTAUD-STUBBS</w:t>
      </w:r>
    </w:p>
    <w:p w14:paraId="5C4591B9" w14:textId="77777777" w:rsidR="00C635B4" w:rsidRPr="00EF2D6B" w:rsidRDefault="00C635B4" w:rsidP="00A3683C">
      <w:pPr>
        <w:jc w:val="center"/>
        <w:rPr>
          <w:lang w:val="en-GB"/>
        </w:rPr>
      </w:pPr>
    </w:p>
    <w:p w14:paraId="24C01402" w14:textId="77777777" w:rsidR="00592FD3" w:rsidRPr="00EF2D6B" w:rsidRDefault="00592FD3" w:rsidP="00A3683C">
      <w:pPr>
        <w:rPr>
          <w:lang w:val="en-GB"/>
        </w:rPr>
        <w:sectPr w:rsidR="00592FD3" w:rsidRPr="00EF2D6B" w:rsidSect="00046276">
          <w:footerReference w:type="default" r:id="rId12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5"/>
        <w:gridCol w:w="6016"/>
      </w:tblGrid>
      <w:tr w:rsidR="00C635B4" w:rsidRPr="00EF2D6B" w14:paraId="10145F7D" w14:textId="77777777" w:rsidTr="008B4705">
        <w:tc>
          <w:tcPr>
            <w:tcW w:w="3055" w:type="dxa"/>
          </w:tcPr>
          <w:p w14:paraId="2CD43DAB" w14:textId="77777777" w:rsidR="00C635B4" w:rsidRPr="00EF2D6B" w:rsidRDefault="00C635B4" w:rsidP="00A3683C">
            <w:r>
              <w:lastRenderedPageBreak/>
              <w:t>Rozhodnutí plenárního shromáždění</w:t>
            </w:r>
          </w:p>
        </w:tc>
        <w:tc>
          <w:tcPr>
            <w:tcW w:w="6016" w:type="dxa"/>
          </w:tcPr>
          <w:p w14:paraId="2DBAF4E2" w14:textId="77777777" w:rsidR="001E0CE1" w:rsidRDefault="001E0CE1" w:rsidP="00A3683C"/>
          <w:p w14:paraId="654E836A" w14:textId="5ADEBB0E" w:rsidR="00C635B4" w:rsidRPr="00EF2D6B" w:rsidRDefault="00C635B4" w:rsidP="00A3683C">
            <w:r>
              <w:t>20/02/2020</w:t>
            </w:r>
          </w:p>
        </w:tc>
      </w:tr>
      <w:tr w:rsidR="00C635B4" w:rsidRPr="00EF2D6B" w14:paraId="7C562542" w14:textId="77777777" w:rsidTr="008B4705">
        <w:tc>
          <w:tcPr>
            <w:tcW w:w="3055" w:type="dxa"/>
          </w:tcPr>
          <w:p w14:paraId="789FFA0D" w14:textId="77777777" w:rsidR="00C635B4" w:rsidRPr="00EF2D6B" w:rsidRDefault="00C635B4" w:rsidP="00A3683C">
            <w:r>
              <w:t>Právní základ</w:t>
            </w:r>
          </w:p>
        </w:tc>
        <w:tc>
          <w:tcPr>
            <w:tcW w:w="6016" w:type="dxa"/>
          </w:tcPr>
          <w:p w14:paraId="2C48B50B" w14:textId="5658140C" w:rsidR="00C635B4" w:rsidRPr="00EF2D6B" w:rsidRDefault="00BD04FB" w:rsidP="00A3683C">
            <w:r>
              <w:t>čl. </w:t>
            </w:r>
            <w:r w:rsidR="00C635B4">
              <w:t xml:space="preserve">32 </w:t>
            </w:r>
            <w:r>
              <w:t>odst. </w:t>
            </w:r>
            <w:r w:rsidR="00C635B4">
              <w:t>2 jednacího řádu</w:t>
            </w:r>
          </w:p>
        </w:tc>
      </w:tr>
      <w:tr w:rsidR="00C635B4" w:rsidRPr="00EF2D6B" w14:paraId="613824E7" w14:textId="77777777" w:rsidTr="008B4705">
        <w:tc>
          <w:tcPr>
            <w:tcW w:w="3055" w:type="dxa"/>
          </w:tcPr>
          <w:p w14:paraId="0FE05302" w14:textId="77777777" w:rsidR="00C635B4" w:rsidRPr="00EF2D6B" w:rsidRDefault="00C635B4" w:rsidP="00A3683C">
            <w:pPr>
              <w:rPr>
                <w:lang w:val="en-GB"/>
              </w:rPr>
            </w:pPr>
          </w:p>
        </w:tc>
        <w:tc>
          <w:tcPr>
            <w:tcW w:w="6016" w:type="dxa"/>
          </w:tcPr>
          <w:p w14:paraId="2BDD3B49" w14:textId="28DA0306" w:rsidR="00C635B4" w:rsidRPr="00EF2D6B" w:rsidRDefault="00C635B4" w:rsidP="00A3683C">
            <w:r>
              <w:t>stanovisko</w:t>
            </w:r>
            <w:r w:rsidR="00BD04FB">
              <w:t xml:space="preserve"> z </w:t>
            </w:r>
            <w:r>
              <w:t>vlastní iniciativy</w:t>
            </w:r>
          </w:p>
        </w:tc>
      </w:tr>
      <w:tr w:rsidR="00C635B4" w:rsidRPr="00EF2D6B" w14:paraId="3B88B30B" w14:textId="77777777" w:rsidTr="008B4705">
        <w:tc>
          <w:tcPr>
            <w:tcW w:w="3055" w:type="dxa"/>
          </w:tcPr>
          <w:p w14:paraId="41EC9366" w14:textId="77777777" w:rsidR="00C635B4" w:rsidRPr="00EF2D6B" w:rsidRDefault="00C635B4" w:rsidP="00A3683C">
            <w:pPr>
              <w:rPr>
                <w:lang w:val="en-GB"/>
              </w:rPr>
            </w:pPr>
          </w:p>
        </w:tc>
        <w:tc>
          <w:tcPr>
            <w:tcW w:w="6016" w:type="dxa"/>
          </w:tcPr>
          <w:p w14:paraId="2BDF95F5" w14:textId="77777777" w:rsidR="00C635B4" w:rsidRPr="00EF2D6B" w:rsidRDefault="00C635B4" w:rsidP="00A3683C">
            <w:pPr>
              <w:rPr>
                <w:lang w:val="en-GB"/>
              </w:rPr>
            </w:pPr>
          </w:p>
        </w:tc>
      </w:tr>
      <w:tr w:rsidR="00C635B4" w:rsidRPr="00EF2D6B" w14:paraId="34967810" w14:textId="77777777" w:rsidTr="008B4705">
        <w:tc>
          <w:tcPr>
            <w:tcW w:w="3055" w:type="dxa"/>
          </w:tcPr>
          <w:p w14:paraId="06497B13" w14:textId="77777777" w:rsidR="00C635B4" w:rsidRPr="00EF2D6B" w:rsidRDefault="00C635B4" w:rsidP="00A3683C">
            <w:r>
              <w:t>Odpovědná sekce</w:t>
            </w:r>
          </w:p>
        </w:tc>
        <w:tc>
          <w:tcPr>
            <w:tcW w:w="6016" w:type="dxa"/>
          </w:tcPr>
          <w:p w14:paraId="4C0345B8" w14:textId="77777777" w:rsidR="00C635B4" w:rsidRPr="00EF2D6B" w:rsidRDefault="00C635B4" w:rsidP="00A3683C">
            <w:r>
              <w:t>Vnější vztahy</w:t>
            </w:r>
          </w:p>
        </w:tc>
      </w:tr>
      <w:tr w:rsidR="00C635B4" w:rsidRPr="00EF2D6B" w14:paraId="432FE8D0" w14:textId="77777777" w:rsidTr="008B4705">
        <w:tc>
          <w:tcPr>
            <w:tcW w:w="3055" w:type="dxa"/>
          </w:tcPr>
          <w:p w14:paraId="0B88DDF3" w14:textId="1FF6208C" w:rsidR="00C635B4" w:rsidRPr="00EF2D6B" w:rsidRDefault="00C635B4" w:rsidP="00A3683C">
            <w:r>
              <w:t>Přijato</w:t>
            </w:r>
            <w:r w:rsidR="00BD04FB">
              <w:t xml:space="preserve"> v </w:t>
            </w:r>
            <w:r>
              <w:t>sekci</w:t>
            </w:r>
          </w:p>
        </w:tc>
        <w:tc>
          <w:tcPr>
            <w:tcW w:w="6016" w:type="dxa"/>
          </w:tcPr>
          <w:p w14:paraId="1CB7687B" w14:textId="501E7396" w:rsidR="00C635B4" w:rsidRPr="00EF2D6B" w:rsidRDefault="00F10027" w:rsidP="00A3683C">
            <w:r>
              <w:t>16/06/2020</w:t>
            </w:r>
          </w:p>
        </w:tc>
      </w:tr>
      <w:tr w:rsidR="00C635B4" w:rsidRPr="00EF2D6B" w14:paraId="457A32C0" w14:textId="77777777" w:rsidTr="008B4705">
        <w:tc>
          <w:tcPr>
            <w:tcW w:w="3055" w:type="dxa"/>
          </w:tcPr>
          <w:p w14:paraId="20033AE6" w14:textId="77777777" w:rsidR="00C635B4" w:rsidRPr="00EF2D6B" w:rsidRDefault="00C635B4" w:rsidP="00A3683C">
            <w:r>
              <w:t>Přijato na plenárním zasedání</w:t>
            </w:r>
          </w:p>
        </w:tc>
        <w:tc>
          <w:tcPr>
            <w:tcW w:w="6016" w:type="dxa"/>
          </w:tcPr>
          <w:p w14:paraId="36F73A09" w14:textId="745CF736" w:rsidR="00C635B4" w:rsidRPr="00EF2D6B" w:rsidRDefault="000B1EB6" w:rsidP="00A3683C">
            <w:r>
              <w:t>15/07/2020</w:t>
            </w:r>
          </w:p>
        </w:tc>
      </w:tr>
      <w:tr w:rsidR="00C635B4" w:rsidRPr="00EF2D6B" w14:paraId="5599B378" w14:textId="77777777" w:rsidTr="008B4705">
        <w:tc>
          <w:tcPr>
            <w:tcW w:w="3055" w:type="dxa"/>
          </w:tcPr>
          <w:p w14:paraId="7BF9D486" w14:textId="77777777" w:rsidR="00C635B4" w:rsidRPr="00EF2D6B" w:rsidRDefault="00C635B4" w:rsidP="00A3683C">
            <w:r>
              <w:t>Plenární zasedání č.</w:t>
            </w:r>
          </w:p>
        </w:tc>
        <w:tc>
          <w:tcPr>
            <w:tcW w:w="6016" w:type="dxa"/>
          </w:tcPr>
          <w:p w14:paraId="3A5B24A5" w14:textId="3B452E70" w:rsidR="00C635B4" w:rsidRPr="00EF2D6B" w:rsidRDefault="00F10027" w:rsidP="00A3683C">
            <w:r>
              <w:t>553</w:t>
            </w:r>
          </w:p>
        </w:tc>
      </w:tr>
      <w:tr w:rsidR="00C635B4" w:rsidRPr="00EF2D6B" w14:paraId="399AA223" w14:textId="77777777" w:rsidTr="008B4705">
        <w:tc>
          <w:tcPr>
            <w:tcW w:w="3055" w:type="dxa"/>
          </w:tcPr>
          <w:p w14:paraId="0486E128" w14:textId="77777777" w:rsidR="00C635B4" w:rsidRPr="00EF2D6B" w:rsidRDefault="00C635B4" w:rsidP="00A3683C">
            <w:r>
              <w:t>Výsledek hlasování</w:t>
            </w:r>
            <w:r>
              <w:br/>
              <w:t>(pro/proti/zdrželi se hlasování)</w:t>
            </w:r>
          </w:p>
        </w:tc>
        <w:tc>
          <w:tcPr>
            <w:tcW w:w="6016" w:type="dxa"/>
            <w:vAlign w:val="bottom"/>
          </w:tcPr>
          <w:p w14:paraId="457877D9" w14:textId="2D84BCCB" w:rsidR="00C635B4" w:rsidRPr="00EF2D6B" w:rsidRDefault="000B1EB6" w:rsidP="000B1EB6">
            <w:r>
              <w:t>213/3/3</w:t>
            </w:r>
          </w:p>
        </w:tc>
      </w:tr>
    </w:tbl>
    <w:p w14:paraId="7C4AFE8A" w14:textId="77777777" w:rsidR="00C635B4" w:rsidRPr="00EF2D6B" w:rsidRDefault="00C635B4" w:rsidP="00A3683C">
      <w:pPr>
        <w:rPr>
          <w:lang w:val="en-GB"/>
        </w:rPr>
      </w:pPr>
    </w:p>
    <w:p w14:paraId="6413EE90" w14:textId="77777777" w:rsidR="00C635B4" w:rsidRPr="00EF2D6B" w:rsidRDefault="00C635B4" w:rsidP="00A3683C">
      <w:r>
        <w:br w:type="page"/>
      </w:r>
    </w:p>
    <w:p w14:paraId="6BB40305" w14:textId="2B253DA6" w:rsidR="00C635B4" w:rsidRPr="00EF2D6B" w:rsidRDefault="00774CC3" w:rsidP="00A3683C">
      <w:pPr>
        <w:pStyle w:val="Heading1"/>
        <w:keepNext/>
        <w:rPr>
          <w:b/>
        </w:rPr>
      </w:pPr>
      <w:r>
        <w:rPr>
          <w:b/>
        </w:rPr>
        <w:tab/>
        <w:t>Závěry</w:t>
      </w:r>
      <w:r w:rsidR="00BD04FB">
        <w:rPr>
          <w:b/>
        </w:rPr>
        <w:t xml:space="preserve"> a </w:t>
      </w:r>
      <w:r>
        <w:rPr>
          <w:b/>
        </w:rPr>
        <w:t>doporučení</w:t>
      </w:r>
    </w:p>
    <w:p w14:paraId="73E4C88E" w14:textId="77777777" w:rsidR="00C635B4" w:rsidRPr="00EF2D6B" w:rsidRDefault="00C635B4" w:rsidP="00A3683C">
      <w:pPr>
        <w:keepNext/>
        <w:rPr>
          <w:lang w:val="en-GB"/>
        </w:rPr>
      </w:pPr>
    </w:p>
    <w:p w14:paraId="2AEEE59A" w14:textId="724158C4" w:rsidR="00C635B4" w:rsidRPr="00EF2D6B" w:rsidRDefault="00903B6C" w:rsidP="00A3683C">
      <w:pPr>
        <w:keepNext/>
        <w:rPr>
          <w:b/>
        </w:rPr>
      </w:pPr>
      <w:r>
        <w:rPr>
          <w:b/>
        </w:rPr>
        <w:t>COVID-19</w:t>
      </w:r>
      <w:r w:rsidR="00BD04FB">
        <w:rPr>
          <w:b/>
        </w:rPr>
        <w:t xml:space="preserve"> a </w:t>
      </w:r>
      <w:r>
        <w:rPr>
          <w:b/>
        </w:rPr>
        <w:t>multilateralismus</w:t>
      </w:r>
    </w:p>
    <w:p w14:paraId="29EAFBB8" w14:textId="77777777" w:rsidR="00C635B4" w:rsidRPr="00EF2D6B" w:rsidRDefault="00C635B4" w:rsidP="00A3683C">
      <w:pPr>
        <w:keepNext/>
        <w:rPr>
          <w:lang w:val="en-GB"/>
        </w:rPr>
      </w:pPr>
    </w:p>
    <w:p w14:paraId="36C79337" w14:textId="44D9E661" w:rsidR="00F20116" w:rsidRPr="00EF2D6B" w:rsidRDefault="00C635B4" w:rsidP="00A3683C">
      <w:pPr>
        <w:pStyle w:val="Heading2"/>
        <w:ind w:left="567" w:hanging="567"/>
      </w:pPr>
      <w:r>
        <w:t>Hluboký</w:t>
      </w:r>
      <w:r w:rsidR="00BD04FB">
        <w:t xml:space="preserve"> a </w:t>
      </w:r>
      <w:r>
        <w:t>nebývalý hospodářský, sociální</w:t>
      </w:r>
      <w:r w:rsidR="00BD04FB">
        <w:t xml:space="preserve"> i </w:t>
      </w:r>
      <w:r>
        <w:t>finanční dopad zdravotní krize spojené</w:t>
      </w:r>
      <w:r w:rsidR="00BD04FB">
        <w:t xml:space="preserve"> s </w:t>
      </w:r>
      <w:r>
        <w:t>onemocněním COVID-19 vyžaduje bezprecedentní, dlouhodobou</w:t>
      </w:r>
      <w:r w:rsidR="00BD04FB">
        <w:t xml:space="preserve"> a </w:t>
      </w:r>
      <w:r>
        <w:t>jednoznačnou reakci. EU musí podpořit ekonomiku</w:t>
      </w:r>
      <w:r w:rsidR="00BD04FB">
        <w:t xml:space="preserve"> a </w:t>
      </w:r>
      <w:r>
        <w:t>mezinárodní obchod</w:t>
      </w:r>
      <w:r w:rsidR="00BD04FB">
        <w:t xml:space="preserve"> s </w:t>
      </w:r>
      <w:r>
        <w:t>cílem zabránit tomu, že světový obchod bude nucen dohánět ztráty stejně jako</w:t>
      </w:r>
      <w:r w:rsidR="00BD04FB">
        <w:t xml:space="preserve"> v </w:t>
      </w:r>
      <w:r>
        <w:t>roce 1929,</w:t>
      </w:r>
      <w:r w:rsidR="00BD04FB">
        <w:t xml:space="preserve"> a </w:t>
      </w:r>
      <w:r>
        <w:t>financovat oživení</w:t>
      </w:r>
      <w:r w:rsidR="00BD04FB">
        <w:t xml:space="preserve"> a </w:t>
      </w:r>
      <w:r>
        <w:t>současně</w:t>
      </w:r>
      <w:r w:rsidR="00BD04FB">
        <w:t xml:space="preserve"> v </w:t>
      </w:r>
      <w:r>
        <w:t>duchu solidarity</w:t>
      </w:r>
      <w:r w:rsidR="00BD04FB">
        <w:t xml:space="preserve"> a </w:t>
      </w:r>
      <w:r>
        <w:t>odpovědnosti chránit podniky, všechny možné pracovníky (včetně osob se zdravotním postižením)</w:t>
      </w:r>
      <w:r w:rsidR="00BD04FB">
        <w:t xml:space="preserve"> a </w:t>
      </w:r>
      <w:r>
        <w:t>občany, aby nikdo nezůstal opomenut. Všechny podniky, včetně podniků sociální ekonomiky, jsou nezbytnou součástí řešení</w:t>
      </w:r>
      <w:r w:rsidR="00BD04FB">
        <w:t xml:space="preserve"> a </w:t>
      </w:r>
      <w:r>
        <w:t>jako takové potřebují plný přístup</w:t>
      </w:r>
      <w:r w:rsidR="00BD04FB">
        <w:t xml:space="preserve"> k </w:t>
      </w:r>
      <w:r>
        <w:t>opatřením zaměřeným na oživení.</w:t>
      </w:r>
    </w:p>
    <w:p w14:paraId="216788DD" w14:textId="77777777" w:rsidR="00F20116" w:rsidRPr="00EF2D6B" w:rsidRDefault="00F20116" w:rsidP="00A3683C">
      <w:pPr>
        <w:ind w:left="567" w:hanging="567"/>
        <w:rPr>
          <w:lang w:val="en-GB"/>
        </w:rPr>
      </w:pPr>
    </w:p>
    <w:p w14:paraId="1BFA3EA2" w14:textId="05F81F84" w:rsidR="00C635B4" w:rsidRPr="00EF2D6B" w:rsidRDefault="00C635B4" w:rsidP="00A3683C">
      <w:pPr>
        <w:pStyle w:val="Heading2"/>
        <w:ind w:left="567" w:hanging="567"/>
      </w:pPr>
      <w:r>
        <w:t>Oživení po „velkém omezení pohybu“ musí být založeno na udržitelnosti</w:t>
      </w:r>
      <w:r w:rsidR="00BD04FB">
        <w:t xml:space="preserve"> a </w:t>
      </w:r>
      <w:r>
        <w:t>na zeleném růstu podporujícím začlenění. Opatření Zelené dohody se tak stávají relevantnějšími než kdykoli dříve (průmyslová strategie, mechanismus uhlíkového vyrovnání na hranicích</w:t>
      </w:r>
      <w:r w:rsidR="00BD04FB">
        <w:t xml:space="preserve"> a </w:t>
      </w:r>
      <w:r>
        <w:t>uhlíková neutralita do roku 2050).</w:t>
      </w:r>
    </w:p>
    <w:p w14:paraId="6A41971A" w14:textId="77777777" w:rsidR="00C635B4" w:rsidRPr="00EF2D6B" w:rsidRDefault="00C635B4" w:rsidP="00A3683C">
      <w:pPr>
        <w:ind w:left="567" w:hanging="567"/>
        <w:rPr>
          <w:lang w:val="en-GB"/>
        </w:rPr>
      </w:pPr>
    </w:p>
    <w:p w14:paraId="714EC0DF" w14:textId="54C46236" w:rsidR="00C635B4" w:rsidRPr="00EF2D6B" w:rsidRDefault="00C635B4" w:rsidP="00A3683C">
      <w:pPr>
        <w:pStyle w:val="Heading2"/>
        <w:ind w:left="567" w:hanging="567"/>
      </w:pPr>
      <w:r>
        <w:t>Krize spojená</w:t>
      </w:r>
      <w:r w:rsidR="00BD04FB">
        <w:t xml:space="preserve"> s </w:t>
      </w:r>
      <w:r>
        <w:t xml:space="preserve">šířením onemocnění COVID-19 zasadila tvrdou ránu multilateralismu, který již poškozovala řada strukturálních slabin, jako </w:t>
      </w:r>
      <w:r w:rsidR="00BD04FB">
        <w:t>např. </w:t>
      </w:r>
      <w:r>
        <w:t>překrývající se organizace, zastarávající fungování</w:t>
      </w:r>
      <w:r w:rsidR="00BD04FB">
        <w:t xml:space="preserve"> a </w:t>
      </w:r>
      <w:r>
        <w:t>jednomyslné rozhodování spojené</w:t>
      </w:r>
      <w:r w:rsidR="00BD04FB">
        <w:t xml:space="preserve"> s </w:t>
      </w:r>
      <w:r>
        <w:t>velkým počtem členů, které vyústilo</w:t>
      </w:r>
      <w:r w:rsidR="00BD04FB">
        <w:t xml:space="preserve"> v </w:t>
      </w:r>
      <w:r>
        <w:t>zánik Odvolacího orgánu mechanismu WTO pro řešení sporů</w:t>
      </w:r>
      <w:r w:rsidR="00BD04FB">
        <w:t xml:space="preserve"> a </w:t>
      </w:r>
      <w:r>
        <w:t>zmrazení finančního příspěvku Spojených států</w:t>
      </w:r>
      <w:r w:rsidR="00BD04FB">
        <w:t xml:space="preserve"> a </w:t>
      </w:r>
      <w:r>
        <w:t>následně pak</w:t>
      </w:r>
      <w:r w:rsidR="00BD04FB">
        <w:t xml:space="preserve"> v </w:t>
      </w:r>
      <w:r>
        <w:t>jejich vystoupení ze Světové zdravotnické organizace (WHO). Kromě toho vnitrostátní omezení vývozu nezbytných zdravotnických pomůcek</w:t>
      </w:r>
      <w:r w:rsidR="00BD04FB">
        <w:t xml:space="preserve"> a </w:t>
      </w:r>
      <w:r>
        <w:t>osobních ochranných prostředků,</w:t>
      </w:r>
      <w:r w:rsidR="00BD04FB">
        <w:t xml:space="preserve"> a </w:t>
      </w:r>
      <w:r>
        <w:t>to</w:t>
      </w:r>
      <w:r w:rsidR="00BD04FB">
        <w:t xml:space="preserve"> i z </w:t>
      </w:r>
      <w:r>
        <w:t>členských států EU, národní egoismus</w:t>
      </w:r>
      <w:r w:rsidR="00BD04FB">
        <w:t xml:space="preserve"> a </w:t>
      </w:r>
      <w:r>
        <w:t>určitý neúspěch solidarity</w:t>
      </w:r>
      <w:r w:rsidR="00BD04FB">
        <w:t xml:space="preserve"> a </w:t>
      </w:r>
      <w:r>
        <w:t>mezinárodní spolupráce negativně dopadají na nejzranitelnější země</w:t>
      </w:r>
      <w:r w:rsidR="00BD04FB">
        <w:t xml:space="preserve"> a </w:t>
      </w:r>
      <w:r>
        <w:t>brzdí oživení světové ekonomiky.</w:t>
      </w:r>
    </w:p>
    <w:p w14:paraId="754A1196" w14:textId="77777777" w:rsidR="00C635B4" w:rsidRPr="00EF2D6B" w:rsidRDefault="00C635B4" w:rsidP="00A3683C">
      <w:pPr>
        <w:ind w:left="567" w:hanging="567"/>
        <w:rPr>
          <w:lang w:val="en-GB"/>
        </w:rPr>
      </w:pPr>
    </w:p>
    <w:p w14:paraId="35919AF5" w14:textId="77777777" w:rsidR="00C635B4" w:rsidRPr="00EF2D6B" w:rsidRDefault="00C635B4" w:rsidP="00A3683C">
      <w:pPr>
        <w:keepNext/>
        <w:ind w:left="567" w:hanging="567"/>
        <w:rPr>
          <w:b/>
        </w:rPr>
      </w:pPr>
      <w:r>
        <w:rPr>
          <w:b/>
        </w:rPr>
        <w:t>Nutnost holističtější vize</w:t>
      </w:r>
    </w:p>
    <w:p w14:paraId="2DF27F66" w14:textId="77777777" w:rsidR="00C635B4" w:rsidRPr="00EF2D6B" w:rsidRDefault="00C635B4" w:rsidP="00A3683C">
      <w:pPr>
        <w:keepNext/>
        <w:ind w:left="567" w:hanging="567"/>
        <w:rPr>
          <w:lang w:val="en-GB"/>
        </w:rPr>
      </w:pPr>
    </w:p>
    <w:p w14:paraId="4B0E3017" w14:textId="37B36FC4" w:rsidR="00C635B4" w:rsidRPr="00EF2D6B" w:rsidRDefault="00C635B4" w:rsidP="00A3683C">
      <w:pPr>
        <w:pStyle w:val="Heading2"/>
        <w:ind w:left="567" w:hanging="567"/>
      </w:pPr>
      <w:r>
        <w:t>Evropský hospodářský</w:t>
      </w:r>
      <w:r w:rsidR="00BD04FB">
        <w:t xml:space="preserve"> a </w:t>
      </w:r>
      <w:r>
        <w:t>sociální výbor (EHSV) by se rád podělil</w:t>
      </w:r>
      <w:r w:rsidR="00BD04FB">
        <w:t xml:space="preserve"> o </w:t>
      </w:r>
      <w:r w:rsidR="001E0CE1">
        <w:t>svoje názory ohledně „nové </w:t>
      </w:r>
      <w:r>
        <w:t>multilaterální struktury“, které vycházejí</w:t>
      </w:r>
      <w:r w:rsidR="00BD04FB">
        <w:t xml:space="preserve"> z </w:t>
      </w:r>
      <w:r>
        <w:t>rozsáhlé</w:t>
      </w:r>
      <w:r w:rsidR="001E0CE1">
        <w:t>ho seznamu dřívějších návrhů (v </w:t>
      </w:r>
      <w:r>
        <w:t>souvislosti</w:t>
      </w:r>
      <w:r w:rsidR="00BD04FB">
        <w:t xml:space="preserve"> s </w:t>
      </w:r>
      <w:r>
        <w:t>reformou WTO, úlohou Mezinárodní organizace práce (MOP) aj.),</w:t>
      </w:r>
      <w:r w:rsidR="00BD04FB">
        <w:t xml:space="preserve"> a </w:t>
      </w:r>
      <w:r>
        <w:t>představil nová řešení pro období po pandemii COVID-19</w:t>
      </w:r>
      <w:r w:rsidRPr="00EF2D6B">
        <w:rPr>
          <w:sz w:val="24"/>
          <w:szCs w:val="24"/>
          <w:vertAlign w:val="superscript"/>
          <w:lang w:val="en-GB"/>
        </w:rPr>
        <w:footnoteReference w:id="2"/>
      </w:r>
      <w:r>
        <w:t>.</w:t>
      </w:r>
    </w:p>
    <w:p w14:paraId="7A57B97E" w14:textId="77777777" w:rsidR="00C635B4" w:rsidRPr="00EF2D6B" w:rsidRDefault="00C635B4" w:rsidP="00A3683C">
      <w:pPr>
        <w:pStyle w:val="Heading2"/>
        <w:numPr>
          <w:ilvl w:val="0"/>
          <w:numId w:val="0"/>
        </w:numPr>
        <w:ind w:left="567" w:hanging="567"/>
        <w:rPr>
          <w:lang w:val="en-GB"/>
        </w:rPr>
      </w:pPr>
    </w:p>
    <w:p w14:paraId="1274207F" w14:textId="2B5EB094" w:rsidR="00C635B4" w:rsidRPr="00EF2D6B" w:rsidRDefault="00C635B4" w:rsidP="00A3683C">
      <w:pPr>
        <w:pStyle w:val="Heading2"/>
        <w:ind w:left="567" w:hanging="567"/>
        <w:rPr>
          <w:u w:val="single"/>
        </w:rPr>
      </w:pPr>
      <w:r>
        <w:t>Tyto úvahy byly vypracovány</w:t>
      </w:r>
      <w:r w:rsidR="00BD04FB">
        <w:t xml:space="preserve"> v </w:t>
      </w:r>
      <w:r>
        <w:t>průběhu krize</w:t>
      </w:r>
      <w:r w:rsidR="00BD04FB">
        <w:t xml:space="preserve"> a </w:t>
      </w:r>
      <w:r>
        <w:t>jejich cílem je inspirovat novou spolupráci</w:t>
      </w:r>
      <w:r w:rsidR="00BD04FB">
        <w:t xml:space="preserve"> a </w:t>
      </w:r>
      <w:r>
        <w:t>větší soudržnost</w:t>
      </w:r>
      <w:r w:rsidR="00BD04FB">
        <w:t xml:space="preserve"> v </w:t>
      </w:r>
      <w:r>
        <w:t>rozhodnutích přijímaných mezinárodními, nadnárodními</w:t>
      </w:r>
      <w:r w:rsidR="00BD04FB">
        <w:t xml:space="preserve"> a </w:t>
      </w:r>
      <w:r>
        <w:t>mezivládními organizacemi</w:t>
      </w:r>
      <w:r w:rsidR="00BD04FB">
        <w:t xml:space="preserve"> v </w:t>
      </w:r>
      <w:r>
        <w:t>záležitostech obchodu</w:t>
      </w:r>
      <w:r w:rsidR="00BD04FB">
        <w:t xml:space="preserve"> a </w:t>
      </w:r>
      <w:r>
        <w:t>investic, důstojné práce, sociálních</w:t>
      </w:r>
      <w:r w:rsidR="00BD04FB">
        <w:t xml:space="preserve"> a </w:t>
      </w:r>
      <w:r>
        <w:t>lidských práv</w:t>
      </w:r>
      <w:r w:rsidR="00BD04FB">
        <w:t xml:space="preserve"> a </w:t>
      </w:r>
      <w:r>
        <w:t>změny klimatu. Vybízejí státy</w:t>
      </w:r>
      <w:r w:rsidR="00BD04FB">
        <w:t xml:space="preserve"> k </w:t>
      </w:r>
      <w:r>
        <w:t>dodržování zásady loajální spolupráce</w:t>
      </w:r>
      <w:r w:rsidR="00BD04FB">
        <w:t xml:space="preserve"> v </w:t>
      </w:r>
      <w:r>
        <w:t>rámci těchto organizací</w:t>
      </w:r>
      <w:r w:rsidR="00BD04FB">
        <w:t xml:space="preserve"> a k </w:t>
      </w:r>
      <w:r>
        <w:t>podpoře synergií namísto využívání mezer</w:t>
      </w:r>
      <w:r w:rsidR="00BD04FB">
        <w:t xml:space="preserve"> v </w:t>
      </w:r>
      <w:r>
        <w:t>předpisech.</w:t>
      </w:r>
    </w:p>
    <w:p w14:paraId="0C0F5639" w14:textId="77777777" w:rsidR="00C635B4" w:rsidRPr="00EF2D6B" w:rsidRDefault="00C635B4" w:rsidP="00A3683C">
      <w:pPr>
        <w:pStyle w:val="Heading2"/>
        <w:numPr>
          <w:ilvl w:val="0"/>
          <w:numId w:val="0"/>
        </w:numPr>
        <w:ind w:left="567" w:hanging="567"/>
        <w:rPr>
          <w:lang w:val="en-GB"/>
        </w:rPr>
      </w:pPr>
    </w:p>
    <w:p w14:paraId="436B7105" w14:textId="6AB7BA73" w:rsidR="00C635B4" w:rsidRPr="00EF2D6B" w:rsidRDefault="00C635B4" w:rsidP="00A3683C">
      <w:pPr>
        <w:pStyle w:val="Heading2"/>
        <w:ind w:left="567" w:hanging="567"/>
      </w:pPr>
      <w:r>
        <w:t>Po obou světových válkách se lidé obrátili na mezinárodní organizace</w:t>
      </w:r>
      <w:r w:rsidR="00BD04FB">
        <w:t xml:space="preserve"> v </w:t>
      </w:r>
      <w:r>
        <w:t>naději, že udrží mír</w:t>
      </w:r>
      <w:r w:rsidR="00BD04FB">
        <w:t xml:space="preserve"> a </w:t>
      </w:r>
      <w:r>
        <w:t>prosperitu. Nynější globální zdravotní krize je tím pravým okamžikem pro přehodnocení pravidel celosvětového řízení</w:t>
      </w:r>
      <w:r w:rsidR="00BD04FB">
        <w:t xml:space="preserve"> a k </w:t>
      </w:r>
      <w:r>
        <w:t xml:space="preserve">zahrnutí části inovačního ducha, který se projevuje při bezprecedentních situacích. </w:t>
      </w:r>
    </w:p>
    <w:p w14:paraId="0BDB9C05" w14:textId="77777777" w:rsidR="00C635B4" w:rsidRPr="00EF2D6B" w:rsidRDefault="00C635B4" w:rsidP="00A3683C">
      <w:pPr>
        <w:ind w:left="567" w:hanging="567"/>
        <w:rPr>
          <w:lang w:val="en-GB"/>
        </w:rPr>
      </w:pPr>
    </w:p>
    <w:p w14:paraId="02FD1F12" w14:textId="77777777" w:rsidR="00C635B4" w:rsidRPr="00EF2D6B" w:rsidRDefault="00C635B4" w:rsidP="00A3683C">
      <w:pPr>
        <w:keepNext/>
        <w:ind w:left="567" w:hanging="567"/>
        <w:rPr>
          <w:b/>
        </w:rPr>
      </w:pPr>
      <w:r>
        <w:rPr>
          <w:b/>
        </w:rPr>
        <w:t>Soubor konkrétních návrhů</w:t>
      </w:r>
    </w:p>
    <w:p w14:paraId="439DB24E" w14:textId="77777777" w:rsidR="00C635B4" w:rsidRPr="00EF2D6B" w:rsidRDefault="00C635B4" w:rsidP="00A3683C">
      <w:pPr>
        <w:keepNext/>
        <w:ind w:left="567" w:hanging="567"/>
        <w:rPr>
          <w:lang w:val="en-GB"/>
        </w:rPr>
      </w:pPr>
    </w:p>
    <w:p w14:paraId="13CE4018" w14:textId="5BA5CDD0" w:rsidR="00C635B4" w:rsidRPr="00EF2D6B" w:rsidRDefault="00C635B4" w:rsidP="00A3683C">
      <w:pPr>
        <w:pStyle w:val="Heading2"/>
        <w:keepNext/>
        <w:ind w:left="567" w:hanging="567"/>
      </w:pPr>
      <w:r>
        <w:t>Řada zainteresovaných stran</w:t>
      </w:r>
      <w:r w:rsidR="00BD04FB">
        <w:t xml:space="preserve"> z </w:t>
      </w:r>
      <w:r>
        <w:t>nejrůznějších prostředí (viz příloha 1) pomohla zpravodajce určit možné návrhy</w:t>
      </w:r>
      <w:r w:rsidR="00BD04FB">
        <w:t xml:space="preserve"> s </w:t>
      </w:r>
      <w:r>
        <w:t>ohledem na právní, politická</w:t>
      </w:r>
      <w:r w:rsidR="00BD04FB">
        <w:t xml:space="preserve"> a </w:t>
      </w:r>
      <w:r>
        <w:t>organizační omezení.</w:t>
      </w:r>
    </w:p>
    <w:p w14:paraId="6A7D9675" w14:textId="77777777" w:rsidR="00C635B4" w:rsidRPr="00EF2D6B" w:rsidRDefault="00C635B4" w:rsidP="00A3683C">
      <w:pPr>
        <w:ind w:left="567" w:hanging="567"/>
        <w:rPr>
          <w:lang w:val="en-GB"/>
        </w:rPr>
      </w:pPr>
    </w:p>
    <w:p w14:paraId="6F01FA1E" w14:textId="77777777" w:rsidR="00C635B4" w:rsidRPr="00EF2D6B" w:rsidRDefault="00C635B4" w:rsidP="00A3683C">
      <w:pPr>
        <w:pStyle w:val="Heading2"/>
        <w:keepNext/>
        <w:ind w:left="567" w:hanging="567"/>
      </w:pPr>
      <w:r>
        <w:t>Cílem těchto návrhů je zajistit lepší koordinaci mezi:</w:t>
      </w:r>
    </w:p>
    <w:p w14:paraId="39E53527" w14:textId="37C51485" w:rsidR="00C635B4" w:rsidRPr="00EF2D6B" w:rsidRDefault="00D22F0A" w:rsidP="00A3683C">
      <w:pPr>
        <w:pStyle w:val="ListParagraph"/>
        <w:numPr>
          <w:ilvl w:val="0"/>
          <w:numId w:val="40"/>
        </w:numPr>
        <w:ind w:left="851" w:hanging="284"/>
      </w:pPr>
      <w:r>
        <w:t>celosvětovými sociálními normami</w:t>
      </w:r>
      <w:r w:rsidR="00BD04FB">
        <w:t xml:space="preserve"> a </w:t>
      </w:r>
      <w:r>
        <w:t>závazky</w:t>
      </w:r>
      <w:r w:rsidR="00BD04FB">
        <w:t xml:space="preserve"> v </w:t>
      </w:r>
      <w:r>
        <w:t>oblasti změny klimatu</w:t>
      </w:r>
      <w:r w:rsidR="00BD04FB">
        <w:t xml:space="preserve"> a </w:t>
      </w:r>
      <w:r>
        <w:t>ochrany životního prostředí,</w:t>
      </w:r>
    </w:p>
    <w:p w14:paraId="2934F482" w14:textId="0ABE9A1A" w:rsidR="00C635B4" w:rsidRPr="00EF2D6B" w:rsidRDefault="00D22F0A" w:rsidP="00A3683C">
      <w:pPr>
        <w:pStyle w:val="ListParagraph"/>
        <w:numPr>
          <w:ilvl w:val="0"/>
          <w:numId w:val="40"/>
        </w:numPr>
        <w:ind w:left="851" w:hanging="284"/>
      </w:pPr>
      <w:r>
        <w:t>pravidly týkajícími se obchodu</w:t>
      </w:r>
      <w:r w:rsidR="00BD04FB">
        <w:t xml:space="preserve"> a </w:t>
      </w:r>
      <w:r>
        <w:t>smlouvami</w:t>
      </w:r>
      <w:r w:rsidR="00BD04FB">
        <w:t xml:space="preserve"> v </w:t>
      </w:r>
      <w:r>
        <w:t>oblasti změny klimatu</w:t>
      </w:r>
      <w:r w:rsidR="00BD04FB">
        <w:t xml:space="preserve"> a </w:t>
      </w:r>
      <w:r>
        <w:t>ochrany životního prostředí a</w:t>
      </w:r>
    </w:p>
    <w:p w14:paraId="6F94E2CF" w14:textId="0D1FD620" w:rsidR="00C635B4" w:rsidRPr="00EF2D6B" w:rsidRDefault="00D22F0A" w:rsidP="00A3683C">
      <w:pPr>
        <w:pStyle w:val="ListParagraph"/>
        <w:numPr>
          <w:ilvl w:val="0"/>
          <w:numId w:val="40"/>
        </w:numPr>
        <w:ind w:left="851" w:hanging="284"/>
      </w:pPr>
      <w:r>
        <w:t>pravidly týkajícími se obchodu</w:t>
      </w:r>
      <w:r w:rsidR="00BD04FB">
        <w:t xml:space="preserve"> a </w:t>
      </w:r>
      <w:r>
        <w:t>celosvětovými sociálními normami.</w:t>
      </w:r>
    </w:p>
    <w:p w14:paraId="3DCE1942" w14:textId="77777777" w:rsidR="00C635B4" w:rsidRPr="00EF2D6B" w:rsidRDefault="00C635B4" w:rsidP="00A3683C">
      <w:pPr>
        <w:ind w:left="567" w:hanging="567"/>
        <w:rPr>
          <w:lang w:val="en-GB"/>
        </w:rPr>
      </w:pPr>
    </w:p>
    <w:p w14:paraId="26ABCEC5" w14:textId="73D594C4" w:rsidR="00C635B4" w:rsidRPr="00EF2D6B" w:rsidRDefault="00C635B4" w:rsidP="00A3683C">
      <w:pPr>
        <w:pStyle w:val="Heading2"/>
        <w:ind w:left="567" w:hanging="567"/>
      </w:pPr>
      <w:r>
        <w:t>Patří sem širší přístup ke statusu pozorovatele, finanční prostředky na podporu studií, vytvoření nových pracovních skupin, posílená koordinace mezi sekretariáty, společné politiky</w:t>
      </w:r>
      <w:r w:rsidR="00BD04FB">
        <w:t xml:space="preserve"> v </w:t>
      </w:r>
      <w:r>
        <w:t>oblasti výzkumu, výklad některých stávajících právních ustanovení</w:t>
      </w:r>
      <w:r w:rsidR="00BD04FB">
        <w:t xml:space="preserve"> a </w:t>
      </w:r>
      <w:r>
        <w:t>politické závazky.</w:t>
      </w:r>
    </w:p>
    <w:p w14:paraId="28283495" w14:textId="77777777" w:rsidR="00A73876" w:rsidRPr="00EF2D6B" w:rsidRDefault="00A73876" w:rsidP="00A3683C">
      <w:pPr>
        <w:rPr>
          <w:lang w:val="en-GB"/>
        </w:rPr>
      </w:pPr>
    </w:p>
    <w:p w14:paraId="297609E1" w14:textId="5661646E" w:rsidR="00A73876" w:rsidRPr="00EF2D6B" w:rsidRDefault="00A73876" w:rsidP="00A3683C">
      <w:pPr>
        <w:pStyle w:val="Heading2"/>
        <w:ind w:left="567" w:hanging="567"/>
      </w:pPr>
      <w:r>
        <w:t>EHSV si je vědom toho, že změny musí být iniciovány na politické úrovni,</w:t>
      </w:r>
      <w:r w:rsidR="00BD04FB">
        <w:t xml:space="preserve"> a </w:t>
      </w:r>
      <w:r>
        <w:t>pevně věří, že EU jakožto jeden</w:t>
      </w:r>
      <w:r w:rsidR="00BD04FB">
        <w:t xml:space="preserve"> z </w:t>
      </w:r>
      <w:r>
        <w:t>mála globálních aktérů, kteří mají ústavní povinnost</w:t>
      </w:r>
      <w:r w:rsidR="00BD04FB">
        <w:t xml:space="preserve"> a </w:t>
      </w:r>
      <w:r>
        <w:t>mandát podporovat řádnou správu věcí veřejných</w:t>
      </w:r>
      <w:r w:rsidR="00BD04FB">
        <w:t xml:space="preserve"> v </w:t>
      </w:r>
      <w:r>
        <w:t>celosvětovém měřítku, má klíčovou roli</w:t>
      </w:r>
      <w:r w:rsidR="00BD04FB">
        <w:t xml:space="preserve"> v </w:t>
      </w:r>
      <w:r>
        <w:t>utváření efektivnější multilaterální struktury zevnitř.</w:t>
      </w:r>
    </w:p>
    <w:p w14:paraId="3065B6BC" w14:textId="77777777" w:rsidR="00C635B4" w:rsidRPr="00EF2D6B" w:rsidRDefault="00C635B4" w:rsidP="00A3683C">
      <w:pPr>
        <w:rPr>
          <w:lang w:val="en-GB"/>
        </w:rPr>
      </w:pPr>
    </w:p>
    <w:p w14:paraId="49201467" w14:textId="77777777" w:rsidR="00C635B4" w:rsidRPr="00EF2D6B" w:rsidRDefault="00774CC3" w:rsidP="00A3683C">
      <w:pPr>
        <w:pStyle w:val="Heading1"/>
        <w:keepNext/>
        <w:rPr>
          <w:b/>
        </w:rPr>
      </w:pPr>
      <w:r>
        <w:rPr>
          <w:b/>
        </w:rPr>
        <w:tab/>
        <w:t>Skrovné výsledky našeho dlouhodobého volání po soudržnosti multilaterálních pravidel</w:t>
      </w:r>
    </w:p>
    <w:p w14:paraId="6EBB7F8B" w14:textId="77777777" w:rsidR="00C635B4" w:rsidRPr="00EF2D6B" w:rsidRDefault="00C635B4" w:rsidP="00A3683C">
      <w:pPr>
        <w:keepNext/>
        <w:rPr>
          <w:lang w:val="en-GB"/>
        </w:rPr>
      </w:pPr>
    </w:p>
    <w:p w14:paraId="2A18E651" w14:textId="77777777" w:rsidR="00C635B4" w:rsidRPr="00EF2D6B" w:rsidRDefault="00C635B4" w:rsidP="00A3683C">
      <w:pPr>
        <w:pStyle w:val="Heading2"/>
        <w:keepNext/>
        <w:ind w:left="567" w:hanging="567"/>
        <w:rPr>
          <w:b/>
        </w:rPr>
      </w:pPr>
      <w:r>
        <w:rPr>
          <w:b/>
        </w:rPr>
        <w:t>Prosba klíčových aktérů občanské společnosti</w:t>
      </w:r>
    </w:p>
    <w:p w14:paraId="18487DC8" w14:textId="77777777" w:rsidR="00C635B4" w:rsidRPr="00EF2D6B" w:rsidRDefault="00C635B4" w:rsidP="00A3683C">
      <w:pPr>
        <w:keepNext/>
        <w:rPr>
          <w:lang w:val="en-GB"/>
        </w:rPr>
      </w:pPr>
    </w:p>
    <w:p w14:paraId="300E18A8" w14:textId="7855AE21" w:rsidR="00C635B4" w:rsidRPr="00EF2D6B" w:rsidRDefault="00C635B4" w:rsidP="00A3683C">
      <w:pPr>
        <w:pStyle w:val="Heading3"/>
        <w:ind w:left="567" w:hanging="567"/>
      </w:pPr>
      <w:r>
        <w:t>Mnohé zúčastněné strany opakovaně volaly po větší soudržnosti</w:t>
      </w:r>
      <w:r w:rsidR="00BD04FB">
        <w:t xml:space="preserve"> v </w:t>
      </w:r>
      <w:r>
        <w:t>tvorbě politik na straně mezinárodních, nadnárodních</w:t>
      </w:r>
      <w:r w:rsidR="00BD04FB">
        <w:t xml:space="preserve"> a </w:t>
      </w:r>
      <w:r>
        <w:t>mezivládních organizací.</w:t>
      </w:r>
    </w:p>
    <w:p w14:paraId="27D4A4F2" w14:textId="77777777" w:rsidR="00C635B4" w:rsidRPr="00EF2D6B" w:rsidRDefault="00C635B4" w:rsidP="00A3683C">
      <w:pPr>
        <w:rPr>
          <w:lang w:val="en-GB"/>
        </w:rPr>
      </w:pPr>
    </w:p>
    <w:p w14:paraId="23C8AF6F" w14:textId="4CC2A2CA" w:rsidR="00C635B4" w:rsidRPr="00EF2D6B" w:rsidRDefault="00C635B4" w:rsidP="00A3683C">
      <w:pPr>
        <w:pStyle w:val="Heading3"/>
        <w:ind w:left="567" w:hanging="567"/>
      </w:pPr>
      <w:r>
        <w:t>Jménem podnikatelských kruhů poukázala Mezinárodní obchodní komora (ICC) zejména na to, že „jednou ze základních příčin napětí</w:t>
      </w:r>
      <w:r w:rsidR="00BD04FB">
        <w:t xml:space="preserve"> v </w:t>
      </w:r>
      <w:r>
        <w:t>aktuální diskusi</w:t>
      </w:r>
      <w:r w:rsidR="00BD04FB">
        <w:t xml:space="preserve"> o </w:t>
      </w:r>
      <w:r>
        <w:t>globalizaci je zjevný rozpor mezi normami</w:t>
      </w:r>
      <w:r w:rsidR="00BD04FB">
        <w:t xml:space="preserve"> v </w:t>
      </w:r>
      <w:r>
        <w:t>oblastech obchodu, práce</w:t>
      </w:r>
      <w:r w:rsidR="00BD04FB">
        <w:t xml:space="preserve"> a </w:t>
      </w:r>
      <w:r>
        <w:t>životního prostředí“</w:t>
      </w:r>
      <w:r w:rsidRPr="00EF2D6B">
        <w:rPr>
          <w:i/>
          <w:sz w:val="24"/>
          <w:vertAlign w:val="superscript"/>
          <w:lang w:val="en-GB"/>
        </w:rPr>
        <w:footnoteReference w:id="3"/>
      </w:r>
      <w:r>
        <w:t>.</w:t>
      </w:r>
    </w:p>
    <w:p w14:paraId="64FEEECB" w14:textId="77777777" w:rsidR="00C635B4" w:rsidRPr="00EF2D6B" w:rsidRDefault="00C635B4" w:rsidP="00A3683C">
      <w:pPr>
        <w:rPr>
          <w:i/>
          <w:lang w:val="en-GB"/>
        </w:rPr>
      </w:pPr>
    </w:p>
    <w:p w14:paraId="231BC7CD" w14:textId="5CC27747" w:rsidR="00C635B4" w:rsidRPr="00EF2D6B" w:rsidRDefault="00C635B4" w:rsidP="00A3683C">
      <w:pPr>
        <w:pStyle w:val="Heading3"/>
        <w:ind w:left="567" w:hanging="567"/>
      </w:pPr>
      <w:r>
        <w:t>Na summitu G7-L7 rovněž zaznělo, že „celosvětové řízení by mělo více zohledňovat aktuální společenské výzvy, včetně potřeby nových dovedností,</w:t>
      </w:r>
      <w:r w:rsidR="00BD04FB">
        <w:t xml:space="preserve"> s </w:t>
      </w:r>
      <w:r>
        <w:t>cílem zajistit důstojnou práci podle mezinárodních norem</w:t>
      </w:r>
      <w:r w:rsidR="00BD04FB">
        <w:t xml:space="preserve"> a </w:t>
      </w:r>
      <w:r>
        <w:t>takové podmínky pro podnikání, které podporují produktivitu, vyšší mzdy</w:t>
      </w:r>
      <w:r w:rsidR="00BD04FB">
        <w:t xml:space="preserve"> a </w:t>
      </w:r>
      <w:r>
        <w:t>vytváření kvalitních pracovních míst“ (odstavec 3).</w:t>
      </w:r>
    </w:p>
    <w:p w14:paraId="7BCCC615" w14:textId="77777777" w:rsidR="00C635B4" w:rsidRPr="00EF2D6B" w:rsidRDefault="00C635B4" w:rsidP="00A3683C">
      <w:pPr>
        <w:rPr>
          <w:lang w:val="en-GB"/>
        </w:rPr>
      </w:pPr>
    </w:p>
    <w:p w14:paraId="79D7FFD2" w14:textId="77777777" w:rsidR="00C635B4" w:rsidRPr="00EF2D6B" w:rsidRDefault="00C635B4" w:rsidP="00A3683C">
      <w:pPr>
        <w:pStyle w:val="Heading2"/>
        <w:keepNext/>
        <w:ind w:left="567" w:hanging="567"/>
        <w:rPr>
          <w:b/>
        </w:rPr>
      </w:pPr>
      <w:r>
        <w:rPr>
          <w:b/>
        </w:rPr>
        <w:t>Přehled dřívějších kroků</w:t>
      </w:r>
    </w:p>
    <w:p w14:paraId="6E7E2694" w14:textId="77777777" w:rsidR="00C635B4" w:rsidRPr="00EF2D6B" w:rsidRDefault="00C635B4" w:rsidP="00A3683C">
      <w:pPr>
        <w:keepNext/>
        <w:rPr>
          <w:lang w:val="en-GB"/>
        </w:rPr>
      </w:pPr>
    </w:p>
    <w:p w14:paraId="789AEF60" w14:textId="77777777" w:rsidR="00C635B4" w:rsidRPr="00EF2D6B" w:rsidRDefault="00C635B4" w:rsidP="00A3683C">
      <w:pPr>
        <w:pStyle w:val="Heading3"/>
        <w:keepNext/>
      </w:pPr>
      <w:r>
        <w:t>Pochopení složitosti globalizace</w:t>
      </w:r>
    </w:p>
    <w:p w14:paraId="6ADE4091" w14:textId="77777777" w:rsidR="00C635B4" w:rsidRPr="00EF2D6B" w:rsidRDefault="00C635B4" w:rsidP="00A3683C">
      <w:pPr>
        <w:keepNext/>
        <w:rPr>
          <w:lang w:val="en-GB"/>
        </w:rPr>
      </w:pPr>
    </w:p>
    <w:p w14:paraId="6B5FDCE8" w14:textId="5B9CF4BD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Organizace spojených národů (OSN) hraje významnou roli coby zastřešující mezinárodní organizace, která je schopna vytvářet pravidla</w:t>
      </w:r>
      <w:r w:rsidR="00BD04FB">
        <w:t xml:space="preserve"> a </w:t>
      </w:r>
      <w:r>
        <w:t>normy</w:t>
      </w:r>
      <w:r w:rsidR="00BD04FB">
        <w:t xml:space="preserve"> s </w:t>
      </w:r>
      <w:r>
        <w:t>nejširším zeměpisným pokrytím.</w:t>
      </w:r>
      <w:r w:rsidR="00BD04FB">
        <w:t xml:space="preserve"> Z </w:t>
      </w:r>
      <w:r>
        <w:t>tohoto důvodu podporuje EHSV reformu OSN, která zajistí přechod od zaměření na metody práce</w:t>
      </w:r>
      <w:r w:rsidR="00BD04FB">
        <w:t xml:space="preserve"> k </w:t>
      </w:r>
      <w:r>
        <w:t>zaměření na výsledky.</w:t>
      </w:r>
      <w:r w:rsidR="00BD04FB">
        <w:t xml:space="preserve"> V </w:t>
      </w:r>
      <w:r>
        <w:t>září 2015 přijala OSN 17 cílů udržitelného rozvoje, které představují nejobecnější výzvy pro celé lidstvo. Ačkoli nejsou cíle udržitelného rozvoje právně závazné, od vlád</w:t>
      </w:r>
      <w:r w:rsidR="00BD04FB">
        <w:t xml:space="preserve"> i </w:t>
      </w:r>
      <w:r>
        <w:t>orgánů EU se očekává, že je přijmou za své</w:t>
      </w:r>
      <w:r w:rsidR="00BD04FB">
        <w:t xml:space="preserve"> a </w:t>
      </w:r>
      <w:r>
        <w:t>vytvoří si vnitřní rámec</w:t>
      </w:r>
      <w:r w:rsidR="00BD04FB">
        <w:t xml:space="preserve"> k </w:t>
      </w:r>
      <w:r>
        <w:t>jejich dosažení.</w:t>
      </w:r>
    </w:p>
    <w:p w14:paraId="57AA8F37" w14:textId="77777777" w:rsidR="00C635B4" w:rsidRPr="00EF2D6B" w:rsidRDefault="00C635B4" w:rsidP="00A3683C">
      <w:pPr>
        <w:rPr>
          <w:lang w:val="en-GB"/>
        </w:rPr>
      </w:pPr>
    </w:p>
    <w:p w14:paraId="45451037" w14:textId="2CA19BD3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Organizace pro hospodářskou spolupráci</w:t>
      </w:r>
      <w:r w:rsidR="00BD04FB">
        <w:t xml:space="preserve"> a </w:t>
      </w:r>
      <w:r>
        <w:t>rozvoj (OECD)</w:t>
      </w:r>
      <w:r w:rsidR="00BD04FB">
        <w:t xml:space="preserve"> v </w:t>
      </w:r>
      <w:r>
        <w:t xml:space="preserve">roce 2017 varovala, že </w:t>
      </w:r>
      <w:r>
        <w:rPr>
          <w:i/>
        </w:rPr>
        <w:t>potřebujeme vyřešit globalizaci, ale nevíme úplně, jak na to</w:t>
      </w:r>
      <w:r w:rsidRPr="00EF2D6B">
        <w:rPr>
          <w:rStyle w:val="FootnoteReference"/>
          <w:lang w:val="en-GB"/>
        </w:rPr>
        <w:footnoteReference w:id="4"/>
      </w:r>
      <w:r>
        <w:t>.</w:t>
      </w:r>
      <w:r w:rsidR="00BD04FB">
        <w:t xml:space="preserve"> V </w:t>
      </w:r>
      <w:r>
        <w:t>daném politickém dokumentu byly uvedeny doprovodné politiky (sociální oblast, trh práce, vzdělávání</w:t>
      </w:r>
      <w:r w:rsidR="00BD04FB">
        <w:t xml:space="preserve"> a </w:t>
      </w:r>
      <w:r>
        <w:t>dovednosti, sociální</w:t>
      </w:r>
      <w:r w:rsidR="00BD04FB">
        <w:t xml:space="preserve"> a </w:t>
      </w:r>
      <w:r>
        <w:t>environmentální odpovědnost podniků)</w:t>
      </w:r>
      <w:r w:rsidR="00BD04FB">
        <w:t xml:space="preserve"> a </w:t>
      </w:r>
      <w:r>
        <w:t xml:space="preserve">zmiňoval </w:t>
      </w:r>
      <w:r>
        <w:rPr>
          <w:i/>
        </w:rPr>
        <w:t>naléhavou potřebu posílit konzultace</w:t>
      </w:r>
      <w:r w:rsidR="00BD04FB">
        <w:rPr>
          <w:i/>
        </w:rPr>
        <w:t xml:space="preserve"> s </w:t>
      </w:r>
      <w:r>
        <w:rPr>
          <w:i/>
        </w:rPr>
        <w:t>veřejností</w:t>
      </w:r>
      <w:r w:rsidR="00BD04FB">
        <w:rPr>
          <w:i/>
        </w:rPr>
        <w:t xml:space="preserve"> a </w:t>
      </w:r>
      <w:r>
        <w:rPr>
          <w:i/>
        </w:rPr>
        <w:t>zapojení zainteresovaných stran</w:t>
      </w:r>
      <w:r w:rsidR="00BD04FB">
        <w:rPr>
          <w:i/>
        </w:rPr>
        <w:t xml:space="preserve"> z </w:t>
      </w:r>
      <w:r>
        <w:rPr>
          <w:i/>
        </w:rPr>
        <w:t>řad občanské společnosti</w:t>
      </w:r>
      <w:r>
        <w:t xml:space="preserve"> při normalizačních činnostech mezinárodních organizací.</w:t>
      </w:r>
    </w:p>
    <w:p w14:paraId="058BE2A7" w14:textId="77777777" w:rsidR="00C635B4" w:rsidRPr="00EF2D6B" w:rsidRDefault="00C635B4" w:rsidP="00A3683C">
      <w:pPr>
        <w:pStyle w:val="Heading3"/>
        <w:numPr>
          <w:ilvl w:val="0"/>
          <w:numId w:val="0"/>
        </w:numPr>
        <w:rPr>
          <w:lang w:val="en-GB"/>
        </w:rPr>
      </w:pPr>
    </w:p>
    <w:p w14:paraId="6282DDE2" w14:textId="0FD1D763" w:rsidR="00C635B4" w:rsidRPr="00EF2D6B" w:rsidRDefault="00C635B4" w:rsidP="00A3683C">
      <w:pPr>
        <w:pStyle w:val="Heading3"/>
        <w:keepNext/>
        <w:rPr>
          <w:b/>
        </w:rPr>
      </w:pPr>
      <w:r>
        <w:rPr>
          <w:b/>
        </w:rPr>
        <w:t>Celosvětové sociální normy</w:t>
      </w:r>
      <w:r w:rsidR="00BD04FB">
        <w:rPr>
          <w:b/>
        </w:rPr>
        <w:t xml:space="preserve"> a </w:t>
      </w:r>
      <w:r>
        <w:rPr>
          <w:b/>
        </w:rPr>
        <w:t>multilaterální pravidla obchodu: promeškaná příležitost</w:t>
      </w:r>
    </w:p>
    <w:p w14:paraId="5187104D" w14:textId="77777777" w:rsidR="00C635B4" w:rsidRPr="00EF2D6B" w:rsidRDefault="00C635B4" w:rsidP="00A3683C">
      <w:pPr>
        <w:pStyle w:val="Heading3"/>
        <w:keepNext/>
        <w:numPr>
          <w:ilvl w:val="0"/>
          <w:numId w:val="0"/>
        </w:numPr>
        <w:rPr>
          <w:lang w:val="en-GB"/>
        </w:rPr>
      </w:pPr>
    </w:p>
    <w:p w14:paraId="458934B6" w14:textId="12636A38" w:rsidR="004B2E7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Bezprostředně po neúspěšném pokusu</w:t>
      </w:r>
      <w:r w:rsidR="00BD04FB">
        <w:t xml:space="preserve"> o </w:t>
      </w:r>
      <w:r>
        <w:t>začlenění sociální doložky do svých pravidel objasnila WTO</w:t>
      </w:r>
      <w:r w:rsidR="00BD04FB">
        <w:t xml:space="preserve"> v </w:t>
      </w:r>
      <w:r>
        <w:t>roce 1996</w:t>
      </w:r>
      <w:r w:rsidRPr="00EF2D6B">
        <w:rPr>
          <w:rStyle w:val="FootnoteReference"/>
          <w:lang w:val="en-GB"/>
        </w:rPr>
        <w:footnoteReference w:id="5"/>
      </w:r>
      <w:r>
        <w:t xml:space="preserve">, že MOP je </w:t>
      </w:r>
      <w:r>
        <w:rPr>
          <w:i/>
        </w:rPr>
        <w:t>příslušným subjektem pro stanovování hlavních pracovních norem</w:t>
      </w:r>
      <w:r w:rsidR="00BD04FB">
        <w:rPr>
          <w:i/>
        </w:rPr>
        <w:t xml:space="preserve"> a </w:t>
      </w:r>
      <w:r>
        <w:rPr>
          <w:i/>
        </w:rPr>
        <w:t>pro nakládání</w:t>
      </w:r>
      <w:r w:rsidR="00BD04FB">
        <w:rPr>
          <w:i/>
        </w:rPr>
        <w:t xml:space="preserve"> s </w:t>
      </w:r>
      <w:r>
        <w:rPr>
          <w:i/>
        </w:rPr>
        <w:t>nimi</w:t>
      </w:r>
      <w:r>
        <w:t>. Od té doby přijala MOP několik základních nástrojů.</w:t>
      </w:r>
      <w:r w:rsidR="00BD04FB">
        <w:t xml:space="preserve"> V </w:t>
      </w:r>
      <w:r>
        <w:t>oddíle 5 deklarace MOP</w:t>
      </w:r>
      <w:r w:rsidR="00BD04FB">
        <w:t xml:space="preserve"> z </w:t>
      </w:r>
      <w:r>
        <w:t xml:space="preserve">roku 1998 se uvádí, že </w:t>
      </w:r>
      <w:r>
        <w:rPr>
          <w:i/>
        </w:rPr>
        <w:t>pracovní standardy by neměly být užívány pro protekcionistické obchodní cíle</w:t>
      </w:r>
      <w:r w:rsidR="00BD04FB">
        <w:rPr>
          <w:i/>
        </w:rPr>
        <w:t xml:space="preserve"> a </w:t>
      </w:r>
      <w:r>
        <w:rPr>
          <w:i/>
        </w:rPr>
        <w:t>že nic</w:t>
      </w:r>
      <w:r w:rsidR="00BD04FB">
        <w:rPr>
          <w:i/>
        </w:rPr>
        <w:t xml:space="preserve"> v </w:t>
      </w:r>
      <w:r>
        <w:rPr>
          <w:i/>
        </w:rPr>
        <w:t>této deklaraci</w:t>
      </w:r>
      <w:r w:rsidR="00BD04FB">
        <w:rPr>
          <w:i/>
        </w:rPr>
        <w:t xml:space="preserve"> a </w:t>
      </w:r>
      <w:r>
        <w:rPr>
          <w:i/>
        </w:rPr>
        <w:t>jejím pokračování by nemělo být žádným způsobem využíváno pro takové účely; dále poměrná vyspělost žádné země by neměla být touto deklarací</w:t>
      </w:r>
      <w:r w:rsidR="00BD04FB">
        <w:rPr>
          <w:i/>
        </w:rPr>
        <w:t xml:space="preserve"> a </w:t>
      </w:r>
      <w:r>
        <w:rPr>
          <w:i/>
        </w:rPr>
        <w:t>jejím pokračováním nijak zpochybňována</w:t>
      </w:r>
      <w:r>
        <w:t>.</w:t>
      </w:r>
    </w:p>
    <w:p w14:paraId="3BB802AF" w14:textId="77777777" w:rsidR="004B2E74" w:rsidRPr="00EF2D6B" w:rsidRDefault="004B2E74" w:rsidP="00A3683C">
      <w:pPr>
        <w:pStyle w:val="Heading3"/>
        <w:numPr>
          <w:ilvl w:val="0"/>
          <w:numId w:val="0"/>
        </w:numPr>
        <w:rPr>
          <w:i/>
          <w:lang w:val="en-GB"/>
        </w:rPr>
      </w:pPr>
    </w:p>
    <w:p w14:paraId="1D4BC1E0" w14:textId="398B75D0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Ve svém prohlášení</w:t>
      </w:r>
      <w:r w:rsidR="00BD04FB">
        <w:t xml:space="preserve"> k </w:t>
      </w:r>
      <w:r>
        <w:t>stoletému výročí vytyčila MOP cestu</w:t>
      </w:r>
      <w:r w:rsidR="00BD04FB">
        <w:t xml:space="preserve"> a </w:t>
      </w:r>
      <w:r>
        <w:t xml:space="preserve">zavázala se </w:t>
      </w:r>
      <w:r>
        <w:rPr>
          <w:i/>
        </w:rPr>
        <w:t>posílit svou spolupráci</w:t>
      </w:r>
      <w:r w:rsidR="00BD04FB">
        <w:rPr>
          <w:i/>
        </w:rPr>
        <w:t xml:space="preserve"> a </w:t>
      </w:r>
      <w:r>
        <w:rPr>
          <w:i/>
        </w:rPr>
        <w:t>vypracovávání institucionálních dohod</w:t>
      </w:r>
      <w:r w:rsidR="00BD04FB">
        <w:rPr>
          <w:i/>
        </w:rPr>
        <w:t xml:space="preserve"> s </w:t>
      </w:r>
      <w:r>
        <w:rPr>
          <w:i/>
        </w:rPr>
        <w:t>dalšími organizacemi</w:t>
      </w:r>
      <w:r w:rsidR="00BD04FB">
        <w:rPr>
          <w:i/>
        </w:rPr>
        <w:t xml:space="preserve"> s </w:t>
      </w:r>
      <w:r>
        <w:rPr>
          <w:i/>
        </w:rPr>
        <w:t>cílem prosazovat soudržnost politik ve snaze</w:t>
      </w:r>
      <w:r w:rsidR="00BD04FB">
        <w:rPr>
          <w:i/>
        </w:rPr>
        <w:t xml:space="preserve"> o </w:t>
      </w:r>
      <w:r>
        <w:rPr>
          <w:i/>
        </w:rPr>
        <w:t>lidsky zaměřený přístup</w:t>
      </w:r>
      <w:r w:rsidR="00BD04FB">
        <w:rPr>
          <w:i/>
        </w:rPr>
        <w:t xml:space="preserve"> k </w:t>
      </w:r>
      <w:r>
        <w:rPr>
          <w:i/>
        </w:rPr>
        <w:t>budoucnosti práce</w:t>
      </w:r>
      <w:r w:rsidR="00BD04FB">
        <w:rPr>
          <w:i/>
        </w:rPr>
        <w:t xml:space="preserve"> a </w:t>
      </w:r>
      <w:r>
        <w:rPr>
          <w:i/>
        </w:rPr>
        <w:t>uznávat pevné, komplexní</w:t>
      </w:r>
      <w:r w:rsidR="00BD04FB">
        <w:rPr>
          <w:i/>
        </w:rPr>
        <w:t xml:space="preserve"> a </w:t>
      </w:r>
      <w:r>
        <w:rPr>
          <w:i/>
        </w:rPr>
        <w:t>zásadní vazby mezi sociálními, obchodními, finančními, hospodářskými</w:t>
      </w:r>
      <w:r w:rsidR="00BD04FB">
        <w:rPr>
          <w:i/>
        </w:rPr>
        <w:t xml:space="preserve"> a </w:t>
      </w:r>
      <w:r>
        <w:rPr>
          <w:i/>
        </w:rPr>
        <w:t>environmentálními politikami</w:t>
      </w:r>
      <w:r>
        <w:t xml:space="preserve"> (část IV písmeno F). </w:t>
      </w:r>
    </w:p>
    <w:p w14:paraId="7E598118" w14:textId="77777777" w:rsidR="00E32214" w:rsidRPr="00EF2D6B" w:rsidRDefault="00E32214" w:rsidP="00A3683C">
      <w:pPr>
        <w:rPr>
          <w:lang w:val="en-GB"/>
        </w:rPr>
      </w:pPr>
    </w:p>
    <w:p w14:paraId="4ABA63F0" w14:textId="3670C5E6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Ačkoli MOP</w:t>
      </w:r>
      <w:r w:rsidR="00BD04FB">
        <w:t xml:space="preserve"> a </w:t>
      </w:r>
      <w:r>
        <w:t>WTO fungují odděleně,</w:t>
      </w:r>
      <w:r w:rsidR="00BD04FB">
        <w:t xml:space="preserve"> v </w:t>
      </w:r>
      <w:r>
        <w:t>celé řadě oblastí spolupracují,</w:t>
      </w:r>
      <w:r w:rsidR="00BD04FB">
        <w:t xml:space="preserve"> a </w:t>
      </w:r>
      <w:r>
        <w:t>především vytvářejí zajímavé společné publikace týkající se obchodu</w:t>
      </w:r>
      <w:r w:rsidR="00BD04FB">
        <w:t xml:space="preserve"> a </w:t>
      </w:r>
      <w:r>
        <w:t>zaměstnanosti, obchodu</w:t>
      </w:r>
      <w:r w:rsidR="00BD04FB">
        <w:t xml:space="preserve"> a </w:t>
      </w:r>
      <w:r>
        <w:t>neformálního zaměstnávání, úsilí</w:t>
      </w:r>
      <w:r w:rsidR="00BD04FB">
        <w:t xml:space="preserve"> o </w:t>
      </w:r>
      <w:r>
        <w:t>sociálně udržitelnější globalizaci</w:t>
      </w:r>
      <w:r w:rsidR="00BD04FB">
        <w:t xml:space="preserve"> a </w:t>
      </w:r>
      <w:r>
        <w:t>důležitosti politik</w:t>
      </w:r>
      <w:r w:rsidR="00BD04FB">
        <w:t xml:space="preserve"> v </w:t>
      </w:r>
      <w:r>
        <w:t>oblasti rozvoje dovedností při pomoci pracovníkům</w:t>
      </w:r>
      <w:r w:rsidR="00BD04FB">
        <w:t xml:space="preserve"> a </w:t>
      </w:r>
      <w:r>
        <w:t>podnikům, aby dokázali využít přínosů obchodu.</w:t>
      </w:r>
    </w:p>
    <w:p w14:paraId="6B98CF84" w14:textId="77777777" w:rsidR="00C635B4" w:rsidRPr="00EF2D6B" w:rsidRDefault="00C635B4" w:rsidP="00A3683C">
      <w:pPr>
        <w:rPr>
          <w:lang w:val="en-GB"/>
        </w:rPr>
      </w:pPr>
    </w:p>
    <w:p w14:paraId="605DF948" w14:textId="7D340E9B" w:rsidR="00C635B4" w:rsidRPr="00EF2D6B" w:rsidRDefault="00C635B4" w:rsidP="001E0CE1">
      <w:pPr>
        <w:pStyle w:val="Heading4"/>
        <w:keepNext/>
        <w:keepLines/>
        <w:tabs>
          <w:tab w:val="left" w:pos="567"/>
        </w:tabs>
        <w:ind w:left="567" w:hanging="567"/>
        <w:rPr>
          <w:shd w:val="clear" w:color="auto" w:fill="FFFFFF"/>
        </w:rPr>
      </w:pPr>
      <w:r>
        <w:t>Tato spolupráce nikdy nepřekročila hranice vymezené</w:t>
      </w:r>
      <w:r w:rsidR="00BD04FB">
        <w:t xml:space="preserve"> v </w:t>
      </w:r>
      <w:r>
        <w:t>ministerském prohlášení WTO ze Singapuru</w:t>
      </w:r>
      <w:r w:rsidR="00BD04FB">
        <w:t xml:space="preserve"> z </w:t>
      </w:r>
      <w:r>
        <w:t xml:space="preserve">roku 1996: </w:t>
      </w:r>
      <w:r>
        <w:rPr>
          <w:i/>
        </w:rPr>
        <w:t>Odmítáme používání pracovních norem pro účely protekcionismu</w:t>
      </w:r>
      <w:r w:rsidR="00BD04FB">
        <w:rPr>
          <w:i/>
        </w:rPr>
        <w:t xml:space="preserve"> a </w:t>
      </w:r>
      <w:r>
        <w:rPr>
          <w:i/>
        </w:rPr>
        <w:t>souhlasíme</w:t>
      </w:r>
      <w:r w:rsidR="00BD04FB">
        <w:rPr>
          <w:i/>
        </w:rPr>
        <w:t xml:space="preserve"> s </w:t>
      </w:r>
      <w:r>
        <w:rPr>
          <w:i/>
        </w:rPr>
        <w:t>tím, že komparativní výhoda zemí, zejména nízkopříjmových rozvojových zemí, nesmí být žádným způsobem zpochybňována.</w:t>
      </w:r>
      <w:r w:rsidR="00BD04FB">
        <w:rPr>
          <w:i/>
        </w:rPr>
        <w:t xml:space="preserve"> V </w:t>
      </w:r>
      <w:r>
        <w:rPr>
          <w:i/>
        </w:rPr>
        <w:t>tomto ohledu konstatujeme, že sekretariáty WTO</w:t>
      </w:r>
      <w:r w:rsidR="00BD04FB">
        <w:rPr>
          <w:i/>
        </w:rPr>
        <w:t xml:space="preserve"> a </w:t>
      </w:r>
      <w:r>
        <w:rPr>
          <w:i/>
        </w:rPr>
        <w:t>MOP budou pokračovat ve své dosavadní spolupráci.</w:t>
      </w:r>
    </w:p>
    <w:p w14:paraId="10312297" w14:textId="77777777" w:rsidR="00C635B4" w:rsidRPr="00EF2D6B" w:rsidRDefault="00C635B4" w:rsidP="00A3683C">
      <w:pPr>
        <w:rPr>
          <w:lang w:val="en-GB"/>
        </w:rPr>
      </w:pPr>
    </w:p>
    <w:p w14:paraId="4808AFC1" w14:textId="3BAA5A28" w:rsidR="00C635B4" w:rsidRPr="00EF2D6B" w:rsidRDefault="00C635B4" w:rsidP="00A3683C">
      <w:pPr>
        <w:pStyle w:val="Heading3"/>
        <w:keepNext/>
        <w:ind w:left="567" w:hanging="567"/>
        <w:rPr>
          <w:b/>
        </w:rPr>
      </w:pPr>
      <w:r>
        <w:rPr>
          <w:b/>
        </w:rPr>
        <w:t>Postupné začleňování závazků</w:t>
      </w:r>
      <w:r w:rsidR="00BD04FB">
        <w:rPr>
          <w:b/>
        </w:rPr>
        <w:t xml:space="preserve"> v </w:t>
      </w:r>
      <w:r>
        <w:rPr>
          <w:b/>
        </w:rPr>
        <w:t>oblasti klimatu</w:t>
      </w:r>
      <w:r w:rsidR="00BD04FB">
        <w:rPr>
          <w:b/>
        </w:rPr>
        <w:t xml:space="preserve"> a </w:t>
      </w:r>
      <w:r>
        <w:rPr>
          <w:b/>
        </w:rPr>
        <w:t>životního prostředí do multilaterálního prostředí</w:t>
      </w:r>
    </w:p>
    <w:p w14:paraId="104B6219" w14:textId="77777777" w:rsidR="00C635B4" w:rsidRPr="00EF2D6B" w:rsidRDefault="00C635B4" w:rsidP="00A3683C">
      <w:pPr>
        <w:pStyle w:val="Heading1"/>
        <w:keepNext/>
        <w:numPr>
          <w:ilvl w:val="0"/>
          <w:numId w:val="0"/>
        </w:numPr>
        <w:rPr>
          <w:shd w:val="clear" w:color="auto" w:fill="FFFFFF"/>
          <w:lang w:val="en-GB"/>
        </w:rPr>
      </w:pPr>
    </w:p>
    <w:p w14:paraId="36FF0A89" w14:textId="0F8A7018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Od roku 1994, kdy vstoupila</w:t>
      </w:r>
      <w:r w:rsidR="00BD04FB">
        <w:t xml:space="preserve"> v </w:t>
      </w:r>
      <w:r>
        <w:t>platnost Rámcová úmluva OSN</w:t>
      </w:r>
      <w:r w:rsidR="00BD04FB">
        <w:t xml:space="preserve"> o </w:t>
      </w:r>
      <w:r>
        <w:t>změně klimatu (UNFCCC), se zástupci vlád pravidelně setkávají, aby sledovali pokrok prostřednictvím spolehlivého systému transparentnosti</w:t>
      </w:r>
      <w:r w:rsidR="00BD04FB">
        <w:t xml:space="preserve"> a </w:t>
      </w:r>
      <w:r>
        <w:t xml:space="preserve">odpovědnosti. Teprve koncem roku </w:t>
      </w:r>
      <w:r w:rsidR="001E0CE1">
        <w:t>2015 však byla přijata Pařížská </w:t>
      </w:r>
      <w:r>
        <w:t>dohoda – první všeobecná</w:t>
      </w:r>
      <w:r w:rsidR="00BD04FB">
        <w:t xml:space="preserve"> a </w:t>
      </w:r>
      <w:r>
        <w:t>právně závazná dohoda týkající se změny klimatu, která předepsala systém vnitrostátně stanovených příspěvků, které se musí sledovat.</w:t>
      </w:r>
    </w:p>
    <w:p w14:paraId="7143FF1C" w14:textId="77777777" w:rsidR="00C635B4" w:rsidRPr="00EF2D6B" w:rsidRDefault="00C635B4" w:rsidP="00A3683C">
      <w:pPr>
        <w:rPr>
          <w:lang w:val="en-GB" w:eastAsia="fr-FR"/>
        </w:rPr>
      </w:pPr>
    </w:p>
    <w:p w14:paraId="589ED11A" w14:textId="0DF5EDC2" w:rsidR="00FE445B" w:rsidRPr="00EF2D6B" w:rsidRDefault="00FE445B" w:rsidP="00A3683C">
      <w:pPr>
        <w:pStyle w:val="Heading4"/>
        <w:tabs>
          <w:tab w:val="left" w:pos="567"/>
        </w:tabs>
        <w:ind w:left="567" w:hanging="567"/>
      </w:pPr>
      <w:r>
        <w:t>Díky svému statusu pozorovatele při UNFCCC</w:t>
      </w:r>
      <w:r w:rsidR="00BD04FB">
        <w:t xml:space="preserve"> a </w:t>
      </w:r>
      <w:r>
        <w:t>mandátu</w:t>
      </w:r>
      <w:r w:rsidR="00BD04FB">
        <w:t xml:space="preserve"> k </w:t>
      </w:r>
      <w:r>
        <w:t>prosazování důstojné práce</w:t>
      </w:r>
      <w:r w:rsidR="00BD04FB">
        <w:t xml:space="preserve"> a </w:t>
      </w:r>
      <w:r>
        <w:t>spravedlivého přechodu MOP podstatnou měrou přispěla</w:t>
      </w:r>
      <w:r w:rsidR="00BD04FB">
        <w:t xml:space="preserve"> k </w:t>
      </w:r>
      <w:r>
        <w:t>práci vylepšeného fóra pro dopady provádění opatření</w:t>
      </w:r>
      <w:r w:rsidR="00BD04FB">
        <w:t xml:space="preserve"> v </w:t>
      </w:r>
      <w:r>
        <w:t xml:space="preserve">reakci na změnu klimatu (2015–2018). Fórum se zabývalo zejména </w:t>
      </w:r>
      <w:r>
        <w:rPr>
          <w:i/>
        </w:rPr>
        <w:t>účinky provádění zmírňujících politik, programů</w:t>
      </w:r>
      <w:r w:rsidR="00BD04FB">
        <w:rPr>
          <w:i/>
        </w:rPr>
        <w:t xml:space="preserve"> a </w:t>
      </w:r>
      <w:r>
        <w:rPr>
          <w:i/>
        </w:rPr>
        <w:t>akcí, dopady</w:t>
      </w:r>
      <w:r w:rsidR="00BD04FB">
        <w:rPr>
          <w:i/>
        </w:rPr>
        <w:t xml:space="preserve"> v </w:t>
      </w:r>
      <w:r>
        <w:rPr>
          <w:i/>
        </w:rPr>
        <w:t>rámci jurisdikce</w:t>
      </w:r>
      <w:r w:rsidR="00BD04FB">
        <w:rPr>
          <w:i/>
        </w:rPr>
        <w:t xml:space="preserve"> a </w:t>
      </w:r>
      <w:r>
        <w:rPr>
          <w:i/>
        </w:rPr>
        <w:t>mimo jurisdikci</w:t>
      </w:r>
      <w:r w:rsidR="00BD04FB">
        <w:rPr>
          <w:i/>
        </w:rPr>
        <w:t xml:space="preserve"> a </w:t>
      </w:r>
      <w:r>
        <w:rPr>
          <w:i/>
        </w:rPr>
        <w:t>přeshraničními dopady opatření přijatých smluvními stranami úmluvy, Kjótského protokolu</w:t>
      </w:r>
      <w:r w:rsidR="00BD04FB">
        <w:rPr>
          <w:i/>
        </w:rPr>
        <w:t xml:space="preserve"> a </w:t>
      </w:r>
      <w:r>
        <w:rPr>
          <w:i/>
        </w:rPr>
        <w:t>Pařížské dohody za účelem boje proti změně klimatu</w:t>
      </w:r>
      <w:r>
        <w:t>.</w:t>
      </w:r>
    </w:p>
    <w:p w14:paraId="5FC8BD11" w14:textId="77777777" w:rsidR="00FE445B" w:rsidRPr="00EF2D6B" w:rsidRDefault="00FE445B" w:rsidP="00A3683C">
      <w:pPr>
        <w:rPr>
          <w:lang w:val="en-GB"/>
        </w:rPr>
      </w:pPr>
    </w:p>
    <w:p w14:paraId="330A2139" w14:textId="21A73503" w:rsidR="00FE445B" w:rsidRPr="00EF2D6B" w:rsidRDefault="00FE445B" w:rsidP="00A3683C">
      <w:pPr>
        <w:pStyle w:val="Heading4"/>
        <w:tabs>
          <w:tab w:val="left" w:pos="567"/>
        </w:tabs>
        <w:ind w:left="567" w:hanging="567"/>
      </w:pPr>
      <w:r>
        <w:t>V návaznosti na memorandum</w:t>
      </w:r>
      <w:r w:rsidR="00BD04FB">
        <w:t xml:space="preserve"> o </w:t>
      </w:r>
      <w:r>
        <w:t>porozumění</w:t>
      </w:r>
      <w:r w:rsidR="00BD04FB">
        <w:t xml:space="preserve"> z </w:t>
      </w:r>
      <w:r>
        <w:t>roku 2016 MOP úzce spolupracovala</w:t>
      </w:r>
      <w:r w:rsidR="00BD04FB">
        <w:t xml:space="preserve"> s </w:t>
      </w:r>
      <w:r>
        <w:t>pracovníky</w:t>
      </w:r>
      <w:r w:rsidR="00BD04FB">
        <w:t xml:space="preserve"> a </w:t>
      </w:r>
      <w:r>
        <w:t>odborníky</w:t>
      </w:r>
      <w:r w:rsidR="00BD04FB">
        <w:t xml:space="preserve"> z </w:t>
      </w:r>
      <w:r>
        <w:t>UNFCCC na zvýšení vzájemného porozumění formou odborné přípravy na téma úlohy sociálních aktérů, budování kapacit za účelem měření dopadů opatření</w:t>
      </w:r>
      <w:r w:rsidR="00BD04FB">
        <w:t xml:space="preserve"> v </w:t>
      </w:r>
      <w:r>
        <w:t>oblasti boje proti změně klimatu, regionálních workshopů věnovaných spravedlivému přechodu</w:t>
      </w:r>
      <w:r w:rsidR="00BD04FB">
        <w:t xml:space="preserve"> a </w:t>
      </w:r>
      <w:r>
        <w:t>celosvětového fóra konaného každého půl roku.</w:t>
      </w:r>
    </w:p>
    <w:p w14:paraId="26A95EB3" w14:textId="77777777" w:rsidR="004B2E74" w:rsidRPr="00EF2D6B" w:rsidRDefault="004B2E74" w:rsidP="00A3683C">
      <w:pPr>
        <w:rPr>
          <w:lang w:val="en-GB"/>
        </w:rPr>
      </w:pPr>
    </w:p>
    <w:p w14:paraId="4AA2CE72" w14:textId="02F11C7F" w:rsidR="00A458AE" w:rsidRPr="00EF2D6B" w:rsidRDefault="00A458AE" w:rsidP="00A3683C">
      <w:pPr>
        <w:pStyle w:val="Heading4"/>
        <w:tabs>
          <w:tab w:val="left" w:pos="567"/>
        </w:tabs>
        <w:ind w:left="567" w:hanging="567"/>
      </w:pPr>
      <w:r>
        <w:t>Hlavním prostředkem činnosti MOP</w:t>
      </w:r>
      <w:r w:rsidR="00BD04FB">
        <w:t xml:space="preserve"> v </w:t>
      </w:r>
      <w:r>
        <w:t>oblasti životního prostředí je sdružení</w:t>
      </w:r>
      <w:r w:rsidR="00BD04FB">
        <w:t xml:space="preserve"> s </w:t>
      </w:r>
      <w:r>
        <w:t>UNEP, UNDP, UNIDO</w:t>
      </w:r>
      <w:r w:rsidR="00BD04FB">
        <w:t xml:space="preserve"> a </w:t>
      </w:r>
      <w:r>
        <w:t>UNITAR, které se nazývá Partnerství pro činnost</w:t>
      </w:r>
      <w:r w:rsidR="00BD04FB">
        <w:t xml:space="preserve"> v </w:t>
      </w:r>
      <w:r>
        <w:t xml:space="preserve">oblasti zelené ekonomiky (PAGE). </w:t>
      </w:r>
    </w:p>
    <w:p w14:paraId="62D6C7F3" w14:textId="77777777" w:rsidR="00FE445B" w:rsidRPr="00EF2D6B" w:rsidRDefault="00FE445B" w:rsidP="00A3683C">
      <w:pPr>
        <w:rPr>
          <w:lang w:val="en-GB"/>
        </w:rPr>
      </w:pPr>
    </w:p>
    <w:p w14:paraId="64C19BA1" w14:textId="7DAE315C" w:rsidR="00FE445B" w:rsidRPr="00EF2D6B" w:rsidRDefault="001439C2" w:rsidP="00A3683C">
      <w:pPr>
        <w:pStyle w:val="Heading4"/>
        <w:tabs>
          <w:tab w:val="left" w:pos="567"/>
        </w:tabs>
        <w:ind w:left="567" w:hanging="567"/>
      </w:pPr>
      <w:r>
        <w:t>Obrázek doplňuje celá škála multilaterálních dohod týkajících se životního prostředí. Tyto dohody používá převážně OSN</w:t>
      </w:r>
      <w:r w:rsidR="00BD04FB">
        <w:t xml:space="preserve"> a </w:t>
      </w:r>
      <w:r>
        <w:t>pokrývají široké spektrum témat</w:t>
      </w:r>
      <w:r w:rsidR="00BD04FB">
        <w:t xml:space="preserve"> v </w:t>
      </w:r>
      <w:r>
        <w:t>oblasti životního prostředí, jako je biologická rozmanitost, půda, moře, chemické látky</w:t>
      </w:r>
      <w:r w:rsidR="00BD04FB">
        <w:t xml:space="preserve"> a </w:t>
      </w:r>
      <w:r>
        <w:t>nebezpečný odpad nebo atmosféra. EU je smluvní stranou přibližně 30 takovýchto dohod.</w:t>
      </w:r>
    </w:p>
    <w:p w14:paraId="727C4DF8" w14:textId="77777777" w:rsidR="00FE445B" w:rsidRPr="00EF2D6B" w:rsidRDefault="00FE445B" w:rsidP="00A3683C">
      <w:pPr>
        <w:pStyle w:val="Heading3"/>
        <w:numPr>
          <w:ilvl w:val="0"/>
          <w:numId w:val="0"/>
        </w:numPr>
        <w:rPr>
          <w:lang w:val="en-GB"/>
        </w:rPr>
      </w:pPr>
    </w:p>
    <w:p w14:paraId="25C8252C" w14:textId="359D9E17" w:rsidR="00C635B4" w:rsidRPr="00EF2D6B" w:rsidRDefault="002B7E86" w:rsidP="00A3683C">
      <w:pPr>
        <w:pStyle w:val="Heading4"/>
        <w:tabs>
          <w:tab w:val="left" w:pos="567"/>
        </w:tabs>
        <w:ind w:left="567" w:hanging="567"/>
      </w:pPr>
      <w:r>
        <w:t>Vedle sítě OSN poskytuje Výbor pro obchod</w:t>
      </w:r>
      <w:r w:rsidR="00BD04FB">
        <w:t xml:space="preserve"> a </w:t>
      </w:r>
      <w:r>
        <w:t>životní prostředí WTO fórum pro sdílení informací, akce</w:t>
      </w:r>
      <w:r w:rsidR="00BD04FB">
        <w:t xml:space="preserve"> a </w:t>
      </w:r>
      <w:r>
        <w:t>výměnu názorů ohledně obchodu</w:t>
      </w:r>
      <w:r w:rsidR="00BD04FB">
        <w:t xml:space="preserve"> a </w:t>
      </w:r>
      <w:r>
        <w:t>udržitelnosti (</w:t>
      </w:r>
      <w:r w:rsidR="00BD04FB">
        <w:t>např. </w:t>
      </w:r>
      <w:r>
        <w:t>co se týče oběhového hospodářství, dobrovolných iniciativ</w:t>
      </w:r>
      <w:r w:rsidR="00BD04FB">
        <w:t xml:space="preserve"> v </w:t>
      </w:r>
      <w:r>
        <w:t>oblasti norem, reformy dotací na fosilní paliva, plastů atd.).</w:t>
      </w:r>
    </w:p>
    <w:p w14:paraId="0A46C90D" w14:textId="77777777" w:rsidR="00C635B4" w:rsidRPr="00EF2D6B" w:rsidRDefault="00C635B4" w:rsidP="00A3683C">
      <w:pPr>
        <w:rPr>
          <w:lang w:val="en-GB"/>
        </w:rPr>
      </w:pPr>
    </w:p>
    <w:p w14:paraId="589BB6D0" w14:textId="119F4EF4" w:rsidR="00E32214" w:rsidRPr="00EF2D6B" w:rsidRDefault="00C635B4" w:rsidP="001E0CE1">
      <w:pPr>
        <w:pStyle w:val="Heading4"/>
        <w:keepNext/>
        <w:keepLines/>
        <w:tabs>
          <w:tab w:val="left" w:pos="567"/>
        </w:tabs>
        <w:ind w:left="567" w:hanging="567"/>
      </w:pPr>
      <w:r>
        <w:t>Podle judikatury WTO mohou její členové zavést opatření</w:t>
      </w:r>
      <w:r w:rsidR="00BD04FB">
        <w:t xml:space="preserve"> s </w:t>
      </w:r>
      <w:r>
        <w:t>cílem zlepšit zdraví občanů, ochranu životního prostředí nebo zachování biologické rozmanitosti, pokud dodrží stanovená kritéria</w:t>
      </w:r>
      <w:r w:rsidR="00BD04FB">
        <w:t xml:space="preserve"> s </w:t>
      </w:r>
      <w:r>
        <w:t>cílem zajistit dodržení pravidel</w:t>
      </w:r>
      <w:r w:rsidR="00BD04FB">
        <w:t xml:space="preserve"> a </w:t>
      </w:r>
      <w:r>
        <w:t>zvyklostí WTO. Ty</w:t>
      </w:r>
      <w:r w:rsidR="003202BF">
        <w:t>to odchylky, založené na článku </w:t>
      </w:r>
      <w:r>
        <w:t>XX Všeobecné dohody</w:t>
      </w:r>
      <w:r w:rsidR="00BD04FB">
        <w:t xml:space="preserve"> o </w:t>
      </w:r>
      <w:r>
        <w:t>clech</w:t>
      </w:r>
      <w:r w:rsidR="00BD04FB">
        <w:t xml:space="preserve"> a </w:t>
      </w:r>
      <w:r>
        <w:t>obchodu (GATT), se považují za slučitelné</w:t>
      </w:r>
      <w:r w:rsidR="00BD04FB">
        <w:t xml:space="preserve"> s </w:t>
      </w:r>
      <w:r>
        <w:t>pravidly, jsou-li přiměřené</w:t>
      </w:r>
      <w:r w:rsidR="00BD04FB">
        <w:t xml:space="preserve"> a </w:t>
      </w:r>
      <w:r>
        <w:t xml:space="preserve">nediskriminační. Použití těchto opatření nesmí představovat </w:t>
      </w:r>
      <w:r>
        <w:rPr>
          <w:i/>
        </w:rPr>
        <w:t>prostředek svévolné nebo neoprávněné diskriminace</w:t>
      </w:r>
      <w:r>
        <w:t xml:space="preserve"> nebo </w:t>
      </w:r>
      <w:r>
        <w:rPr>
          <w:i/>
        </w:rPr>
        <w:t>skryté omezování mezinárodního obchodu</w:t>
      </w:r>
      <w:r>
        <w:t>.</w:t>
      </w:r>
    </w:p>
    <w:p w14:paraId="68C12127" w14:textId="77777777" w:rsidR="00E32214" w:rsidRPr="00EF2D6B" w:rsidRDefault="00E32214" w:rsidP="00A3683C">
      <w:pPr>
        <w:rPr>
          <w:lang w:val="en-GB"/>
        </w:rPr>
      </w:pPr>
    </w:p>
    <w:p w14:paraId="5421BBF8" w14:textId="5DD17A3A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Generální ředitel WTO Renato Ruggiero na konferenci</w:t>
      </w:r>
      <w:r w:rsidR="00BD04FB">
        <w:t xml:space="preserve"> v </w:t>
      </w:r>
      <w:r>
        <w:t>Bonnu (</w:t>
      </w:r>
      <w:r w:rsidR="00BD04FB">
        <w:t>9. </w:t>
      </w:r>
      <w:r>
        <w:t xml:space="preserve">prosince 1997) velice jasně vymezil hranice toho, co vlády smí nebo nesmí udělat: </w:t>
      </w:r>
      <w:r>
        <w:rPr>
          <w:i/>
        </w:rPr>
        <w:t>Vlády smí použít jakýkoli druh omezení obchodu, včetně dovozních</w:t>
      </w:r>
      <w:r w:rsidR="00BD04FB">
        <w:rPr>
          <w:i/>
        </w:rPr>
        <w:t xml:space="preserve"> a </w:t>
      </w:r>
      <w:r>
        <w:rPr>
          <w:i/>
        </w:rPr>
        <w:t>vývozních kvót či zákazů dovozu</w:t>
      </w:r>
      <w:r w:rsidR="00BD04FB">
        <w:rPr>
          <w:i/>
        </w:rPr>
        <w:t xml:space="preserve"> a </w:t>
      </w:r>
      <w:r>
        <w:rPr>
          <w:i/>
        </w:rPr>
        <w:t>vývozu nebo uvalení daní či jiných poplatků na hranicích za účelem ochrany životního prostředí nebo zachování zdrojů</w:t>
      </w:r>
      <w:r w:rsidR="00BD04FB">
        <w:rPr>
          <w:i/>
        </w:rPr>
        <w:t xml:space="preserve"> v </w:t>
      </w:r>
      <w:r>
        <w:rPr>
          <w:i/>
        </w:rPr>
        <w:t>rámci své jurisdikce, pakliže jsou dodrženy základní požadavky ohledně nediskriminace</w:t>
      </w:r>
      <w:r w:rsidR="00BD04FB">
        <w:rPr>
          <w:i/>
        </w:rPr>
        <w:t xml:space="preserve"> a </w:t>
      </w:r>
      <w:r>
        <w:rPr>
          <w:i/>
        </w:rPr>
        <w:t>nejmenšího možného omezení obchodu. […] Co však země podle pravidel WTO udělat nesmí, je používat omezení obchodu ve snaze změnit postupy</w:t>
      </w:r>
      <w:r w:rsidR="00BD04FB">
        <w:rPr>
          <w:i/>
        </w:rPr>
        <w:t xml:space="preserve"> a </w:t>
      </w:r>
      <w:r>
        <w:rPr>
          <w:i/>
        </w:rPr>
        <w:t>výrobní metody nebo jiné politiky svých obchodních partnerů. Proč?</w:t>
      </w:r>
      <w:r w:rsidR="00BD04FB">
        <w:rPr>
          <w:i/>
        </w:rPr>
        <w:t xml:space="preserve"> V </w:t>
      </w:r>
      <w:r>
        <w:rPr>
          <w:i/>
        </w:rPr>
        <w:t>zásadě proto, že otázka postupů</w:t>
      </w:r>
      <w:r w:rsidR="00BD04FB">
        <w:rPr>
          <w:i/>
        </w:rPr>
        <w:t xml:space="preserve"> a </w:t>
      </w:r>
      <w:r>
        <w:rPr>
          <w:i/>
        </w:rPr>
        <w:t>výrobních metod náleží do svrchované pravomoci každé země.</w:t>
      </w:r>
    </w:p>
    <w:p w14:paraId="2D34FB07" w14:textId="77777777" w:rsidR="00A458AE" w:rsidRPr="00EF2D6B" w:rsidRDefault="00A458AE" w:rsidP="00A3683C">
      <w:pPr>
        <w:rPr>
          <w:lang w:val="en-GB"/>
        </w:rPr>
      </w:pPr>
    </w:p>
    <w:p w14:paraId="648EFE87" w14:textId="2886F82A" w:rsidR="00C635B4" w:rsidRPr="00EF2D6B" w:rsidRDefault="00A458AE" w:rsidP="00A3683C">
      <w:pPr>
        <w:pStyle w:val="Heading4"/>
        <w:tabs>
          <w:tab w:val="left" w:pos="567"/>
        </w:tabs>
        <w:ind w:left="567" w:hanging="567"/>
      </w:pPr>
      <w:r>
        <w:t>Toto omezení, které vylučuje vměšování se do postupů</w:t>
      </w:r>
      <w:r w:rsidR="00BD04FB">
        <w:t xml:space="preserve"> a </w:t>
      </w:r>
      <w:r>
        <w:t>výrobních metod, představuje jasnou překážku pro zavedení pobídek pro výrobu zboží dlouhodobé spotřeby</w:t>
      </w:r>
      <w:r w:rsidR="00BD04FB">
        <w:t xml:space="preserve"> a </w:t>
      </w:r>
      <w:r>
        <w:t>obchod</w:t>
      </w:r>
      <w:r w:rsidR="00BD04FB">
        <w:t xml:space="preserve"> s </w:t>
      </w:r>
      <w:r>
        <w:t>ním.</w:t>
      </w:r>
    </w:p>
    <w:p w14:paraId="5CC769B7" w14:textId="77777777" w:rsidR="00A458AE" w:rsidRPr="00EF2D6B" w:rsidRDefault="00A458AE" w:rsidP="00A3683C">
      <w:pPr>
        <w:rPr>
          <w:lang w:val="en-GB"/>
        </w:rPr>
      </w:pPr>
    </w:p>
    <w:p w14:paraId="692F882A" w14:textId="77623DF9" w:rsidR="00C635B4" w:rsidRPr="00EF2D6B" w:rsidRDefault="00747E84" w:rsidP="00A3683C">
      <w:pPr>
        <w:pStyle w:val="Heading3"/>
        <w:ind w:left="567" w:hanging="567"/>
        <w:rPr>
          <w:b/>
        </w:rPr>
      </w:pPr>
      <w:r>
        <w:rPr>
          <w:b/>
        </w:rPr>
        <w:t>Dvoustranné možnosti nápravy pro větší soudržnost hospodářských, sociálních</w:t>
      </w:r>
      <w:r w:rsidR="00BD04FB">
        <w:rPr>
          <w:b/>
        </w:rPr>
        <w:t xml:space="preserve"> a </w:t>
      </w:r>
      <w:r>
        <w:rPr>
          <w:b/>
        </w:rPr>
        <w:t xml:space="preserve">environmentálních pravidel </w:t>
      </w:r>
    </w:p>
    <w:p w14:paraId="5F87A8AB" w14:textId="77777777" w:rsidR="00C635B4" w:rsidRPr="00EF2D6B" w:rsidRDefault="00C635B4" w:rsidP="00A3683C">
      <w:pPr>
        <w:rPr>
          <w:lang w:val="en-GB"/>
        </w:rPr>
      </w:pPr>
    </w:p>
    <w:p w14:paraId="725E9A29" w14:textId="6E3FB6C9" w:rsidR="00C635B4" w:rsidRPr="00EF2D6B" w:rsidRDefault="00C635B4" w:rsidP="00A3683C">
      <w:pPr>
        <w:pStyle w:val="Heading3"/>
        <w:keepNext/>
        <w:rPr>
          <w:b/>
        </w:rPr>
      </w:pPr>
      <w:r>
        <w:rPr>
          <w:b/>
        </w:rPr>
        <w:t>Výhody</w:t>
      </w:r>
      <w:r w:rsidR="00BD04FB">
        <w:rPr>
          <w:b/>
        </w:rPr>
        <w:t xml:space="preserve"> a </w:t>
      </w:r>
      <w:r>
        <w:rPr>
          <w:b/>
        </w:rPr>
        <w:t>omezení kapitol</w:t>
      </w:r>
      <w:r w:rsidR="00BD04FB">
        <w:rPr>
          <w:b/>
        </w:rPr>
        <w:t xml:space="preserve"> o </w:t>
      </w:r>
      <w:r>
        <w:rPr>
          <w:b/>
        </w:rPr>
        <w:t>obchodu</w:t>
      </w:r>
      <w:r w:rsidR="00BD04FB">
        <w:rPr>
          <w:b/>
        </w:rPr>
        <w:t xml:space="preserve"> a </w:t>
      </w:r>
      <w:r>
        <w:rPr>
          <w:b/>
        </w:rPr>
        <w:t>udržitelném rozvoji</w:t>
      </w:r>
    </w:p>
    <w:p w14:paraId="324D0245" w14:textId="77777777" w:rsidR="00C635B4" w:rsidRPr="00EF2D6B" w:rsidRDefault="00C635B4" w:rsidP="00A3683C">
      <w:pPr>
        <w:pStyle w:val="Heading1"/>
        <w:keepNext/>
        <w:numPr>
          <w:ilvl w:val="0"/>
          <w:numId w:val="0"/>
        </w:numPr>
        <w:rPr>
          <w:lang w:val="en-GB"/>
        </w:rPr>
      </w:pPr>
    </w:p>
    <w:p w14:paraId="4F5CCFC8" w14:textId="65A0111A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EU vytvořila</w:t>
      </w:r>
      <w:r w:rsidR="00BD04FB">
        <w:t xml:space="preserve"> v </w:t>
      </w:r>
      <w:r>
        <w:t>dohodách</w:t>
      </w:r>
      <w:r w:rsidR="00BD04FB">
        <w:t xml:space="preserve"> o </w:t>
      </w:r>
      <w:r>
        <w:t>volném obchodu kapitoly</w:t>
      </w:r>
      <w:r w:rsidR="00BD04FB">
        <w:t xml:space="preserve"> o </w:t>
      </w:r>
      <w:r>
        <w:t>obchodu</w:t>
      </w:r>
      <w:r w:rsidR="00BD04FB">
        <w:t xml:space="preserve"> a </w:t>
      </w:r>
      <w:r>
        <w:t>udržitelném rozvoji</w:t>
      </w:r>
      <w:r w:rsidR="00BD04FB">
        <w:t xml:space="preserve"> s </w:t>
      </w:r>
      <w:r>
        <w:t>cílem zajistit, aby liberalizace obchodu</w:t>
      </w:r>
      <w:r w:rsidR="00BD04FB">
        <w:t xml:space="preserve"> a </w:t>
      </w:r>
      <w:r>
        <w:t>investic nevedla ke zhoršení stavu životního prostředí</w:t>
      </w:r>
      <w:r w:rsidR="00BD04FB">
        <w:t xml:space="preserve"> a </w:t>
      </w:r>
      <w:r>
        <w:t>pracovních podmínek.</w:t>
      </w:r>
    </w:p>
    <w:p w14:paraId="369C06C5" w14:textId="77777777" w:rsidR="00C635B4" w:rsidRPr="00EF2D6B" w:rsidRDefault="00C635B4" w:rsidP="00A3683C">
      <w:pPr>
        <w:rPr>
          <w:lang w:val="en-GB"/>
        </w:rPr>
      </w:pPr>
    </w:p>
    <w:p w14:paraId="1ABC889D" w14:textId="1425EE28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V roce 2017 Soudní dvůr EU uznal zásadní úlohu ustanovení</w:t>
      </w:r>
      <w:r w:rsidR="00BD04FB">
        <w:t xml:space="preserve"> o </w:t>
      </w:r>
      <w:r>
        <w:t>udržitelném rozvoji uvedených</w:t>
      </w:r>
      <w:r w:rsidR="00BD04FB">
        <w:t xml:space="preserve"> v </w:t>
      </w:r>
      <w:r>
        <w:t>dohodě.</w:t>
      </w:r>
      <w:r w:rsidRPr="00EF2D6B">
        <w:rPr>
          <w:rStyle w:val="FootnoteReference"/>
          <w:lang w:val="en-GB"/>
        </w:rPr>
        <w:footnoteReference w:id="6"/>
      </w:r>
    </w:p>
    <w:p w14:paraId="4DD1A8BB" w14:textId="77777777" w:rsidR="00C635B4" w:rsidRPr="00EF2D6B" w:rsidRDefault="00C635B4" w:rsidP="00A3683C">
      <w:pPr>
        <w:rPr>
          <w:lang w:val="en-GB"/>
        </w:rPr>
      </w:pPr>
    </w:p>
    <w:p w14:paraId="7F42E286" w14:textId="2735DDCC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V roce 2018</w:t>
      </w:r>
      <w:r w:rsidRPr="00EF2D6B">
        <w:rPr>
          <w:rStyle w:val="FootnoteReference"/>
          <w:lang w:val="en-GB"/>
        </w:rPr>
        <w:footnoteReference w:id="7"/>
      </w:r>
      <w:r>
        <w:t xml:space="preserve"> požadoval EHSV větší ambicióznost</w:t>
      </w:r>
      <w:r w:rsidR="00BD04FB">
        <w:t xml:space="preserve"> a </w:t>
      </w:r>
      <w:r>
        <w:t>vymahatelnost kapitol</w:t>
      </w:r>
      <w:r w:rsidR="00BD04FB">
        <w:t xml:space="preserve"> o </w:t>
      </w:r>
      <w:r>
        <w:t>obchodu</w:t>
      </w:r>
      <w:r w:rsidR="00BD04FB">
        <w:t xml:space="preserve"> a </w:t>
      </w:r>
      <w:r>
        <w:t>udržitelném rozvoji, které by měly mít stejnou váhu jako kapitoly věnované obchodním, technickým či celním záležitostem.</w:t>
      </w:r>
    </w:p>
    <w:p w14:paraId="43F931A8" w14:textId="77777777" w:rsidR="00C635B4" w:rsidRPr="00EF2D6B" w:rsidRDefault="00C635B4" w:rsidP="00A3683C">
      <w:pPr>
        <w:rPr>
          <w:sz w:val="24"/>
          <w:szCs w:val="24"/>
          <w:lang w:val="en-GB"/>
        </w:rPr>
      </w:pPr>
    </w:p>
    <w:p w14:paraId="49F2C0FD" w14:textId="7F5EFCA2" w:rsidR="00C635B4" w:rsidRPr="00EF2D6B" w:rsidRDefault="00C635B4" w:rsidP="001E0CE1">
      <w:pPr>
        <w:pStyle w:val="Heading4"/>
        <w:keepNext/>
        <w:keepLines/>
        <w:tabs>
          <w:tab w:val="left" w:pos="567"/>
        </w:tabs>
        <w:ind w:left="567" w:hanging="567"/>
      </w:pPr>
      <w:r>
        <w:t>V roce 2016 MOP</w:t>
      </w:r>
      <w:r w:rsidRPr="00EF2D6B">
        <w:rPr>
          <w:rStyle w:val="FootnoteReference"/>
          <w:lang w:val="en-GB"/>
        </w:rPr>
        <w:footnoteReference w:id="8"/>
      </w:r>
      <w:r>
        <w:t xml:space="preserve"> uvedla, že po roce 2088 bylo přijato 63</w:t>
      </w:r>
      <w:r w:rsidR="00BD04FB">
        <w:t> %</w:t>
      </w:r>
      <w:r>
        <w:t xml:space="preserve"> dohod obsahujících ustanovení</w:t>
      </w:r>
      <w:r w:rsidR="00BD04FB">
        <w:t xml:space="preserve"> o </w:t>
      </w:r>
      <w:r>
        <w:t>práci, což naznačuje nárůst,</w:t>
      </w:r>
      <w:r w:rsidR="00BD04FB">
        <w:t xml:space="preserve"> a </w:t>
      </w:r>
      <w:r>
        <w:t>46,8</w:t>
      </w:r>
      <w:r w:rsidR="00BD04FB">
        <w:t> %</w:t>
      </w:r>
      <w:r>
        <w:t xml:space="preserve"> dohod</w:t>
      </w:r>
      <w:r w:rsidR="00BD04FB">
        <w:t xml:space="preserve"> o </w:t>
      </w:r>
      <w:r>
        <w:t>volném obchodu obsahujících ustanovení</w:t>
      </w:r>
      <w:r w:rsidR="00BD04FB">
        <w:t xml:space="preserve"> o </w:t>
      </w:r>
      <w:r>
        <w:t>práci zahrnovalo EU, USA nebo Kanadu. Referenčními texty jsou</w:t>
      </w:r>
      <w:r w:rsidR="00BD04FB">
        <w:t xml:space="preserve"> v </w:t>
      </w:r>
      <w:r>
        <w:t>sestupném pořadí Deklarace</w:t>
      </w:r>
      <w:r w:rsidR="00BD04FB">
        <w:t xml:space="preserve"> o </w:t>
      </w:r>
      <w:r>
        <w:t>základních principech</w:t>
      </w:r>
      <w:r w:rsidR="00BD04FB">
        <w:t xml:space="preserve"> a </w:t>
      </w:r>
      <w:r>
        <w:t>právech</w:t>
      </w:r>
      <w:r w:rsidR="00BD04FB">
        <w:t xml:space="preserve"> v </w:t>
      </w:r>
      <w:r>
        <w:t>práci</w:t>
      </w:r>
      <w:r w:rsidR="00BD04FB">
        <w:t xml:space="preserve"> z </w:t>
      </w:r>
      <w:r>
        <w:t>rok</w:t>
      </w:r>
      <w:r w:rsidR="001E0CE1">
        <w:t>u 1998, Úmluva č. 182 (o dětské </w:t>
      </w:r>
      <w:r>
        <w:t>práci), agenda důstojné práce</w:t>
      </w:r>
      <w:r w:rsidR="00BD04FB">
        <w:t xml:space="preserve"> a </w:t>
      </w:r>
      <w:r>
        <w:t>Deklarace</w:t>
      </w:r>
      <w:r w:rsidR="00BD04FB">
        <w:t xml:space="preserve"> o </w:t>
      </w:r>
      <w:r>
        <w:t>sociální spravedlnosti.</w:t>
      </w:r>
    </w:p>
    <w:p w14:paraId="00E28447" w14:textId="77777777" w:rsidR="00C635B4" w:rsidRPr="00EF2D6B" w:rsidRDefault="00C635B4" w:rsidP="00A3683C">
      <w:pPr>
        <w:rPr>
          <w:lang w:val="en-GB"/>
        </w:rPr>
      </w:pPr>
    </w:p>
    <w:p w14:paraId="0CF94D85" w14:textId="5733ECFE" w:rsidR="00C635B4" w:rsidRPr="00EF2D6B" w:rsidRDefault="009665E4" w:rsidP="00A3683C">
      <w:pPr>
        <w:pStyle w:val="Heading1"/>
        <w:keepNext/>
        <w:rPr>
          <w:b/>
        </w:rPr>
      </w:pPr>
      <w:r>
        <w:rPr>
          <w:b/>
        </w:rPr>
        <w:tab/>
        <w:t>Nový způsob myšlení směřující</w:t>
      </w:r>
      <w:r w:rsidR="00BD04FB">
        <w:rPr>
          <w:b/>
        </w:rPr>
        <w:t xml:space="preserve"> k </w:t>
      </w:r>
      <w:r>
        <w:rPr>
          <w:b/>
        </w:rPr>
        <w:t>návrhu nové multilaterální struktury</w:t>
      </w:r>
    </w:p>
    <w:p w14:paraId="531FA3DC" w14:textId="77777777" w:rsidR="00C635B4" w:rsidRPr="00EF2D6B" w:rsidRDefault="00C635B4" w:rsidP="00A3683C">
      <w:pPr>
        <w:keepNext/>
        <w:rPr>
          <w:lang w:val="en-GB"/>
        </w:rPr>
      </w:pPr>
    </w:p>
    <w:p w14:paraId="7FDE0B44" w14:textId="77777777" w:rsidR="00C635B4" w:rsidRPr="00EF2D6B" w:rsidRDefault="00C635B4" w:rsidP="00A3683C">
      <w:pPr>
        <w:pStyle w:val="Heading2"/>
        <w:keepNext/>
        <w:ind w:left="567" w:hanging="567"/>
        <w:rPr>
          <w:b/>
        </w:rPr>
      </w:pPr>
      <w:r>
        <w:rPr>
          <w:b/>
        </w:rPr>
        <w:t>Obecné předpoklady</w:t>
      </w:r>
    </w:p>
    <w:p w14:paraId="04633E39" w14:textId="77777777" w:rsidR="00C635B4" w:rsidRPr="00EF2D6B" w:rsidRDefault="00C635B4" w:rsidP="00A3683C">
      <w:pPr>
        <w:keepNext/>
        <w:rPr>
          <w:lang w:val="en-GB"/>
        </w:rPr>
      </w:pPr>
    </w:p>
    <w:p w14:paraId="6E56B066" w14:textId="77777777" w:rsidR="00C635B4" w:rsidRPr="00EF2D6B" w:rsidRDefault="00C635B4" w:rsidP="00A3683C">
      <w:pPr>
        <w:pStyle w:val="Heading3"/>
        <w:keepNext/>
        <w:ind w:left="567" w:hanging="567"/>
      </w:pPr>
      <w:r>
        <w:t>Jakékoli nové návrhy ohledně větší soudržnosti by měly dodržovat čtyři základní zásady:</w:t>
      </w:r>
    </w:p>
    <w:p w14:paraId="0EBA32E4" w14:textId="77777777" w:rsidR="009D5B23" w:rsidRPr="00EF2D6B" w:rsidRDefault="009D5B23" w:rsidP="00A3683C">
      <w:pPr>
        <w:keepNext/>
        <w:rPr>
          <w:lang w:val="en-GB"/>
        </w:rPr>
      </w:pPr>
    </w:p>
    <w:p w14:paraId="183F15CB" w14:textId="77777777" w:rsidR="00C635B4" w:rsidRPr="00EF2D6B" w:rsidRDefault="00C635B4" w:rsidP="00A3683C">
      <w:pPr>
        <w:pStyle w:val="ListParagraph"/>
        <w:numPr>
          <w:ilvl w:val="0"/>
          <w:numId w:val="40"/>
        </w:numPr>
        <w:ind w:left="851" w:hanging="284"/>
      </w:pPr>
      <w:r>
        <w:rPr>
          <w:b/>
        </w:rPr>
        <w:t>specializace</w:t>
      </w:r>
      <w:r>
        <w:t xml:space="preserve">: </w:t>
      </w:r>
      <w:r>
        <w:rPr>
          <w:i/>
        </w:rPr>
        <w:t>Mezinárodní organizace disponují pouze těmi pravomocemi, které jim byly svěřeny jejich členskými státy.</w:t>
      </w:r>
      <w:r w:rsidRPr="00EF2D6B">
        <w:rPr>
          <w:rStyle w:val="FootnoteReference"/>
        </w:rPr>
        <w:footnoteReference w:id="9"/>
      </w:r>
      <w:r>
        <w:t>,</w:t>
      </w:r>
    </w:p>
    <w:p w14:paraId="4733D2BB" w14:textId="0D48F87E" w:rsidR="00C635B4" w:rsidRPr="00EF2D6B" w:rsidRDefault="00C635B4" w:rsidP="00A3683C">
      <w:pPr>
        <w:pStyle w:val="ListParagraph"/>
        <w:numPr>
          <w:ilvl w:val="0"/>
          <w:numId w:val="40"/>
        </w:numPr>
        <w:ind w:left="851" w:hanging="284"/>
      </w:pPr>
      <w:r>
        <w:rPr>
          <w:b/>
        </w:rPr>
        <w:t>schopnost rozhodovat</w:t>
      </w:r>
      <w:r>
        <w:t>: organizace mají jasná interní pravidla</w:t>
      </w:r>
      <w:r w:rsidR="00BD04FB">
        <w:t xml:space="preserve"> a </w:t>
      </w:r>
      <w:r>
        <w:t>postupy, které umožňují řídicím subjektům (technickým výborům nebo valným shromážděním) jednat,</w:t>
      </w:r>
    </w:p>
    <w:p w14:paraId="2A281C70" w14:textId="10F2A1CE" w:rsidR="00C635B4" w:rsidRPr="00EF2D6B" w:rsidRDefault="00C635B4" w:rsidP="00A3683C">
      <w:pPr>
        <w:pStyle w:val="ListParagraph"/>
        <w:numPr>
          <w:ilvl w:val="0"/>
          <w:numId w:val="40"/>
        </w:numPr>
        <w:ind w:left="851" w:hanging="284"/>
      </w:pPr>
      <w:r>
        <w:rPr>
          <w:b/>
        </w:rPr>
        <w:t>transparentnost</w:t>
      </w:r>
      <w:r>
        <w:t>:</w:t>
      </w:r>
      <w:r w:rsidR="00BD04FB">
        <w:t xml:space="preserve"> o </w:t>
      </w:r>
      <w:r>
        <w:t>veškerých funkčních změnách, jako je například vytvoření společné skupiny, nový statut či společné prohlášení, je nutné komunikovat transparentně uvnitř</w:t>
      </w:r>
      <w:r w:rsidR="00BD04FB">
        <w:t xml:space="preserve"> i </w:t>
      </w:r>
      <w:r>
        <w:t>navenek,</w:t>
      </w:r>
    </w:p>
    <w:p w14:paraId="5FD7B99F" w14:textId="77777777" w:rsidR="00C635B4" w:rsidRPr="00EF2D6B" w:rsidRDefault="00C635B4" w:rsidP="00A3683C">
      <w:pPr>
        <w:pStyle w:val="ListParagraph"/>
        <w:numPr>
          <w:ilvl w:val="0"/>
          <w:numId w:val="40"/>
        </w:numPr>
        <w:ind w:left="851" w:hanging="284"/>
      </w:pPr>
      <w:r>
        <w:rPr>
          <w:b/>
        </w:rPr>
        <w:t>hodnocení</w:t>
      </w:r>
      <w:r>
        <w:t>: je třeba podporovat vytváření kultury hodnocení vnitřního fungování.</w:t>
      </w:r>
    </w:p>
    <w:p w14:paraId="71F8E6CB" w14:textId="77777777" w:rsidR="00C635B4" w:rsidRPr="00EF2D6B" w:rsidRDefault="00C635B4" w:rsidP="00A3683C">
      <w:pPr>
        <w:rPr>
          <w:lang w:val="en-GB"/>
        </w:rPr>
      </w:pPr>
    </w:p>
    <w:p w14:paraId="74BAF85F" w14:textId="4F71D8DC" w:rsidR="00C635B4" w:rsidRPr="00EF2D6B" w:rsidRDefault="00C635B4" w:rsidP="00A3683C">
      <w:pPr>
        <w:pStyle w:val="Heading3"/>
        <w:ind w:left="567" w:hanging="567"/>
      </w:pPr>
      <w:r>
        <w:t>EHSV ze své podstaty podporuje otevřenější komunikaci</w:t>
      </w:r>
      <w:r w:rsidR="00BD04FB">
        <w:t xml:space="preserve"> a </w:t>
      </w:r>
      <w:r>
        <w:t>konzultace</w:t>
      </w:r>
      <w:r w:rsidR="00BD04FB">
        <w:t xml:space="preserve"> s </w:t>
      </w:r>
      <w:r>
        <w:t>občanskou společností ohledně politik mezinárodních organizací</w:t>
      </w:r>
      <w:r w:rsidR="00BD04FB">
        <w:t xml:space="preserve"> a </w:t>
      </w:r>
      <w:r>
        <w:t>požaduje postupné zavedení stálého dialogu. Vzhledem ke svým zkušenostem je EHSV připraven hrát vedoucí roli coby zprostředkovatel při zavádění takovýchto postupů. WTO, podobně jako UNFCCC</w:t>
      </w:r>
      <w:r w:rsidR="00BD04FB">
        <w:t xml:space="preserve"> a </w:t>
      </w:r>
      <w:r>
        <w:t>OECD, které podporují rozsáhlý dialog</w:t>
      </w:r>
      <w:r w:rsidR="00BD04FB">
        <w:t xml:space="preserve"> s </w:t>
      </w:r>
      <w:r>
        <w:t>celou škálou partnerů, nedávno posílila svou spolupráci</w:t>
      </w:r>
      <w:r w:rsidR="00BD04FB">
        <w:t xml:space="preserve"> s </w:t>
      </w:r>
      <w:r>
        <w:t>občanskou společností nad rámec svého výročního veřejného fóra. Tyto kontakty mohou významně přispět</w:t>
      </w:r>
      <w:r w:rsidR="00BD04FB">
        <w:t xml:space="preserve"> k </w:t>
      </w:r>
      <w:r>
        <w:t>větší efektivitě</w:t>
      </w:r>
      <w:r w:rsidR="00BD04FB">
        <w:t xml:space="preserve"> a </w:t>
      </w:r>
      <w:r>
        <w:t>demokracii</w:t>
      </w:r>
      <w:r w:rsidR="00BD04FB">
        <w:t xml:space="preserve"> v </w:t>
      </w:r>
      <w:r>
        <w:t>multilaterálním systému obchodování. EHSV děkuje Komisi za podporu při posilování hlasu občanské společnosti na mnohostranné úrovni</w:t>
      </w:r>
      <w:r w:rsidR="00BD04FB">
        <w:t xml:space="preserve"> a </w:t>
      </w:r>
      <w:r>
        <w:t>vítá šestý bod nedávno zveřejněného šestibodového akčního plánu Ottawské skupiny</w:t>
      </w:r>
      <w:r w:rsidR="0021504A" w:rsidRPr="00EF2D6B">
        <w:rPr>
          <w:rStyle w:val="FootnoteReference"/>
          <w:bCs/>
          <w:iCs/>
          <w:lang w:val="en-GB"/>
        </w:rPr>
        <w:footnoteReference w:id="10"/>
      </w:r>
      <w:r>
        <w:t>.</w:t>
      </w:r>
    </w:p>
    <w:p w14:paraId="43D753D1" w14:textId="77777777" w:rsidR="00C635B4" w:rsidRPr="00EF2D6B" w:rsidRDefault="00C635B4" w:rsidP="00A3683C">
      <w:pPr>
        <w:rPr>
          <w:lang w:val="en-GB"/>
        </w:rPr>
      </w:pPr>
    </w:p>
    <w:p w14:paraId="36B743C8" w14:textId="0AA99BA7" w:rsidR="00C635B4" w:rsidRPr="00EF2D6B" w:rsidRDefault="00B178BB" w:rsidP="00A3683C">
      <w:pPr>
        <w:pStyle w:val="Heading3"/>
        <w:ind w:left="567" w:hanging="567"/>
      </w:pPr>
      <w:r>
        <w:t>Je také žádoucí ve větší míře uznat vyjednávací kapacitu sociálních partnerů. Třístranná deklarace sociálních partnerů na mezinárodní úrovni spolu se souborem mezinárodních rámcových dohod obsahují užitečná praktická pravidla</w:t>
      </w:r>
      <w:r w:rsidR="00BD04FB">
        <w:t xml:space="preserve"> a </w:t>
      </w:r>
      <w:r>
        <w:t>nástroje (sociální normy, vztahy</w:t>
      </w:r>
      <w:r w:rsidR="00BD04FB">
        <w:t xml:space="preserve"> s </w:t>
      </w:r>
      <w:r>
        <w:t>dodavateli, sociální dialog, boj proti dětské</w:t>
      </w:r>
      <w:r w:rsidR="00BD04FB">
        <w:t xml:space="preserve"> a </w:t>
      </w:r>
      <w:r>
        <w:t>nucené práci).</w:t>
      </w:r>
    </w:p>
    <w:p w14:paraId="2FB014BE" w14:textId="77777777" w:rsidR="00C635B4" w:rsidRPr="00EF2D6B" w:rsidRDefault="00C635B4" w:rsidP="00A3683C">
      <w:pPr>
        <w:rPr>
          <w:lang w:val="en-GB"/>
        </w:rPr>
      </w:pPr>
    </w:p>
    <w:p w14:paraId="111882A3" w14:textId="77777777" w:rsidR="00C635B4" w:rsidRPr="00EF2D6B" w:rsidRDefault="00C635B4" w:rsidP="00A3683C">
      <w:pPr>
        <w:pStyle w:val="Heading2"/>
        <w:keepNext/>
        <w:ind w:left="567" w:hanging="567"/>
        <w:rPr>
          <w:b/>
        </w:rPr>
      </w:pPr>
      <w:r>
        <w:rPr>
          <w:b/>
        </w:rPr>
        <w:t>Sada multilaterálních nástrojů</w:t>
      </w:r>
    </w:p>
    <w:p w14:paraId="745850DF" w14:textId="77777777" w:rsidR="00C635B4" w:rsidRPr="00EF2D6B" w:rsidRDefault="00C635B4" w:rsidP="00A3683C">
      <w:pPr>
        <w:keepNext/>
        <w:rPr>
          <w:lang w:val="en-GB"/>
        </w:rPr>
      </w:pPr>
    </w:p>
    <w:p w14:paraId="7B237AE9" w14:textId="3073BA19" w:rsidR="00C635B4" w:rsidRPr="00EF2D6B" w:rsidRDefault="00C635B4" w:rsidP="00A3683C">
      <w:pPr>
        <w:keepNext/>
        <w:rPr>
          <w:b/>
        </w:rPr>
      </w:pPr>
      <w:r>
        <w:rPr>
          <w:b/>
        </w:rPr>
        <w:t>Začlenění WTO do systému OSN</w:t>
      </w:r>
      <w:r w:rsidR="00BD04FB">
        <w:rPr>
          <w:b/>
        </w:rPr>
        <w:t xml:space="preserve"> z </w:t>
      </w:r>
      <w:r>
        <w:rPr>
          <w:b/>
        </w:rPr>
        <w:t>funkčního hlediska</w:t>
      </w:r>
    </w:p>
    <w:p w14:paraId="1B2F3F3F" w14:textId="77777777" w:rsidR="00C635B4" w:rsidRPr="00EF2D6B" w:rsidRDefault="00C635B4" w:rsidP="00A3683C">
      <w:pPr>
        <w:keepNext/>
        <w:rPr>
          <w:lang w:val="en-GB"/>
        </w:rPr>
      </w:pPr>
    </w:p>
    <w:p w14:paraId="7E9A1E70" w14:textId="30D45E26" w:rsidR="004E2D67" w:rsidRPr="00EF2D6B" w:rsidRDefault="00C635B4" w:rsidP="00A3683C">
      <w:pPr>
        <w:pStyle w:val="Heading3"/>
        <w:ind w:left="567" w:hanging="567"/>
      </w:pPr>
      <w:r>
        <w:t>OSN tvoří se svou sítí specializovaných agentur, jako je MOP, UNESCO, WHO, MMF, Světová banka</w:t>
      </w:r>
      <w:r w:rsidR="00BD04FB">
        <w:t xml:space="preserve"> a </w:t>
      </w:r>
      <w:r>
        <w:t>regionální rozvojové banky, pilíř mezinárodního pořádku</w:t>
      </w:r>
      <w:r w:rsidR="00BD04FB">
        <w:t xml:space="preserve"> I </w:t>
      </w:r>
      <w:r>
        <w:t>když obchodní pravidla musí přispět</w:t>
      </w:r>
      <w:r w:rsidR="00BD04FB">
        <w:t xml:space="preserve"> k </w:t>
      </w:r>
      <w:r>
        <w:t>dosažení cílů udržitelného rozvoje, byla WTO zřízena jako nezávislá organizace</w:t>
      </w:r>
      <w:r w:rsidR="00BD04FB">
        <w:t xml:space="preserve"> a </w:t>
      </w:r>
      <w:r>
        <w:t>zůstává mimo systém OSN. Generální ředitel WTO se nicméně účastní zasedání Koordinačního výboru výkonných ředitelů (CEB) OSN spolu se všemi generálními řediteli specializovaných agentur</w:t>
      </w:r>
      <w:r w:rsidR="00BD04FB">
        <w:t xml:space="preserve"> a </w:t>
      </w:r>
      <w:r>
        <w:t>dalších hlavních orgánů OSN. EHSV navrhuje, aby WTO informovala CEB</w:t>
      </w:r>
      <w:r w:rsidR="00BD04FB">
        <w:t xml:space="preserve"> o </w:t>
      </w:r>
      <w:r>
        <w:t>veškerých úspěších systému obchodních pravidel, které by přispěly ke splnění cílů udržitelného rozvoje.</w:t>
      </w:r>
    </w:p>
    <w:p w14:paraId="798EA49F" w14:textId="77777777" w:rsidR="005B4184" w:rsidRPr="00EF2D6B" w:rsidRDefault="005B4184" w:rsidP="00A3683C">
      <w:pPr>
        <w:rPr>
          <w:lang w:val="en-GB"/>
        </w:rPr>
      </w:pPr>
    </w:p>
    <w:p w14:paraId="704E645D" w14:textId="25AC0BCA" w:rsidR="00C635B4" w:rsidRPr="00EF2D6B" w:rsidRDefault="00C635B4" w:rsidP="00A3683C">
      <w:pPr>
        <w:pStyle w:val="Heading3"/>
        <w:ind w:left="567" w:hanging="567"/>
      </w:pPr>
      <w:r>
        <w:t xml:space="preserve">Výslovný odkaz na </w:t>
      </w:r>
      <w:r>
        <w:rPr>
          <w:i/>
        </w:rPr>
        <w:t>udržitelný rozvoj</w:t>
      </w:r>
      <w:r w:rsidR="00BD04FB">
        <w:t xml:space="preserve"> v </w:t>
      </w:r>
      <w:r>
        <w:t>preambuli dohody WTO</w:t>
      </w:r>
      <w:r w:rsidR="00BD04FB">
        <w:t xml:space="preserve"> z </w:t>
      </w:r>
      <w:r>
        <w:t>roku 1994 je nutné chápat jako zahrnutí cílů udržitelného rozvoje, které ztělesňují novou, všeobecně platnou definici udržitelnosti</w:t>
      </w:r>
      <w:r w:rsidR="00BD04FB">
        <w:t xml:space="preserve"> v </w:t>
      </w:r>
      <w:r>
        <w:t>mezinárodním právu. WTO již to podle všeho akceptuje, neboť</w:t>
      </w:r>
      <w:r w:rsidR="00BD04FB">
        <w:t xml:space="preserve"> o </w:t>
      </w:r>
      <w:r>
        <w:t>sobě na svých internetových stránkách hovoří jako</w:t>
      </w:r>
      <w:r w:rsidR="00BD04FB">
        <w:t xml:space="preserve"> o </w:t>
      </w:r>
      <w:r>
        <w:t>klíčovém prvku dosažení cílů udržitelného rozvoje.</w:t>
      </w:r>
    </w:p>
    <w:p w14:paraId="0A6D46B0" w14:textId="77777777" w:rsidR="00C635B4" w:rsidRPr="00EF2D6B" w:rsidRDefault="00C635B4" w:rsidP="00A3683C">
      <w:pPr>
        <w:rPr>
          <w:lang w:val="en-GB"/>
        </w:rPr>
      </w:pPr>
    </w:p>
    <w:p w14:paraId="1D3D8E01" w14:textId="77777777" w:rsidR="00C635B4" w:rsidRPr="00EF2D6B" w:rsidRDefault="00C635B4" w:rsidP="00A3683C">
      <w:pPr>
        <w:keepNext/>
        <w:rPr>
          <w:b/>
        </w:rPr>
      </w:pPr>
      <w:r>
        <w:rPr>
          <w:b/>
        </w:rPr>
        <w:t>Další propojení samostatných souborů pravidel</w:t>
      </w:r>
    </w:p>
    <w:p w14:paraId="5D7D7B74" w14:textId="77777777" w:rsidR="00C635B4" w:rsidRPr="00EF2D6B" w:rsidRDefault="00C635B4" w:rsidP="00A3683C">
      <w:pPr>
        <w:keepNext/>
        <w:rPr>
          <w:lang w:val="en-GB"/>
        </w:rPr>
      </w:pPr>
    </w:p>
    <w:p w14:paraId="31F5E8BC" w14:textId="37118244" w:rsidR="00C635B4" w:rsidRPr="00EF2D6B" w:rsidRDefault="00C635B4" w:rsidP="00A3683C">
      <w:pPr>
        <w:pStyle w:val="Heading3"/>
        <w:keepNext/>
        <w:rPr>
          <w:b/>
        </w:rPr>
      </w:pPr>
      <w:r>
        <w:rPr>
          <w:b/>
        </w:rPr>
        <w:t>Přísnější pravidla týkající se sociálních otázek</w:t>
      </w:r>
      <w:r w:rsidR="00BD04FB">
        <w:rPr>
          <w:b/>
        </w:rPr>
        <w:t xml:space="preserve"> a </w:t>
      </w:r>
      <w:r>
        <w:rPr>
          <w:b/>
        </w:rPr>
        <w:t>životního prostředí</w:t>
      </w:r>
    </w:p>
    <w:p w14:paraId="41EE34BC" w14:textId="77777777" w:rsidR="00C635B4" w:rsidRPr="00EF2D6B" w:rsidRDefault="00C635B4" w:rsidP="00A3683C">
      <w:pPr>
        <w:keepNext/>
        <w:rPr>
          <w:lang w:val="en-GB"/>
        </w:rPr>
      </w:pPr>
    </w:p>
    <w:p w14:paraId="6A69F23A" w14:textId="6424F33C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V roce 2018 zveřejnila MOP několik studií týkajících se celkového potenciálního dopadu Pařížské dohody, ekologické transformace</w:t>
      </w:r>
      <w:r w:rsidR="00BD04FB">
        <w:t xml:space="preserve"> a </w:t>
      </w:r>
      <w:r>
        <w:t>dovedností</w:t>
      </w:r>
      <w:r w:rsidRPr="00EF2D6B">
        <w:rPr>
          <w:rStyle w:val="FootnoteReference"/>
          <w:lang w:val="en-GB"/>
        </w:rPr>
        <w:footnoteReference w:id="11"/>
      </w:r>
      <w:r>
        <w:t xml:space="preserve"> nebo dovedností pro zelenější budoucnost</w:t>
      </w:r>
      <w:r w:rsidR="00BD04FB">
        <w:t xml:space="preserve"> a </w:t>
      </w:r>
      <w:r>
        <w:t>dopadu oteplování na pracovní podmínky</w:t>
      </w:r>
      <w:r w:rsidRPr="00EF2D6B">
        <w:rPr>
          <w:rStyle w:val="FootnoteReference"/>
          <w:lang w:val="en-GB"/>
        </w:rPr>
        <w:footnoteReference w:id="12"/>
      </w:r>
      <w:r>
        <w:t xml:space="preserve">. </w:t>
      </w:r>
    </w:p>
    <w:p w14:paraId="7D7E846B" w14:textId="77777777" w:rsidR="00C635B4" w:rsidRPr="00EF2D6B" w:rsidRDefault="00C635B4" w:rsidP="00A3683C">
      <w:pPr>
        <w:rPr>
          <w:lang w:val="en-GB"/>
        </w:rPr>
      </w:pPr>
    </w:p>
    <w:p w14:paraId="79AAE58B" w14:textId="5A19E004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EHSV požaduje větší publicitu těchto zpráv</w:t>
      </w:r>
      <w:r w:rsidR="00BD04FB">
        <w:t xml:space="preserve"> a </w:t>
      </w:r>
      <w:r>
        <w:t>podporuje uspořádání regionálních workshopů financovaných EK</w:t>
      </w:r>
      <w:r w:rsidR="00BD04FB">
        <w:t xml:space="preserve"> v </w:t>
      </w:r>
      <w:r>
        <w:t>rozvojových zemích, zejména pak</w:t>
      </w:r>
      <w:r w:rsidR="00BD04FB">
        <w:t xml:space="preserve"> v </w:t>
      </w:r>
      <w:r>
        <w:t>nejméně rozvinutých zemích</w:t>
      </w:r>
      <w:r w:rsidR="00BD04FB">
        <w:t xml:space="preserve"> a </w:t>
      </w:r>
      <w:r>
        <w:t>ostrovních</w:t>
      </w:r>
      <w:r w:rsidR="00BD04FB">
        <w:t xml:space="preserve"> a </w:t>
      </w:r>
      <w:r>
        <w:t>zranitelných ekonomikách, na které mají kruté důsledky globálního oteplování největší sociální dopad.</w:t>
      </w:r>
    </w:p>
    <w:p w14:paraId="2C34FC42" w14:textId="77777777" w:rsidR="00C635B4" w:rsidRPr="00EF2D6B" w:rsidRDefault="00C635B4" w:rsidP="00A3683C">
      <w:pPr>
        <w:rPr>
          <w:lang w:val="en-GB"/>
        </w:rPr>
      </w:pPr>
    </w:p>
    <w:p w14:paraId="07BE4613" w14:textId="19B9BA3D" w:rsidR="00C635B4" w:rsidRPr="00EF2D6B" w:rsidRDefault="005151D1" w:rsidP="00A3683C">
      <w:pPr>
        <w:pStyle w:val="Heading4"/>
        <w:tabs>
          <w:tab w:val="left" w:pos="567"/>
        </w:tabs>
        <w:ind w:left="567" w:hanging="567"/>
      </w:pPr>
      <w:r>
        <w:t xml:space="preserve">V roce 2015 zveřejnila MOP </w:t>
      </w:r>
      <w:r>
        <w:rPr>
          <w:i/>
        </w:rPr>
        <w:t>Pokyny pro spravedlivý přechod</w:t>
      </w:r>
      <w:r w:rsidR="00BD04FB">
        <w:rPr>
          <w:i/>
        </w:rPr>
        <w:t xml:space="preserve"> k </w:t>
      </w:r>
      <w:r>
        <w:rPr>
          <w:i/>
        </w:rPr>
        <w:t>environmentálně udržitelným ekonomikám</w:t>
      </w:r>
      <w:r w:rsidR="00BD04FB">
        <w:rPr>
          <w:i/>
        </w:rPr>
        <w:t xml:space="preserve"> a </w:t>
      </w:r>
      <w:r>
        <w:rPr>
          <w:i/>
        </w:rPr>
        <w:t>společnostem pro všechny</w:t>
      </w:r>
      <w:r>
        <w:t>. EHSV navrhuje, aby se tyto pokyny více využívaly ve všech útvarech Komise při jejich normalizačních činnostech. Mimoto by na programu správní rady MOP měla být aktualizace těchto pokynů.</w:t>
      </w:r>
    </w:p>
    <w:p w14:paraId="2992EF11" w14:textId="77777777" w:rsidR="00C635B4" w:rsidRPr="00EF2D6B" w:rsidRDefault="00C635B4" w:rsidP="00A3683C">
      <w:pPr>
        <w:rPr>
          <w:lang w:val="en-GB"/>
        </w:rPr>
      </w:pPr>
    </w:p>
    <w:p w14:paraId="04EA2071" w14:textId="304BA687" w:rsidR="00C635B4" w:rsidRPr="00EF2D6B" w:rsidRDefault="00C635B4" w:rsidP="001E0CE1">
      <w:pPr>
        <w:pStyle w:val="Heading3"/>
        <w:keepNext/>
        <w:keepLines/>
        <w:rPr>
          <w:b/>
        </w:rPr>
      </w:pPr>
      <w:r>
        <w:rPr>
          <w:b/>
        </w:rPr>
        <w:t>Větší propojení obchodních pravidel</w:t>
      </w:r>
      <w:r w:rsidR="00BD04FB">
        <w:rPr>
          <w:b/>
        </w:rPr>
        <w:t xml:space="preserve"> a </w:t>
      </w:r>
      <w:r>
        <w:rPr>
          <w:b/>
        </w:rPr>
        <w:t xml:space="preserve">sociálních norem </w:t>
      </w:r>
    </w:p>
    <w:p w14:paraId="24EB4A8C" w14:textId="77777777" w:rsidR="00C635B4" w:rsidRPr="00EF2D6B" w:rsidRDefault="00C635B4" w:rsidP="001E0CE1">
      <w:pPr>
        <w:keepNext/>
        <w:keepLines/>
        <w:rPr>
          <w:lang w:val="en-GB"/>
        </w:rPr>
      </w:pPr>
    </w:p>
    <w:p w14:paraId="719798E0" w14:textId="48627588" w:rsidR="00C635B4" w:rsidRPr="00EF2D6B" w:rsidRDefault="00C635B4" w:rsidP="001E0CE1">
      <w:pPr>
        <w:pStyle w:val="Heading4"/>
        <w:keepNext/>
        <w:keepLines/>
        <w:tabs>
          <w:tab w:val="left" w:pos="567"/>
        </w:tabs>
        <w:ind w:left="567" w:hanging="567"/>
      </w:pPr>
      <w:r>
        <w:t>S ohledem na vzájemnost by si EHSV přál, aby WTO udělila MOP status formálního pozorovatele na schůzích svých hlavních orgánů</w:t>
      </w:r>
      <w:r w:rsidR="00BD04FB">
        <w:t xml:space="preserve"> a </w:t>
      </w:r>
      <w:r>
        <w:t>výborů. Kromě oficiální účasti MOP na ministerských konferencích WTO by to podpořilo zapojení MOP do interních orgánů WTO</w:t>
      </w:r>
      <w:r w:rsidR="00BD04FB">
        <w:t xml:space="preserve"> a </w:t>
      </w:r>
      <w:r>
        <w:t>mohlo by to přispět</w:t>
      </w:r>
      <w:r w:rsidR="00BD04FB">
        <w:t xml:space="preserve"> k </w:t>
      </w:r>
      <w:r>
        <w:t>začlenění dodržování mezinárodních pracovních norem do mechanismu WTO pro přezkumy obchodních politik. EHSV navrhuje, aby byla vytvořena specializovaná dočasná pracovní skupina mezi sekretariáty WTO</w:t>
      </w:r>
      <w:r w:rsidR="00BD04FB">
        <w:t xml:space="preserve"> a </w:t>
      </w:r>
      <w:r>
        <w:t>MOP, která by vypracovala</w:t>
      </w:r>
      <w:r w:rsidR="00BD04FB">
        <w:t xml:space="preserve"> a </w:t>
      </w:r>
      <w:r>
        <w:t>představila pokyny,</w:t>
      </w:r>
      <w:r w:rsidR="00BD04FB">
        <w:t xml:space="preserve"> a </w:t>
      </w:r>
      <w:r>
        <w:t>to do června 2021.</w:t>
      </w:r>
    </w:p>
    <w:p w14:paraId="5FD0B62B" w14:textId="77777777" w:rsidR="000E5977" w:rsidRPr="00EF2D6B" w:rsidRDefault="000E5977" w:rsidP="00A3683C">
      <w:pPr>
        <w:pStyle w:val="Heading3"/>
        <w:numPr>
          <w:ilvl w:val="0"/>
          <w:numId w:val="0"/>
        </w:numPr>
        <w:rPr>
          <w:lang w:val="en-GB"/>
        </w:rPr>
      </w:pPr>
    </w:p>
    <w:p w14:paraId="64E985EE" w14:textId="66E0345D" w:rsidR="000E5977" w:rsidRPr="00EF2D6B" w:rsidRDefault="000E5977" w:rsidP="00A3683C">
      <w:pPr>
        <w:pStyle w:val="Heading4"/>
        <w:tabs>
          <w:tab w:val="left" w:pos="567"/>
        </w:tabs>
        <w:ind w:left="567" w:hanging="567"/>
      </w:pPr>
      <w:r>
        <w:t>Kromě toho by vzhledem</w:t>
      </w:r>
      <w:r w:rsidR="00BD04FB">
        <w:t xml:space="preserve"> k </w:t>
      </w:r>
      <w:r>
        <w:t xml:space="preserve">dopadu pandemie COVID-19 na globální hodnotové řetězce měla být oživena Světová komise MOP pro sociální rozměr globalizace. EHSV, </w:t>
      </w:r>
      <w:r>
        <w:rPr>
          <w:i/>
          <w:iCs/>
          <w:u w:val="single"/>
        </w:rPr>
        <w:t>vycházeje ze svého stanoviska</w:t>
      </w:r>
      <w:r w:rsidR="00BD04FB">
        <w:rPr>
          <w:i/>
          <w:iCs/>
          <w:u w:val="single"/>
        </w:rPr>
        <w:t xml:space="preserve"> k </w:t>
      </w:r>
      <w:r>
        <w:rPr>
          <w:i/>
          <w:iCs/>
          <w:u w:val="single"/>
        </w:rPr>
        <w:t>závazné smlouvě OSN</w:t>
      </w:r>
      <w:r w:rsidR="00911326" w:rsidRPr="00EF2D6B">
        <w:rPr>
          <w:rStyle w:val="FootnoteReference"/>
          <w:i/>
          <w:iCs/>
          <w:u w:val="single"/>
          <w:lang w:val="en-GB"/>
        </w:rPr>
        <w:footnoteReference w:id="13"/>
      </w:r>
      <w:r>
        <w:t xml:space="preserve">, se </w:t>
      </w:r>
      <w:r>
        <w:rPr>
          <w:i/>
          <w:iCs/>
          <w:u w:val="single"/>
        </w:rPr>
        <w:t>během německého předsednictví EU</w:t>
      </w:r>
      <w:r>
        <w:t xml:space="preserve"> zasazuje</w:t>
      </w:r>
      <w:r w:rsidR="00BD04FB">
        <w:t xml:space="preserve"> o </w:t>
      </w:r>
      <w:r>
        <w:t>účinný regulační rámec, který by zajistil dodržování lidských práv</w:t>
      </w:r>
      <w:r w:rsidR="00BD04FB">
        <w:t xml:space="preserve"> a </w:t>
      </w:r>
      <w:r>
        <w:t>důstojné práce</w:t>
      </w:r>
      <w:r w:rsidR="00BD04FB">
        <w:t xml:space="preserve"> v </w:t>
      </w:r>
      <w:r>
        <w:t>globálních hodnotových řetězcích</w:t>
      </w:r>
      <w:r w:rsidR="00BD04FB">
        <w:t xml:space="preserve"> a </w:t>
      </w:r>
      <w:r>
        <w:t>který by zahrnoval evropský akční plán</w:t>
      </w:r>
      <w:r w:rsidR="00BD04FB">
        <w:t xml:space="preserve"> s </w:t>
      </w:r>
      <w:r>
        <w:t>legislativními nástroji</w:t>
      </w:r>
      <w:r w:rsidR="00BD04FB">
        <w:t xml:space="preserve"> a </w:t>
      </w:r>
      <w:r>
        <w:t>hmatatelnými výsledky</w:t>
      </w:r>
      <w:r w:rsidR="00BD04FB">
        <w:t xml:space="preserve"> a </w:t>
      </w:r>
      <w:r>
        <w:t>ambiciózní</w:t>
      </w:r>
      <w:r w:rsidR="00BD04FB">
        <w:t xml:space="preserve"> a </w:t>
      </w:r>
      <w:r>
        <w:t>účinná normativní opatření na celosvětové úrovni. Přispět zde prostřednictvím své úlohy musí MOP</w:t>
      </w:r>
      <w:r w:rsidR="00BD04FB">
        <w:t xml:space="preserve"> i </w:t>
      </w:r>
      <w:r>
        <w:t>WTO.</w:t>
      </w:r>
    </w:p>
    <w:p w14:paraId="6DC3F465" w14:textId="77777777" w:rsidR="000E5977" w:rsidRPr="00EF2D6B" w:rsidRDefault="000E5977" w:rsidP="00A3683C">
      <w:pPr>
        <w:pStyle w:val="Heading3"/>
        <w:numPr>
          <w:ilvl w:val="0"/>
          <w:numId w:val="0"/>
        </w:numPr>
        <w:rPr>
          <w:lang w:val="en-GB"/>
        </w:rPr>
      </w:pPr>
    </w:p>
    <w:p w14:paraId="1183A6FA" w14:textId="32279E01" w:rsidR="00E77D52" w:rsidRPr="00EF2D6B" w:rsidRDefault="00E77D52" w:rsidP="00A3683C">
      <w:pPr>
        <w:pStyle w:val="Heading4"/>
        <w:tabs>
          <w:tab w:val="left" w:pos="567"/>
        </w:tabs>
        <w:ind w:left="567" w:hanging="567"/>
      </w:pPr>
      <w:r>
        <w:t>V procesu přezkumu regionálních</w:t>
      </w:r>
      <w:r w:rsidR="00BD04FB">
        <w:t xml:space="preserve"> a </w:t>
      </w:r>
      <w:r>
        <w:t>dvoustranných obchodních ujednání, jejichž počet</w:t>
      </w:r>
      <w:r w:rsidR="00BD04FB">
        <w:t xml:space="preserve"> a </w:t>
      </w:r>
      <w:r>
        <w:t>zeměpisné pokrytí neustále rostou, musí WTO sehrát novou úlohu</w:t>
      </w:r>
      <w:r w:rsidR="00BD04FB">
        <w:t xml:space="preserve"> v </w:t>
      </w:r>
      <w:r>
        <w:t>oblasti ustanovení týkajících se práce. Jelikož většina dohod</w:t>
      </w:r>
      <w:r w:rsidR="00BD04FB">
        <w:t xml:space="preserve"> o </w:t>
      </w:r>
      <w:r>
        <w:t>volném obchodu obsahuje ustanovení týkající se práce, měl by sekretariát WTO shromáždit, porovnat</w:t>
      </w:r>
      <w:r w:rsidR="00BD04FB">
        <w:t xml:space="preserve"> a </w:t>
      </w:r>
      <w:r>
        <w:t>sledovat tento nový korpus. Na tomto sledování by se mohla</w:t>
      </w:r>
      <w:r w:rsidR="00BD04FB">
        <w:t xml:space="preserve"> v </w:t>
      </w:r>
      <w:r>
        <w:t>rámci svého akčního plánu</w:t>
      </w:r>
      <w:r w:rsidR="00BD04FB">
        <w:t xml:space="preserve"> v </w:t>
      </w:r>
      <w:r>
        <w:t>oblasti důstojné práce</w:t>
      </w:r>
      <w:r w:rsidR="00BD04FB">
        <w:t xml:space="preserve"> v </w:t>
      </w:r>
      <w:r>
        <w:t>globálních dodavatelských řetězcích podílet MOP</w:t>
      </w:r>
      <w:r w:rsidR="00BD04FB">
        <w:t xml:space="preserve"> a </w:t>
      </w:r>
      <w:r>
        <w:t>jeho výsledkem by mohla být další spolupráce mezi MOP</w:t>
      </w:r>
      <w:r w:rsidR="00BD04FB">
        <w:t xml:space="preserve"> a </w:t>
      </w:r>
      <w:r>
        <w:t>WTO.</w:t>
      </w:r>
    </w:p>
    <w:p w14:paraId="02A98809" w14:textId="77777777" w:rsidR="00EA012E" w:rsidRPr="00EF2D6B" w:rsidRDefault="00EA012E" w:rsidP="00A3683C">
      <w:pPr>
        <w:rPr>
          <w:lang w:val="en-GB"/>
        </w:rPr>
      </w:pPr>
    </w:p>
    <w:p w14:paraId="3CD47220" w14:textId="569F296C" w:rsidR="00C635B4" w:rsidRPr="00EF2D6B" w:rsidRDefault="00C635B4" w:rsidP="00A3683C">
      <w:pPr>
        <w:pStyle w:val="Heading3"/>
        <w:keepNext/>
        <w:rPr>
          <w:b/>
        </w:rPr>
      </w:pPr>
      <w:r>
        <w:rPr>
          <w:b/>
        </w:rPr>
        <w:t>Větší propojení pravidel</w:t>
      </w:r>
      <w:r w:rsidR="00BD04FB">
        <w:rPr>
          <w:b/>
        </w:rPr>
        <w:t xml:space="preserve"> a </w:t>
      </w:r>
      <w:r>
        <w:rPr>
          <w:b/>
        </w:rPr>
        <w:t>politik týkajících se obchodu</w:t>
      </w:r>
      <w:r w:rsidR="00BD04FB">
        <w:rPr>
          <w:b/>
        </w:rPr>
        <w:t xml:space="preserve"> a </w:t>
      </w:r>
      <w:r>
        <w:rPr>
          <w:b/>
        </w:rPr>
        <w:t>klimatu</w:t>
      </w:r>
    </w:p>
    <w:p w14:paraId="3D2AF996" w14:textId="77777777" w:rsidR="00C635B4" w:rsidRPr="00EF2D6B" w:rsidRDefault="00C635B4" w:rsidP="00A3683C">
      <w:pPr>
        <w:keepNext/>
        <w:rPr>
          <w:lang w:val="en-GB"/>
        </w:rPr>
      </w:pPr>
    </w:p>
    <w:p w14:paraId="34B5D6AB" w14:textId="7AB3E685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Klimatická výjimka WTO,</w:t>
      </w:r>
      <w:r w:rsidR="00BD04FB">
        <w:t xml:space="preserve"> o </w:t>
      </w:r>
      <w:r>
        <w:t>které se již diskutuje</w:t>
      </w:r>
      <w:r w:rsidR="00BD04FB">
        <w:t xml:space="preserve"> v </w:t>
      </w:r>
      <w:r>
        <w:t>akademických</w:t>
      </w:r>
      <w:r w:rsidR="00BD04FB">
        <w:t xml:space="preserve"> i </w:t>
      </w:r>
      <w:r>
        <w:t>podnikatelských kruzích, by mohla definovat „opatření</w:t>
      </w:r>
      <w:r w:rsidR="00BD04FB">
        <w:t xml:space="preserve"> v </w:t>
      </w:r>
      <w:r>
        <w:t>oblasti klimatu“: charakteristiky, cíle obecného zájmu</w:t>
      </w:r>
      <w:r w:rsidR="00BD04FB">
        <w:t xml:space="preserve"> a </w:t>
      </w:r>
      <w:r>
        <w:t>kritéria slučitelnosti</w:t>
      </w:r>
      <w:r w:rsidR="00BD04FB">
        <w:t xml:space="preserve"> s </w:t>
      </w:r>
      <w:r>
        <w:t>pravidly WTO. Takováto výjimka by členům WTO umožnila zavést opatření</w:t>
      </w:r>
      <w:r w:rsidR="00BD04FB">
        <w:t xml:space="preserve"> v </w:t>
      </w:r>
      <w:r>
        <w:t>oblasti klimatu interně (systém obchodování</w:t>
      </w:r>
      <w:r w:rsidR="00BD04FB">
        <w:t xml:space="preserve"> s </w:t>
      </w:r>
      <w:r>
        <w:t>emisemi) nebo na svých hranicích, což by zajistilo, že tato opatření nebudou představovat maskovaná protekcionistická opatření.</w:t>
      </w:r>
    </w:p>
    <w:p w14:paraId="3EF93C88" w14:textId="77777777" w:rsidR="00C635B4" w:rsidRPr="00EF2D6B" w:rsidRDefault="00C635B4" w:rsidP="00A3683C">
      <w:pPr>
        <w:rPr>
          <w:lang w:val="en-GB"/>
        </w:rPr>
      </w:pPr>
    </w:p>
    <w:p w14:paraId="7A940226" w14:textId="779BA93E" w:rsidR="008700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Pro 1</w:t>
      </w:r>
      <w:r w:rsidR="00BD04FB">
        <w:t>2. </w:t>
      </w:r>
      <w:r>
        <w:t>ministerskou konferenci</w:t>
      </w:r>
      <w:r w:rsidR="00BD04FB">
        <w:t xml:space="preserve"> v </w:t>
      </w:r>
      <w:r>
        <w:t>roce 2021 by měla neformální pracovní skupina WTO připravit ministerské prohlášení WTO věnované obchodu</w:t>
      </w:r>
      <w:r w:rsidR="00BD04FB">
        <w:t xml:space="preserve"> a </w:t>
      </w:r>
      <w:r>
        <w:t>životnímu prostředí, která uzná roli obchodu, obchodní politiky</w:t>
      </w:r>
      <w:r w:rsidR="00BD04FB">
        <w:t xml:space="preserve"> a </w:t>
      </w:r>
      <w:r>
        <w:t>multilaterálního systému obchodování při podpoře úsilí mezinárodního společenství</w:t>
      </w:r>
      <w:r w:rsidR="00BD04FB">
        <w:t xml:space="preserve"> o </w:t>
      </w:r>
      <w:r>
        <w:t>dosažení cílů udržitelného rozvoje</w:t>
      </w:r>
      <w:r w:rsidR="00BD04FB">
        <w:t xml:space="preserve"> a </w:t>
      </w:r>
      <w:r>
        <w:t>dalších sdílených mezinárodních závazků</w:t>
      </w:r>
      <w:r w:rsidR="00BD04FB">
        <w:t xml:space="preserve"> v </w:t>
      </w:r>
      <w:r>
        <w:t>oblasti životního prostředí, jako je Pařížská dohoda. EHSV vybízí Komisi, aby pokračovala ve svém úsilí za tímto účelem.</w:t>
      </w:r>
    </w:p>
    <w:p w14:paraId="1B23565B" w14:textId="77777777" w:rsidR="008700B4" w:rsidRPr="00EF2D6B" w:rsidRDefault="008700B4" w:rsidP="00A3683C">
      <w:pPr>
        <w:rPr>
          <w:lang w:val="en-GB"/>
        </w:rPr>
      </w:pPr>
    </w:p>
    <w:p w14:paraId="35B49FED" w14:textId="7CB82966" w:rsidR="00C635B4" w:rsidRPr="00EF2D6B" w:rsidRDefault="00C635B4" w:rsidP="001E0CE1">
      <w:pPr>
        <w:pStyle w:val="Heading4"/>
        <w:keepNext/>
        <w:keepLines/>
        <w:tabs>
          <w:tab w:val="left" w:pos="567"/>
        </w:tabs>
        <w:ind w:left="567" w:hanging="567"/>
      </w:pPr>
      <w:r>
        <w:t>EHSV žádá Evropskou komisi, aby vyjasnila svůj postoj</w:t>
      </w:r>
      <w:r w:rsidR="00BD04FB">
        <w:t xml:space="preserve"> k </w:t>
      </w:r>
      <w:r>
        <w:t>postupnému ukončování dotací na fosilní paliva</w:t>
      </w:r>
      <w:r w:rsidR="00BD04FB">
        <w:t xml:space="preserve"> v </w:t>
      </w:r>
      <w:r>
        <w:t>EU</w:t>
      </w:r>
      <w:r w:rsidR="00BD04FB">
        <w:t xml:space="preserve"> a </w:t>
      </w:r>
      <w:r>
        <w:t>aby plně podpořila veškeré nové vícestranné iniciativy</w:t>
      </w:r>
      <w:r w:rsidR="00BD04FB">
        <w:t xml:space="preserve"> v </w:t>
      </w:r>
      <w:r>
        <w:t>rámci WTO.</w:t>
      </w:r>
    </w:p>
    <w:p w14:paraId="6D6809C8" w14:textId="77777777" w:rsidR="00C635B4" w:rsidRPr="00EF2D6B" w:rsidRDefault="00C635B4" w:rsidP="00A3683C">
      <w:pPr>
        <w:rPr>
          <w:lang w:val="en-GB"/>
        </w:rPr>
      </w:pPr>
    </w:p>
    <w:p w14:paraId="4B4C30D2" w14:textId="58D7C70F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EHSV požaduje urychlené opětovné zahájení vícestranných jednání WTO</w:t>
      </w:r>
      <w:r w:rsidR="00BD04FB">
        <w:t xml:space="preserve"> o </w:t>
      </w:r>
      <w:r>
        <w:t>dohodě</w:t>
      </w:r>
      <w:r w:rsidR="00BD04FB">
        <w:t xml:space="preserve"> o </w:t>
      </w:r>
      <w:r>
        <w:t>environmentálních produktech. Ta by mělo být úžeji provázána</w:t>
      </w:r>
      <w:r w:rsidR="00BD04FB">
        <w:t xml:space="preserve"> s </w:t>
      </w:r>
      <w:r>
        <w:t xml:space="preserve">Pařížskou dohodou, </w:t>
      </w:r>
      <w:r w:rsidR="00BD04FB">
        <w:t>např. </w:t>
      </w:r>
      <w:r>
        <w:t>prostřednictvím dohody</w:t>
      </w:r>
      <w:r w:rsidR="00BD04FB">
        <w:t xml:space="preserve"> o </w:t>
      </w:r>
      <w:r>
        <w:t>environmentálních produktech</w:t>
      </w:r>
      <w:r w:rsidR="00BD04FB">
        <w:t xml:space="preserve"> a </w:t>
      </w:r>
      <w:r>
        <w:t>službách</w:t>
      </w:r>
      <w:r w:rsidR="00BD04FB">
        <w:t xml:space="preserve"> v </w:t>
      </w:r>
      <w:r>
        <w:t>souvislosti</w:t>
      </w:r>
      <w:r w:rsidR="00BD04FB">
        <w:t xml:space="preserve"> s </w:t>
      </w:r>
      <w:r>
        <w:t>Pařížskou dohodou (PAEGSA), již</w:t>
      </w:r>
      <w:r w:rsidR="00BD04FB">
        <w:t xml:space="preserve"> v </w:t>
      </w:r>
      <w:r>
        <w:t>roce 2019 navrhl Tchai-wan</w:t>
      </w:r>
      <w:r w:rsidR="00BD04FB">
        <w:t xml:space="preserve"> a </w:t>
      </w:r>
      <w:r>
        <w:t>která je založena na odstranění celních sazeb na zboží</w:t>
      </w:r>
      <w:r w:rsidR="00BD04FB">
        <w:t xml:space="preserve"> a </w:t>
      </w:r>
      <w:r>
        <w:t xml:space="preserve">služby související se snižováním emisí uhlíku. </w:t>
      </w:r>
      <w:r w:rsidR="001E0CE1">
        <w:rPr>
          <w:i/>
        </w:rPr>
        <w:t>Zahájení </w:t>
      </w:r>
      <w:r>
        <w:rPr>
          <w:i/>
        </w:rPr>
        <w:t>zcela nových jednání, jako jsou jednání</w:t>
      </w:r>
      <w:r w:rsidR="00BD04FB">
        <w:rPr>
          <w:i/>
        </w:rPr>
        <w:t xml:space="preserve"> o </w:t>
      </w:r>
      <w:r>
        <w:rPr>
          <w:i/>
        </w:rPr>
        <w:t>PAEGSA, jejichž cílem je řešit tak aktuálně významné otázky, jimiž jsou změna klimatu</w:t>
      </w:r>
      <w:r w:rsidR="00BD04FB">
        <w:rPr>
          <w:i/>
        </w:rPr>
        <w:t xml:space="preserve"> a </w:t>
      </w:r>
      <w:r>
        <w:rPr>
          <w:i/>
        </w:rPr>
        <w:t>liberalizace mezinárodního obchodu, bude pro multilaterální systém obchodování klíčovým úspěchem.</w:t>
      </w:r>
      <w:r w:rsidR="0085065B" w:rsidRPr="00EF2D6B">
        <w:rPr>
          <w:sz w:val="24"/>
          <w:szCs w:val="24"/>
          <w:vertAlign w:val="superscript"/>
          <w:lang w:val="en-GB"/>
        </w:rPr>
        <w:footnoteReference w:id="14"/>
      </w:r>
      <w:r>
        <w:t xml:space="preserve"> </w:t>
      </w:r>
    </w:p>
    <w:p w14:paraId="44F9C92C" w14:textId="77777777" w:rsidR="00C635B4" w:rsidRPr="00EF2D6B" w:rsidRDefault="00C635B4" w:rsidP="00A3683C">
      <w:pPr>
        <w:rPr>
          <w:lang w:val="en-GB"/>
        </w:rPr>
      </w:pPr>
    </w:p>
    <w:p w14:paraId="3DA77181" w14:textId="253CCD9F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Za účelem větší soudržnosti by sekretariáty multilaterálních environmentálních dohod měly mít status pozorovatele</w:t>
      </w:r>
      <w:r w:rsidR="00BD04FB">
        <w:t xml:space="preserve"> v </w:t>
      </w:r>
      <w:r>
        <w:t>široké škále výborů WTO, nejen ve Výboru pro obchod</w:t>
      </w:r>
      <w:r w:rsidR="00BD04FB">
        <w:t xml:space="preserve"> a </w:t>
      </w:r>
      <w:r>
        <w:t>životní prostředí (</w:t>
      </w:r>
      <w:r w:rsidR="00BD04FB">
        <w:t>např. </w:t>
      </w:r>
      <w:r>
        <w:t>ve výborech zabývajících se technickými překážkami nebo sanitárními</w:t>
      </w:r>
      <w:r w:rsidR="00BD04FB">
        <w:t xml:space="preserve"> a </w:t>
      </w:r>
      <w:r>
        <w:t>fytosanitárními opatřeními).</w:t>
      </w:r>
    </w:p>
    <w:p w14:paraId="5BBA3781" w14:textId="77777777" w:rsidR="00C635B4" w:rsidRPr="00EF2D6B" w:rsidRDefault="00C635B4" w:rsidP="00A3683C">
      <w:pPr>
        <w:rPr>
          <w:lang w:val="en-GB"/>
        </w:rPr>
      </w:pPr>
    </w:p>
    <w:p w14:paraId="11F0414F" w14:textId="7721AE54" w:rsidR="00C635B4" w:rsidRPr="00EF2D6B" w:rsidRDefault="00C635B4" w:rsidP="00A3683C">
      <w:pPr>
        <w:pStyle w:val="Heading4"/>
        <w:tabs>
          <w:tab w:val="left" w:pos="567"/>
        </w:tabs>
        <w:ind w:left="567" w:hanging="567"/>
      </w:pPr>
      <w:r>
        <w:t>EHSV doporučuje, aby byla vytvořena společná pracovní skupina pro Program OSN pro životní prostředí, UNFCCC</w:t>
      </w:r>
      <w:r w:rsidR="00BD04FB">
        <w:t xml:space="preserve"> a </w:t>
      </w:r>
      <w:r>
        <w:t>WTO. Zabývala by se emisemi skleníkových plynů</w:t>
      </w:r>
      <w:r w:rsidR="00BD04FB">
        <w:t xml:space="preserve"> a </w:t>
      </w:r>
      <w:r>
        <w:t>záležitostmi mezinárodního obchodu</w:t>
      </w:r>
      <w:r w:rsidR="00BD04FB">
        <w:t xml:space="preserve"> a </w:t>
      </w:r>
      <w:r>
        <w:t>vytvářela by metodiky pro měření nebo systémy kompenzací</w:t>
      </w:r>
      <w:r w:rsidR="00BD04FB">
        <w:t xml:space="preserve"> v </w:t>
      </w:r>
      <w:r>
        <w:t>rámci dohod</w:t>
      </w:r>
      <w:r w:rsidR="00BD04FB">
        <w:t xml:space="preserve"> o </w:t>
      </w:r>
      <w:r>
        <w:t>volném obchodu (</w:t>
      </w:r>
      <w:r w:rsidR="00BD04FB">
        <w:t>např. </w:t>
      </w:r>
      <w:r>
        <w:t>prostřednictvím opětovného zalesňování). Vnitrostátně stanovené příspěvky podle Pařížské dohody by měly tyto systémy kompenzací dohodnuté</w:t>
      </w:r>
      <w:r w:rsidR="00BD04FB">
        <w:t xml:space="preserve"> s </w:t>
      </w:r>
      <w:r>
        <w:t>třetími zeměmi brát</w:t>
      </w:r>
      <w:r w:rsidR="00BD04FB">
        <w:t xml:space="preserve"> v </w:t>
      </w:r>
      <w:r>
        <w:t>potaz.</w:t>
      </w:r>
    </w:p>
    <w:p w14:paraId="49062753" w14:textId="77777777" w:rsidR="00C635B4" w:rsidRPr="00EF2D6B" w:rsidRDefault="00C635B4" w:rsidP="00A3683C">
      <w:pPr>
        <w:rPr>
          <w:lang w:val="en-GB"/>
        </w:rPr>
      </w:pPr>
    </w:p>
    <w:p w14:paraId="0C1F7AC4" w14:textId="7E1B5A08" w:rsidR="00C635B4" w:rsidRPr="00EF2D6B" w:rsidRDefault="009665E4" w:rsidP="00A3683C">
      <w:pPr>
        <w:pStyle w:val="Heading1"/>
        <w:keepNext/>
        <w:rPr>
          <w:b/>
        </w:rPr>
      </w:pPr>
      <w:r>
        <w:rPr>
          <w:b/>
        </w:rPr>
        <w:tab/>
        <w:t>Příspěvek EU</w:t>
      </w:r>
      <w:r w:rsidR="00BD04FB">
        <w:rPr>
          <w:b/>
        </w:rPr>
        <w:t xml:space="preserve"> k </w:t>
      </w:r>
      <w:r>
        <w:rPr>
          <w:b/>
        </w:rPr>
        <w:t>novému modelu udržitelného multilateralismu</w:t>
      </w:r>
    </w:p>
    <w:p w14:paraId="2EB55BFD" w14:textId="77777777" w:rsidR="00C635B4" w:rsidRPr="00EF2D6B" w:rsidRDefault="00C635B4" w:rsidP="00A3683C">
      <w:pPr>
        <w:keepNext/>
        <w:rPr>
          <w:lang w:val="en-GB"/>
        </w:rPr>
      </w:pPr>
    </w:p>
    <w:p w14:paraId="7E96C7E2" w14:textId="2258CDCE" w:rsidR="00C635B4" w:rsidRPr="00EF2D6B" w:rsidRDefault="00C635B4" w:rsidP="00A3683C">
      <w:pPr>
        <w:pStyle w:val="Heading2"/>
        <w:ind w:left="567" w:hanging="567"/>
        <w:rPr>
          <w:bCs/>
        </w:rPr>
      </w:pPr>
      <w:r>
        <w:t>S cílem bojovat proti únikům uhlíku podporuje EHSV mechanismus uhlíkového vyrovnání na hranicích EU slučitelný</w:t>
      </w:r>
      <w:r w:rsidR="00BD04FB">
        <w:t xml:space="preserve"> s </w:t>
      </w:r>
      <w:r>
        <w:t>WTO, který by zajistil rovné podmínky pro odvětví</w:t>
      </w:r>
      <w:r w:rsidR="00BD04FB">
        <w:t xml:space="preserve"> s </w:t>
      </w:r>
      <w:r>
        <w:t>vysokými emisemi CO</w:t>
      </w:r>
      <w:r>
        <w:rPr>
          <w:vertAlign w:val="subscript"/>
        </w:rPr>
        <w:t>2</w:t>
      </w:r>
      <w:r w:rsidRPr="00EF2D6B">
        <w:rPr>
          <w:rStyle w:val="FootnoteReference"/>
          <w:lang w:val="en-GB"/>
        </w:rPr>
        <w:footnoteReference w:id="15"/>
      </w:r>
      <w:r>
        <w:t>. EHSV žádá Evropskou komisi, aby dodržela svůj původní časový plán</w:t>
      </w:r>
      <w:r w:rsidR="00BD04FB">
        <w:t xml:space="preserve"> a </w:t>
      </w:r>
      <w:r>
        <w:t>předložila na jaře roku 2021 legislativní návrh. Nedávné posouzení dopadů při zahájení vytváření návrhu (plán) prokázalo podporu, zejména ze strany ocelářského, cementářského, chemického</w:t>
      </w:r>
      <w:r w:rsidR="00BD04FB">
        <w:t xml:space="preserve"> a </w:t>
      </w:r>
      <w:r>
        <w:t>elektroenergetického odvětví.</w:t>
      </w:r>
    </w:p>
    <w:p w14:paraId="797F142C" w14:textId="77777777" w:rsidR="00C635B4" w:rsidRPr="00EF2D6B" w:rsidRDefault="00C635B4" w:rsidP="00A3683C">
      <w:pPr>
        <w:rPr>
          <w:bCs/>
          <w:lang w:val="en-GB"/>
        </w:rPr>
      </w:pPr>
    </w:p>
    <w:p w14:paraId="1B35CB8E" w14:textId="23B37885" w:rsidR="00C635B4" w:rsidRPr="00EF2D6B" w:rsidRDefault="00C635B4" w:rsidP="00A3683C">
      <w:pPr>
        <w:pStyle w:val="Heading2"/>
        <w:ind w:left="567" w:hanging="567"/>
      </w:pPr>
      <w:r>
        <w:t>EHSV zdůrazňuje, že do příštího systému všeobecných celních preferencí (GSP) je důležité zahrnout komplexní sociální</w:t>
      </w:r>
      <w:r w:rsidR="00BD04FB">
        <w:t xml:space="preserve"> a </w:t>
      </w:r>
      <w:r>
        <w:t>environmentální podmíněnost</w:t>
      </w:r>
      <w:r w:rsidR="003202BF">
        <w:t xml:space="preserve"> pro přijímající země (nařízení </w:t>
      </w:r>
      <w:r>
        <w:t>(EU) č. 978/201</w:t>
      </w:r>
      <w:r w:rsidR="00BD04FB">
        <w:t>2. </w:t>
      </w:r>
    </w:p>
    <w:p w14:paraId="79CECBE4" w14:textId="77777777" w:rsidR="00C635B4" w:rsidRPr="00EF2D6B" w:rsidRDefault="00C635B4" w:rsidP="00A3683C">
      <w:pPr>
        <w:rPr>
          <w:lang w:val="en-GB"/>
        </w:rPr>
      </w:pPr>
    </w:p>
    <w:p w14:paraId="0D70EAB5" w14:textId="562AD202" w:rsidR="00C635B4" w:rsidRPr="00EF2D6B" w:rsidRDefault="00C635B4" w:rsidP="00A3683C">
      <w:pPr>
        <w:pStyle w:val="Heading2"/>
        <w:keepNext/>
        <w:ind w:left="567" w:hanging="567"/>
        <w:rPr>
          <w:b/>
        </w:rPr>
      </w:pPr>
      <w:r>
        <w:rPr>
          <w:b/>
        </w:rPr>
        <w:t>Silnější ustanovení týkající se udržitelného rozvoje</w:t>
      </w:r>
      <w:r w:rsidR="00BD04FB">
        <w:rPr>
          <w:b/>
        </w:rPr>
        <w:t xml:space="preserve"> v </w:t>
      </w:r>
      <w:r>
        <w:rPr>
          <w:b/>
        </w:rPr>
        <w:t>dohodách</w:t>
      </w:r>
      <w:r w:rsidR="00BD04FB">
        <w:rPr>
          <w:b/>
        </w:rPr>
        <w:t xml:space="preserve"> o </w:t>
      </w:r>
      <w:r>
        <w:rPr>
          <w:b/>
        </w:rPr>
        <w:t>volném obchodu</w:t>
      </w:r>
    </w:p>
    <w:p w14:paraId="3FE8E56A" w14:textId="77777777" w:rsidR="00C635B4" w:rsidRPr="00EF2D6B" w:rsidRDefault="00C635B4" w:rsidP="00A3683C">
      <w:pPr>
        <w:keepNext/>
        <w:rPr>
          <w:lang w:val="en-GB"/>
        </w:rPr>
      </w:pPr>
    </w:p>
    <w:p w14:paraId="64B5EE2B" w14:textId="554D3B50" w:rsidR="00C635B4" w:rsidRPr="00EF2D6B" w:rsidRDefault="00C635B4" w:rsidP="00A3683C">
      <w:pPr>
        <w:pStyle w:val="Heading3"/>
        <w:keepNext/>
        <w:ind w:left="567" w:hanging="567"/>
      </w:pPr>
      <w:r>
        <w:t>Kapitoly</w:t>
      </w:r>
      <w:r w:rsidR="00BD04FB">
        <w:t xml:space="preserve"> o </w:t>
      </w:r>
      <w:r>
        <w:t>obchodu</w:t>
      </w:r>
      <w:r w:rsidR="00BD04FB">
        <w:t xml:space="preserve"> a </w:t>
      </w:r>
      <w:r>
        <w:t>udržitelném rozvoji</w:t>
      </w:r>
      <w:r w:rsidR="00BD04FB">
        <w:t xml:space="preserve"> v </w:t>
      </w:r>
      <w:r>
        <w:t>obchodních</w:t>
      </w:r>
      <w:r w:rsidR="00BD04FB">
        <w:t xml:space="preserve"> a </w:t>
      </w:r>
      <w:r>
        <w:t xml:space="preserve">investičních dohodách EU by měly být posíleny. </w:t>
      </w:r>
    </w:p>
    <w:p w14:paraId="327EDF95" w14:textId="77777777" w:rsidR="00622553" w:rsidRPr="00EF2D6B" w:rsidRDefault="00622553" w:rsidP="00A3683C">
      <w:pPr>
        <w:keepNext/>
        <w:rPr>
          <w:lang w:val="en-GB"/>
        </w:rPr>
      </w:pPr>
    </w:p>
    <w:p w14:paraId="4854298D" w14:textId="250778EE" w:rsidR="00C635B4" w:rsidRPr="00EF2D6B" w:rsidRDefault="00C635B4" w:rsidP="00A3683C">
      <w:pPr>
        <w:pStyle w:val="ListParagraph"/>
        <w:numPr>
          <w:ilvl w:val="0"/>
          <w:numId w:val="68"/>
        </w:numPr>
        <w:ind w:left="851" w:hanging="284"/>
      </w:pPr>
      <w:r>
        <w:t>Jak doporučil Evropský parlament, kapitoly</w:t>
      </w:r>
      <w:r w:rsidR="00BD04FB">
        <w:t xml:space="preserve"> o </w:t>
      </w:r>
      <w:r>
        <w:t>obchodu</w:t>
      </w:r>
      <w:r w:rsidR="00BD04FB">
        <w:t xml:space="preserve"> a </w:t>
      </w:r>
      <w:r>
        <w:t>udržitelném rozvoji by měly od obou partnerů vyžadovat, aby ratifikovali</w:t>
      </w:r>
      <w:r w:rsidR="00BD04FB">
        <w:t xml:space="preserve"> a </w:t>
      </w:r>
      <w:r>
        <w:t>prováděli hlavní mezinárodní nástroje</w:t>
      </w:r>
      <w:r w:rsidR="00BD04FB">
        <w:t xml:space="preserve"> v </w:t>
      </w:r>
      <w:r>
        <w:t>oblasti lidských práv (jako je Mezinárodní listina lidských práv), hlavní úmluvy MOP (mj. Úmluvu</w:t>
      </w:r>
      <w:r w:rsidR="00BD04FB">
        <w:t xml:space="preserve"> o </w:t>
      </w:r>
      <w:r>
        <w:t>bezpečnosti</w:t>
      </w:r>
      <w:r w:rsidR="00BD04FB">
        <w:t xml:space="preserve"> a </w:t>
      </w:r>
      <w:r>
        <w:t>zdraví pracovníků</w:t>
      </w:r>
      <w:r w:rsidR="00BD04FB">
        <w:t xml:space="preserve"> a o </w:t>
      </w:r>
      <w:r>
        <w:t>pracovním prostředí), Pařížskou dohodu</w:t>
      </w:r>
      <w:r w:rsidR="00BD04FB">
        <w:t xml:space="preserve"> a </w:t>
      </w:r>
      <w:r>
        <w:t xml:space="preserve">další mezinárodní dohody týkající se životního prostředí. </w:t>
      </w:r>
    </w:p>
    <w:p w14:paraId="5FCAD891" w14:textId="6FE95CD9" w:rsidR="00C635B4" w:rsidRPr="00EF2D6B" w:rsidRDefault="00C635B4" w:rsidP="00A3683C">
      <w:pPr>
        <w:pStyle w:val="ListParagraph"/>
        <w:numPr>
          <w:ilvl w:val="0"/>
          <w:numId w:val="68"/>
        </w:numPr>
        <w:ind w:left="851" w:hanging="284"/>
      </w:pPr>
      <w:r>
        <w:t xml:space="preserve">Monitorovací výbor EHSV pro mezinárodní obchod se domnívá, že posouzení dopadů na udržitelnost by měla přezkoumat </w:t>
      </w:r>
      <w:r>
        <w:rPr>
          <w:i/>
        </w:rPr>
        <w:t>výpočetní model všeobecné rovnováhy (CGE) […] ve srovnání</w:t>
      </w:r>
      <w:r w:rsidR="00BD04FB">
        <w:rPr>
          <w:i/>
        </w:rPr>
        <w:t xml:space="preserve"> s </w:t>
      </w:r>
      <w:r>
        <w:rPr>
          <w:i/>
        </w:rPr>
        <w:t>alternativními modely</w:t>
      </w:r>
      <w:r w:rsidR="00BD04FB">
        <w:rPr>
          <w:i/>
        </w:rPr>
        <w:t xml:space="preserve"> a </w:t>
      </w:r>
      <w:r>
        <w:rPr>
          <w:i/>
        </w:rPr>
        <w:t>zahrnovat širší soubor ukazatelů, které měří dopady na lidská</w:t>
      </w:r>
      <w:r w:rsidR="00BD04FB">
        <w:rPr>
          <w:i/>
        </w:rPr>
        <w:t xml:space="preserve"> a </w:t>
      </w:r>
      <w:r>
        <w:rPr>
          <w:i/>
        </w:rPr>
        <w:t>pracovní práva, změnu klimatu, biologickou rozmanitost, spotřebitele</w:t>
      </w:r>
      <w:r w:rsidR="00BD04FB">
        <w:rPr>
          <w:i/>
        </w:rPr>
        <w:t xml:space="preserve"> a </w:t>
      </w:r>
      <w:r>
        <w:rPr>
          <w:i/>
        </w:rPr>
        <w:t>přímé zahraniční investice. Nezbytný je širší soubor ukazatelů</w:t>
      </w:r>
      <w:r w:rsidR="00BD04FB">
        <w:rPr>
          <w:i/>
        </w:rPr>
        <w:t xml:space="preserve"> a </w:t>
      </w:r>
      <w:r>
        <w:rPr>
          <w:i/>
        </w:rPr>
        <w:t>větší zohlednění alternativních modelů.</w:t>
      </w:r>
    </w:p>
    <w:p w14:paraId="03E3246C" w14:textId="5C2FC747" w:rsidR="00C635B4" w:rsidRPr="00EF2D6B" w:rsidRDefault="00C635B4" w:rsidP="00A3683C">
      <w:pPr>
        <w:pStyle w:val="ListParagraph"/>
        <w:numPr>
          <w:ilvl w:val="0"/>
          <w:numId w:val="68"/>
        </w:numPr>
        <w:ind w:left="851" w:hanging="284"/>
      </w:pPr>
      <w:r>
        <w:t>EHSV požaduje vylepšení mechanismů panelů,</w:t>
      </w:r>
      <w:r w:rsidR="00BD04FB">
        <w:t xml:space="preserve"> v </w:t>
      </w:r>
      <w:r>
        <w:t>jejichž rámci by obchodní právníci, ale také odborníci</w:t>
      </w:r>
      <w:r w:rsidR="00BD04FB">
        <w:t xml:space="preserve"> v </w:t>
      </w:r>
      <w:r>
        <w:t>oblasti práce, klimatu či lidských práv mohli prošetřovat stížnosti</w:t>
      </w:r>
      <w:r w:rsidR="00BD04FB">
        <w:t xml:space="preserve"> v </w:t>
      </w:r>
      <w:r>
        <w:t>rámci kapitol</w:t>
      </w:r>
      <w:r w:rsidR="00BD04FB">
        <w:t xml:space="preserve"> o </w:t>
      </w:r>
      <w:r>
        <w:t>obchodu</w:t>
      </w:r>
      <w:r w:rsidR="00BD04FB">
        <w:t xml:space="preserve"> a </w:t>
      </w:r>
      <w:r>
        <w:t>udržitelném rozvoji. Pokud by takovéto panely odhalily jejich porušení, měl by se spustit smluvní mechanismus řešení sporů mezi státy</w:t>
      </w:r>
      <w:r w:rsidR="00BD04FB">
        <w:t xml:space="preserve"> s </w:t>
      </w:r>
      <w:r>
        <w:t>možnými finančními postihy či sankcemi</w:t>
      </w:r>
      <w:r w:rsidR="00BD04FB">
        <w:t xml:space="preserve"> a </w:t>
      </w:r>
      <w:r>
        <w:t xml:space="preserve">nápravnými opatřeními ve prospěch poškozené strany. </w:t>
      </w:r>
    </w:p>
    <w:p w14:paraId="3BF8EC5F" w14:textId="77777777" w:rsidR="00C635B4" w:rsidRPr="00EF2D6B" w:rsidRDefault="00C635B4" w:rsidP="00A3683C">
      <w:pPr>
        <w:rPr>
          <w:lang w:val="en-GB"/>
        </w:rPr>
      </w:pPr>
    </w:p>
    <w:p w14:paraId="5790C7A3" w14:textId="3F755ABB" w:rsidR="00C635B4" w:rsidRPr="00EF2D6B" w:rsidRDefault="00C635B4" w:rsidP="00A3683C">
      <w:pPr>
        <w:pStyle w:val="Heading3"/>
        <w:ind w:left="567" w:hanging="567"/>
        <w:rPr>
          <w:u w:val="single"/>
        </w:rPr>
      </w:pPr>
      <w:r>
        <w:t>Budoucí dohody</w:t>
      </w:r>
      <w:r w:rsidR="00BD04FB">
        <w:t xml:space="preserve"> o </w:t>
      </w:r>
      <w:r>
        <w:t>volném obchodu, které uzavře EU, by mě</w:t>
      </w:r>
      <w:r w:rsidR="003202BF">
        <w:t>ly obsahovat odkaz na Pařížskou </w:t>
      </w:r>
      <w:r>
        <w:t>dohodu</w:t>
      </w:r>
      <w:r w:rsidR="00BD04FB">
        <w:t xml:space="preserve"> a </w:t>
      </w:r>
      <w:r>
        <w:t xml:space="preserve">musí poskytovat pobídky, jako je nulová celní sazba na environmentální zboží nebo služby. Ustanovení </w:t>
      </w:r>
      <w:r w:rsidR="00BD04FB">
        <w:t>čl. </w:t>
      </w:r>
      <w:r>
        <w:t xml:space="preserve">22 </w:t>
      </w:r>
      <w:r w:rsidR="00BD04FB">
        <w:t>odst. </w:t>
      </w:r>
      <w:r>
        <w:t>3 dohody CETA, podle nějž se strany zavazují podporovat hospodářské</w:t>
      </w:r>
      <w:r w:rsidR="00BD04FB">
        <w:t xml:space="preserve"> a </w:t>
      </w:r>
      <w:r>
        <w:t>obchodní toky, které pomáhají prosazovat důstojnou práci</w:t>
      </w:r>
      <w:r w:rsidR="00BD04FB">
        <w:t xml:space="preserve"> a </w:t>
      </w:r>
      <w:r>
        <w:t>ochranu životního prostředí, by mělo být použito</w:t>
      </w:r>
      <w:r w:rsidR="00BD04FB">
        <w:t xml:space="preserve"> i v </w:t>
      </w:r>
      <w:r>
        <w:t>dohodách</w:t>
      </w:r>
      <w:r w:rsidR="00BD04FB">
        <w:t xml:space="preserve"> s </w:t>
      </w:r>
      <w:r>
        <w:t>da</w:t>
      </w:r>
      <w:r w:rsidR="003202BF">
        <w:t>lšími obchodními partnery (Nový </w:t>
      </w:r>
      <w:r>
        <w:t>Zéland, Austrálie). Budoucí dohody EU</w:t>
      </w:r>
      <w:r w:rsidR="00BD04FB">
        <w:t xml:space="preserve"> o </w:t>
      </w:r>
      <w:r>
        <w:t>volném obchodu by měly rovněž rozšířit monitorovací úlohu interních poradních skupin za sféry životního prostředí, zaměstnanosti</w:t>
      </w:r>
      <w:r w:rsidR="00BD04FB">
        <w:t xml:space="preserve"> a </w:t>
      </w:r>
      <w:r>
        <w:t>sociálních záležitostí.</w:t>
      </w:r>
    </w:p>
    <w:p w14:paraId="68478ADC" w14:textId="77777777" w:rsidR="00C635B4" w:rsidRPr="00EF2D6B" w:rsidRDefault="00C635B4" w:rsidP="00A3683C">
      <w:pPr>
        <w:rPr>
          <w:lang w:val="en-GB"/>
        </w:rPr>
      </w:pPr>
    </w:p>
    <w:p w14:paraId="1BA7012D" w14:textId="2643D725" w:rsidR="00B4075B" w:rsidRPr="00EF2D6B" w:rsidRDefault="00C635B4" w:rsidP="00A3683C">
      <w:pPr>
        <w:pStyle w:val="Heading3"/>
        <w:keepNext/>
        <w:ind w:left="567" w:hanging="567"/>
        <w:rPr>
          <w:iCs/>
        </w:rPr>
      </w:pPr>
      <w:r>
        <w:t>Jakákoli investiční dohoda sjednaná EU, zejména</w:t>
      </w:r>
      <w:r w:rsidR="00BD04FB">
        <w:t xml:space="preserve"> s </w:t>
      </w:r>
      <w:r>
        <w:t>Čínou, musí obsahovat komplexní ustanovení o:</w:t>
      </w:r>
    </w:p>
    <w:p w14:paraId="70E4DA5C" w14:textId="77777777" w:rsidR="00622553" w:rsidRPr="00EF2D6B" w:rsidRDefault="00622553" w:rsidP="00A3683C">
      <w:pPr>
        <w:keepNext/>
        <w:rPr>
          <w:lang w:val="en-GB"/>
        </w:rPr>
      </w:pPr>
    </w:p>
    <w:p w14:paraId="1699F269" w14:textId="77777777" w:rsidR="00B4075B" w:rsidRPr="00EF2D6B" w:rsidRDefault="00C635B4" w:rsidP="00A3683C">
      <w:pPr>
        <w:pStyle w:val="ListParagraph"/>
        <w:numPr>
          <w:ilvl w:val="0"/>
          <w:numId w:val="68"/>
        </w:numPr>
        <w:ind w:left="851" w:hanging="284"/>
      </w:pPr>
      <w:r>
        <w:t>udržitelném využívání přírodních zdrojů,</w:t>
      </w:r>
    </w:p>
    <w:p w14:paraId="2AF56AB5" w14:textId="6743E312" w:rsidR="00B4075B" w:rsidRPr="00EF2D6B" w:rsidRDefault="00B4075B" w:rsidP="00A3683C">
      <w:pPr>
        <w:pStyle w:val="ListParagraph"/>
        <w:numPr>
          <w:ilvl w:val="0"/>
          <w:numId w:val="68"/>
        </w:numPr>
        <w:ind w:left="851" w:hanging="284"/>
      </w:pPr>
      <w:r>
        <w:t>přístupu založeném na zásadě předběžné opatrnosti ve vztahu</w:t>
      </w:r>
      <w:r w:rsidR="00BD04FB">
        <w:t xml:space="preserve"> k </w:t>
      </w:r>
      <w:r>
        <w:t>lidskému zdraví, přírodním zdrojům</w:t>
      </w:r>
      <w:r w:rsidR="00BD04FB">
        <w:t xml:space="preserve"> a </w:t>
      </w:r>
      <w:r>
        <w:t xml:space="preserve">ekosystémům, </w:t>
      </w:r>
    </w:p>
    <w:p w14:paraId="240B5CF3" w14:textId="506D1AE4" w:rsidR="00B4075B" w:rsidRPr="00EF2D6B" w:rsidRDefault="00B4075B" w:rsidP="00A3683C">
      <w:pPr>
        <w:pStyle w:val="ListParagraph"/>
        <w:numPr>
          <w:ilvl w:val="0"/>
          <w:numId w:val="68"/>
        </w:numPr>
        <w:ind w:left="851" w:hanging="284"/>
      </w:pPr>
      <w:r>
        <w:t>zásadě veřejné účasti</w:t>
      </w:r>
      <w:r w:rsidR="00BD04FB">
        <w:t xml:space="preserve"> a </w:t>
      </w:r>
      <w:r>
        <w:t>přístupu</w:t>
      </w:r>
      <w:r w:rsidR="00BD04FB">
        <w:t xml:space="preserve"> k </w:t>
      </w:r>
      <w:r>
        <w:t>informacím</w:t>
      </w:r>
      <w:r w:rsidR="00BD04FB">
        <w:t xml:space="preserve"> a </w:t>
      </w:r>
      <w:r>
        <w:t>spravedlnosti a</w:t>
      </w:r>
    </w:p>
    <w:p w14:paraId="62F99CC8" w14:textId="78C119AD" w:rsidR="00C635B4" w:rsidRPr="00EF2D6B" w:rsidRDefault="00C635B4" w:rsidP="00A3683C">
      <w:pPr>
        <w:pStyle w:val="ListParagraph"/>
        <w:numPr>
          <w:ilvl w:val="0"/>
          <w:numId w:val="68"/>
        </w:numPr>
        <w:ind w:left="851" w:hanging="284"/>
        <w:rPr>
          <w:u w:val="single"/>
        </w:rPr>
      </w:pPr>
      <w:r>
        <w:t>zásadě integrace</w:t>
      </w:r>
      <w:r w:rsidR="00BD04FB">
        <w:t xml:space="preserve"> a </w:t>
      </w:r>
      <w:r>
        <w:t>vzájemných vztahů, obzvlášť</w:t>
      </w:r>
      <w:r w:rsidR="00BD04FB">
        <w:t xml:space="preserve"> v </w:t>
      </w:r>
      <w:r>
        <w:t>souvislosti</w:t>
      </w:r>
      <w:r w:rsidR="00BD04FB">
        <w:t xml:space="preserve"> s </w:t>
      </w:r>
      <w:r>
        <w:t>lidskými právy</w:t>
      </w:r>
      <w:r w:rsidR="00BD04FB">
        <w:t xml:space="preserve"> a </w:t>
      </w:r>
      <w:r>
        <w:t>sociálními, hospodářskými</w:t>
      </w:r>
      <w:r w:rsidR="00BD04FB">
        <w:t xml:space="preserve"> a </w:t>
      </w:r>
      <w:r>
        <w:t>environmentálními cíli.</w:t>
      </w:r>
    </w:p>
    <w:p w14:paraId="1D00A1F0" w14:textId="77777777" w:rsidR="00C635B4" w:rsidRPr="00EF2D6B" w:rsidRDefault="00C635B4" w:rsidP="00A3683C">
      <w:pPr>
        <w:rPr>
          <w:lang w:val="en-GB"/>
        </w:rPr>
      </w:pPr>
    </w:p>
    <w:p w14:paraId="3C5142A3" w14:textId="4E4AA7BA" w:rsidR="004E2D67" w:rsidRPr="00EF2D6B" w:rsidRDefault="004E2D67" w:rsidP="003202BF">
      <w:pPr>
        <w:pStyle w:val="Heading3"/>
        <w:keepNext/>
        <w:keepLines/>
        <w:ind w:left="567" w:hanging="567"/>
      </w:pPr>
      <w:r>
        <w:t>Nadcházející jmenování vrchního úředníka EU pro dodržování obchodních dohod pomůže zajistit účinné provádění obchodních dohod včetně pracovních práv, environmentálních závazků</w:t>
      </w:r>
      <w:r w:rsidR="00BD04FB">
        <w:t xml:space="preserve"> a </w:t>
      </w:r>
      <w:r>
        <w:t>úlohy občanské společnosti.</w:t>
      </w:r>
    </w:p>
    <w:p w14:paraId="147647E0" w14:textId="77777777" w:rsidR="004E2D67" w:rsidRPr="00EF2D6B" w:rsidRDefault="004E2D67" w:rsidP="003202BF">
      <w:pPr>
        <w:keepNext/>
        <w:keepLines/>
        <w:rPr>
          <w:lang w:val="en-GB"/>
        </w:rPr>
      </w:pPr>
    </w:p>
    <w:p w14:paraId="18B01BFE" w14:textId="41A6EA2F" w:rsidR="00EA012E" w:rsidRPr="00EF2D6B" w:rsidRDefault="00EA012E" w:rsidP="00A3683C">
      <w:pPr>
        <w:pStyle w:val="Heading2"/>
        <w:keepNext/>
        <w:ind w:left="567" w:hanging="567"/>
        <w:rPr>
          <w:b/>
        </w:rPr>
      </w:pPr>
      <w:r>
        <w:rPr>
          <w:b/>
        </w:rPr>
        <w:t>Vedoucí úloha EU</w:t>
      </w:r>
      <w:r w:rsidR="00BD04FB">
        <w:rPr>
          <w:b/>
        </w:rPr>
        <w:t xml:space="preserve"> v </w:t>
      </w:r>
      <w:r>
        <w:rPr>
          <w:b/>
        </w:rPr>
        <w:t>návrhu nové multilaterální struktury</w:t>
      </w:r>
    </w:p>
    <w:p w14:paraId="372E9AEB" w14:textId="77777777" w:rsidR="0061024D" w:rsidRPr="00EF2D6B" w:rsidRDefault="0061024D" w:rsidP="00A3683C">
      <w:pPr>
        <w:keepNext/>
        <w:rPr>
          <w:b/>
          <w:lang w:val="en-GB"/>
        </w:rPr>
      </w:pPr>
    </w:p>
    <w:p w14:paraId="11F9F354" w14:textId="4242C4AF" w:rsidR="00EA012E" w:rsidRPr="00EF2D6B" w:rsidRDefault="0061024D" w:rsidP="00A3683C">
      <w:pPr>
        <w:pStyle w:val="Heading3"/>
        <w:ind w:left="567" w:hanging="567"/>
      </w:pPr>
      <w:r>
        <w:t>Unie je jedním</w:t>
      </w:r>
      <w:r w:rsidR="00BD04FB">
        <w:t xml:space="preserve"> z </w:t>
      </w:r>
      <w:r>
        <w:t>mála globálních aktérů, kteří mají ústavní povinnost</w:t>
      </w:r>
      <w:r w:rsidR="00BD04FB">
        <w:t xml:space="preserve"> a </w:t>
      </w:r>
      <w:r>
        <w:t xml:space="preserve">mandát </w:t>
      </w:r>
      <w:r>
        <w:rPr>
          <w:i/>
        </w:rPr>
        <w:t>podporovat mezinárodní systém založený na posílené mnohostranné spolupráci</w:t>
      </w:r>
      <w:r w:rsidR="00BD04FB">
        <w:rPr>
          <w:i/>
        </w:rPr>
        <w:t xml:space="preserve"> a </w:t>
      </w:r>
      <w:r>
        <w:rPr>
          <w:i/>
        </w:rPr>
        <w:t>na řádné správě věcí veřejných</w:t>
      </w:r>
      <w:r w:rsidR="00BD04FB">
        <w:rPr>
          <w:i/>
        </w:rPr>
        <w:t xml:space="preserve"> v </w:t>
      </w:r>
      <w:r>
        <w:rPr>
          <w:i/>
        </w:rPr>
        <w:t>celosvětovém měřítku</w:t>
      </w:r>
      <w:r>
        <w:t xml:space="preserve"> (</w:t>
      </w:r>
      <w:r w:rsidR="00BD04FB">
        <w:t>čl. </w:t>
      </w:r>
      <w:r>
        <w:t xml:space="preserve">21 </w:t>
      </w:r>
      <w:r w:rsidR="00BD04FB">
        <w:t>odst. </w:t>
      </w:r>
      <w:r>
        <w:t xml:space="preserve">2 </w:t>
      </w:r>
      <w:r w:rsidR="00BD04FB">
        <w:t>písm. </w:t>
      </w:r>
      <w:r>
        <w:t>h Smlouvy</w:t>
      </w:r>
      <w:r w:rsidR="00BD04FB">
        <w:t xml:space="preserve"> o </w:t>
      </w:r>
      <w:r>
        <w:t xml:space="preserve">Evropské unii (SEU)). </w:t>
      </w:r>
    </w:p>
    <w:p w14:paraId="3CF89BB5" w14:textId="77777777" w:rsidR="00EA012E" w:rsidRPr="00EF2D6B" w:rsidRDefault="00EA012E" w:rsidP="00A3683C">
      <w:pPr>
        <w:rPr>
          <w:lang w:val="en-GB"/>
        </w:rPr>
      </w:pPr>
    </w:p>
    <w:p w14:paraId="287A3F74" w14:textId="0AF3A2E3" w:rsidR="0061024D" w:rsidRPr="00EF2D6B" w:rsidRDefault="0061024D" w:rsidP="00A3683C">
      <w:pPr>
        <w:pStyle w:val="Heading3"/>
        <w:keepNext/>
        <w:ind w:left="567" w:hanging="567"/>
      </w:pPr>
      <w:r>
        <w:t>EU jakožto organizace regionální integrace však není schopna se plně podílet na činnosti řady útvarů, orgánů</w:t>
      </w:r>
      <w:r w:rsidR="00BD04FB">
        <w:t xml:space="preserve"> a </w:t>
      </w:r>
      <w:r>
        <w:t>organizací systému OSN, jelikož je, co se týče hájení svých postojů</w:t>
      </w:r>
      <w:r w:rsidR="00BD04FB">
        <w:t xml:space="preserve"> a </w:t>
      </w:r>
      <w:r>
        <w:t>zájmů, plně závislá na svých členských státech. Více než deset let od doby, kdy vstoupila</w:t>
      </w:r>
      <w:r w:rsidR="00BD04FB">
        <w:t xml:space="preserve"> v </w:t>
      </w:r>
      <w:r>
        <w:t xml:space="preserve">platnost Lisabonská smlouva, kterou se EU zavázala podporovat </w:t>
      </w:r>
      <w:r>
        <w:rPr>
          <w:i/>
        </w:rPr>
        <w:t>vícestranná řešení společných problémů, především</w:t>
      </w:r>
      <w:r w:rsidR="00BD04FB">
        <w:rPr>
          <w:i/>
        </w:rPr>
        <w:t xml:space="preserve"> v </w:t>
      </w:r>
      <w:r>
        <w:rPr>
          <w:i/>
        </w:rPr>
        <w:t>rámci Organizace spojených národů</w:t>
      </w:r>
      <w:r>
        <w:t xml:space="preserve"> (</w:t>
      </w:r>
      <w:r w:rsidR="00BD04FB">
        <w:t>čl. </w:t>
      </w:r>
      <w:r>
        <w:t xml:space="preserve">21 </w:t>
      </w:r>
      <w:r w:rsidR="00BD04FB">
        <w:t>odst. </w:t>
      </w:r>
      <w:r>
        <w:t>1 SEU), je načase, aby Unie společně se svými členskými státy vytvořila integrovanou strategii pro zaujetí silnější pozice</w:t>
      </w:r>
      <w:r w:rsidR="00BD04FB">
        <w:t xml:space="preserve"> v </w:t>
      </w:r>
      <w:r>
        <w:t>systému OSN.</w:t>
      </w:r>
    </w:p>
    <w:p w14:paraId="79494D8E" w14:textId="3703BB73" w:rsidR="0061024D" w:rsidRPr="00EF2D6B" w:rsidRDefault="0061024D" w:rsidP="00A3683C">
      <w:pPr>
        <w:keepNext/>
        <w:jc w:val="center"/>
        <w:rPr>
          <w:lang w:val="en-GB"/>
        </w:rPr>
      </w:pPr>
    </w:p>
    <w:p w14:paraId="3CC0D073" w14:textId="3C28C50A" w:rsidR="00F10027" w:rsidRPr="00EF2D6B" w:rsidRDefault="00F10027" w:rsidP="00A3683C">
      <w:pPr>
        <w:keepNext/>
      </w:pPr>
      <w:r>
        <w:t>V Bruselu dne 1</w:t>
      </w:r>
      <w:r w:rsidR="00BD04FB">
        <w:t>5. </w:t>
      </w:r>
      <w:r>
        <w:t>července 2020</w:t>
      </w:r>
    </w:p>
    <w:p w14:paraId="4C099056" w14:textId="77777777" w:rsidR="00F10027" w:rsidRPr="00EF2D6B" w:rsidRDefault="00F10027" w:rsidP="00A3683C">
      <w:pPr>
        <w:keepNext/>
        <w:rPr>
          <w:lang w:val="en-GB"/>
        </w:rPr>
      </w:pPr>
    </w:p>
    <w:p w14:paraId="25F314CD" w14:textId="77777777" w:rsidR="00F10027" w:rsidRPr="00EF2D6B" w:rsidRDefault="00F10027" w:rsidP="00A3683C">
      <w:pPr>
        <w:keepNext/>
        <w:rPr>
          <w:lang w:val="en-GB"/>
        </w:rPr>
      </w:pPr>
    </w:p>
    <w:p w14:paraId="7971C2FA" w14:textId="77777777" w:rsidR="00F10027" w:rsidRPr="00EF2D6B" w:rsidRDefault="00F10027" w:rsidP="00A3683C">
      <w:pPr>
        <w:keepNext/>
        <w:rPr>
          <w:lang w:val="en-GB"/>
        </w:rPr>
      </w:pPr>
    </w:p>
    <w:p w14:paraId="1C51EE1A" w14:textId="77777777" w:rsidR="00F10027" w:rsidRPr="00EF2D6B" w:rsidRDefault="00F10027" w:rsidP="00A3683C">
      <w:pPr>
        <w:keepNext/>
        <w:rPr>
          <w:lang w:val="en-GB"/>
        </w:rPr>
      </w:pPr>
    </w:p>
    <w:p w14:paraId="253AF329" w14:textId="3D8CA7FD" w:rsidR="00F10027" w:rsidRPr="00EF2D6B" w:rsidRDefault="00EF2D6B" w:rsidP="003D7957">
      <w:pPr>
        <w:keepNext/>
      </w:pPr>
      <w:r>
        <w:t>Luca JAHIER</w:t>
      </w:r>
      <w:r>
        <w:br/>
        <w:t>předseda Evropského hospodářského</w:t>
      </w:r>
      <w:r w:rsidR="00BD04FB">
        <w:t xml:space="preserve"> a </w:t>
      </w:r>
      <w:r>
        <w:t>sociálního výboru</w:t>
      </w:r>
    </w:p>
    <w:p w14:paraId="23F87D05" w14:textId="3CB5732A" w:rsidR="00F10027" w:rsidRPr="00EF2D6B" w:rsidRDefault="00F10027" w:rsidP="00A3683C">
      <w:pPr>
        <w:keepNext/>
        <w:jc w:val="center"/>
        <w:rPr>
          <w:lang w:val="en-GB"/>
        </w:rPr>
      </w:pPr>
    </w:p>
    <w:p w14:paraId="180FD565" w14:textId="77777777" w:rsidR="00E56398" w:rsidRPr="00EF2D6B" w:rsidRDefault="00E56398" w:rsidP="00A3683C">
      <w:pPr>
        <w:keepNext/>
        <w:jc w:val="center"/>
        <w:rPr>
          <w:lang w:val="en-GB"/>
        </w:rPr>
      </w:pPr>
    </w:p>
    <w:p w14:paraId="0C312DE9" w14:textId="77777777" w:rsidR="00622553" w:rsidRPr="00EF2D6B" w:rsidRDefault="00622553" w:rsidP="00A3683C">
      <w:pPr>
        <w:keepNext/>
        <w:jc w:val="center"/>
      </w:pPr>
      <w:r>
        <w:t>*</w:t>
      </w:r>
      <w:r>
        <w:br/>
      </w:r>
      <w:r>
        <w:br/>
        <w:t>*</w:t>
      </w:r>
      <w:r>
        <w:tab/>
        <w:t>*</w:t>
      </w:r>
    </w:p>
    <w:p w14:paraId="55BAF7B8" w14:textId="1E1107E9" w:rsidR="00DA1D04" w:rsidRDefault="00DA1D04" w:rsidP="00A3683C">
      <w:pPr>
        <w:keepNext/>
        <w:tabs>
          <w:tab w:val="left" w:pos="1134"/>
        </w:tabs>
        <w:rPr>
          <w:lang w:val="en-GB"/>
        </w:rPr>
      </w:pPr>
    </w:p>
    <w:p w14:paraId="0E6933EA" w14:textId="77777777" w:rsidR="001E0CE1" w:rsidRPr="00EF2D6B" w:rsidRDefault="001E0CE1" w:rsidP="00A3683C">
      <w:pPr>
        <w:keepNext/>
        <w:tabs>
          <w:tab w:val="left" w:pos="1134"/>
        </w:tabs>
        <w:rPr>
          <w:lang w:val="en-GB"/>
        </w:rPr>
      </w:pPr>
    </w:p>
    <w:p w14:paraId="00BE30E7" w14:textId="77777777" w:rsidR="00622553" w:rsidRPr="00EF2D6B" w:rsidRDefault="00622553" w:rsidP="00A3683C">
      <w:r>
        <w:rPr>
          <w:b/>
        </w:rPr>
        <w:t>Pozn.:</w:t>
      </w:r>
      <w:r>
        <w:t xml:space="preserve"> Následuje příloha.</w:t>
      </w:r>
      <w:r>
        <w:br w:type="page"/>
      </w:r>
    </w:p>
    <w:p w14:paraId="1B66C657" w14:textId="77777777" w:rsidR="00C635B4" w:rsidRPr="00EF2D6B" w:rsidRDefault="00622553" w:rsidP="00A3683C">
      <w:pPr>
        <w:pStyle w:val="Title"/>
        <w:spacing w:line="288" w:lineRule="auto"/>
        <w:jc w:val="center"/>
        <w:rPr>
          <w:color w:val="2E74B5" w:themeColor="accent1" w:themeShade="BF"/>
          <w:sz w:val="36"/>
          <w:szCs w:val="36"/>
        </w:rPr>
      </w:pPr>
      <w:r>
        <w:rPr>
          <w:color w:val="2E74B5" w:themeColor="accent1" w:themeShade="BF"/>
          <w:sz w:val="36"/>
          <w:szCs w:val="36"/>
        </w:rPr>
        <w:t>Příloha 1 – Konané přípravné schůze</w:t>
      </w:r>
    </w:p>
    <w:p w14:paraId="50D3C8D4" w14:textId="77777777" w:rsidR="00C635B4" w:rsidRPr="00EF2D6B" w:rsidRDefault="00C635B4" w:rsidP="00A3683C">
      <w:pPr>
        <w:rPr>
          <w:lang w:val="en-GB"/>
        </w:rPr>
      </w:pPr>
    </w:p>
    <w:p w14:paraId="67CC4E75" w14:textId="77777777" w:rsidR="00C635B4" w:rsidRPr="00EF2D6B" w:rsidRDefault="00C635B4" w:rsidP="00A3683C">
      <w:pPr>
        <w:rPr>
          <w:lang w:val="en-GB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239"/>
        <w:gridCol w:w="2297"/>
        <w:gridCol w:w="4820"/>
      </w:tblGrid>
      <w:tr w:rsidR="00C635B4" w:rsidRPr="00EF2D6B" w14:paraId="41E7D08C" w14:textId="77777777" w:rsidTr="00F63C56">
        <w:tc>
          <w:tcPr>
            <w:tcW w:w="2239" w:type="dxa"/>
          </w:tcPr>
          <w:p w14:paraId="23EAD425" w14:textId="77777777" w:rsidR="00C635B4" w:rsidRPr="00EF2D6B" w:rsidRDefault="00C635B4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2297" w:type="dxa"/>
          </w:tcPr>
          <w:p w14:paraId="02D949AA" w14:textId="77777777" w:rsidR="00C635B4" w:rsidRPr="00EF2D6B" w:rsidRDefault="00C635B4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Organizace</w:t>
            </w:r>
          </w:p>
        </w:tc>
        <w:tc>
          <w:tcPr>
            <w:tcW w:w="4820" w:type="dxa"/>
          </w:tcPr>
          <w:p w14:paraId="64EBB767" w14:textId="77777777" w:rsidR="00C635B4" w:rsidRPr="00EF2D6B" w:rsidRDefault="00C635B4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Funkce</w:t>
            </w:r>
          </w:p>
        </w:tc>
      </w:tr>
      <w:tr w:rsidR="00C635B4" w:rsidRPr="00EF2D6B" w14:paraId="104E410C" w14:textId="77777777" w:rsidTr="00291AF7">
        <w:tc>
          <w:tcPr>
            <w:tcW w:w="2239" w:type="dxa"/>
            <w:vAlign w:val="center"/>
          </w:tcPr>
          <w:p w14:paraId="75386B70" w14:textId="77777777" w:rsidR="00C635B4" w:rsidRPr="00EF2D6B" w:rsidRDefault="00C635B4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Elina BARDRAM</w:t>
            </w:r>
          </w:p>
        </w:tc>
        <w:tc>
          <w:tcPr>
            <w:tcW w:w="2297" w:type="dxa"/>
            <w:vAlign w:val="center"/>
          </w:tcPr>
          <w:p w14:paraId="107EAD10" w14:textId="77777777" w:rsidR="00C635B4" w:rsidRPr="00EF2D6B" w:rsidRDefault="00C635B4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</w:t>
            </w:r>
          </w:p>
        </w:tc>
        <w:tc>
          <w:tcPr>
            <w:tcW w:w="4820" w:type="dxa"/>
            <w:vAlign w:val="center"/>
          </w:tcPr>
          <w:p w14:paraId="66C1FE93" w14:textId="77777777" w:rsidR="00C635B4" w:rsidRPr="00EF2D6B" w:rsidRDefault="00C635B4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vedoucí oddělení</w:t>
            </w:r>
          </w:p>
          <w:p w14:paraId="3B503D59" w14:textId="77777777" w:rsidR="00C635B4" w:rsidRPr="00EF2D6B" w:rsidRDefault="00C635B4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vztahy (CLIMA.A.1)</w:t>
            </w:r>
          </w:p>
        </w:tc>
      </w:tr>
      <w:tr w:rsidR="00FB30F8" w:rsidRPr="00EF2D6B" w14:paraId="7B5CEACD" w14:textId="77777777" w:rsidTr="008C1BE5">
        <w:tc>
          <w:tcPr>
            <w:tcW w:w="2239" w:type="dxa"/>
            <w:vAlign w:val="center"/>
          </w:tcPr>
          <w:p w14:paraId="2522284D" w14:textId="77777777" w:rsidR="00FB30F8" w:rsidRPr="00EF2D6B" w:rsidRDefault="00FB30F8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Daniele BASSO</w:t>
            </w:r>
          </w:p>
        </w:tc>
        <w:tc>
          <w:tcPr>
            <w:tcW w:w="2297" w:type="dxa"/>
            <w:vAlign w:val="center"/>
          </w:tcPr>
          <w:p w14:paraId="2A70DBA1" w14:textId="77777777" w:rsidR="00FB30F8" w:rsidRPr="00EF2D6B" w:rsidRDefault="00FB30F8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EKOS</w:t>
            </w:r>
          </w:p>
        </w:tc>
        <w:tc>
          <w:tcPr>
            <w:tcW w:w="4820" w:type="dxa"/>
            <w:vAlign w:val="center"/>
          </w:tcPr>
          <w:p w14:paraId="46A6782B" w14:textId="77777777" w:rsidR="00FB30F8" w:rsidRPr="00EF2D6B" w:rsidRDefault="00FB30F8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poradce</w:t>
            </w:r>
          </w:p>
        </w:tc>
      </w:tr>
      <w:tr w:rsidR="00C635B4" w:rsidRPr="00EF2D6B" w14:paraId="7A00EE58" w14:textId="77777777" w:rsidTr="00291AF7">
        <w:tc>
          <w:tcPr>
            <w:tcW w:w="2239" w:type="dxa"/>
            <w:vAlign w:val="center"/>
          </w:tcPr>
          <w:p w14:paraId="36A8AADE" w14:textId="77777777" w:rsidR="00C635B4" w:rsidRPr="00EF2D6B" w:rsidRDefault="00C635B4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BRYAN</w:t>
            </w:r>
          </w:p>
        </w:tc>
        <w:tc>
          <w:tcPr>
            <w:tcW w:w="2297" w:type="dxa"/>
            <w:vAlign w:val="center"/>
          </w:tcPr>
          <w:p w14:paraId="7FAFCBCE" w14:textId="77777777" w:rsidR="00C635B4" w:rsidRPr="00EF2D6B" w:rsidRDefault="00C635B4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EHSV</w:t>
            </w:r>
          </w:p>
        </w:tc>
        <w:tc>
          <w:tcPr>
            <w:tcW w:w="4820" w:type="dxa"/>
            <w:vAlign w:val="center"/>
          </w:tcPr>
          <w:p w14:paraId="162A90C7" w14:textId="77777777" w:rsidR="00C635B4" w:rsidRPr="00EF2D6B" w:rsidRDefault="00C635B4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– skupina III</w:t>
            </w:r>
          </w:p>
        </w:tc>
      </w:tr>
      <w:tr w:rsidR="00C635B4" w:rsidRPr="00EF2D6B" w14:paraId="7EC5DC57" w14:textId="77777777" w:rsidTr="00291AF7">
        <w:tc>
          <w:tcPr>
            <w:tcW w:w="2239" w:type="dxa"/>
            <w:vAlign w:val="center"/>
          </w:tcPr>
          <w:p w14:paraId="10C48DD3" w14:textId="77777777" w:rsidR="00C635B4" w:rsidRPr="00EF2D6B" w:rsidRDefault="00C635B4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Cinzia DEL RIO</w:t>
            </w:r>
          </w:p>
        </w:tc>
        <w:tc>
          <w:tcPr>
            <w:tcW w:w="2297" w:type="dxa"/>
            <w:vAlign w:val="center"/>
          </w:tcPr>
          <w:p w14:paraId="5F8181D6" w14:textId="77777777" w:rsidR="00C635B4" w:rsidRPr="00EF2D6B" w:rsidRDefault="00C635B4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EHSV</w:t>
            </w:r>
          </w:p>
        </w:tc>
        <w:tc>
          <w:tcPr>
            <w:tcW w:w="4820" w:type="dxa"/>
            <w:vAlign w:val="center"/>
          </w:tcPr>
          <w:p w14:paraId="065ED2B3" w14:textId="77777777" w:rsidR="00C635B4" w:rsidRPr="00EF2D6B" w:rsidRDefault="00C635B4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– skupina II</w:t>
            </w:r>
          </w:p>
        </w:tc>
      </w:tr>
      <w:tr w:rsidR="00C635B4" w:rsidRPr="00EF2D6B" w14:paraId="369C5B51" w14:textId="77777777" w:rsidTr="00291AF7">
        <w:tc>
          <w:tcPr>
            <w:tcW w:w="2239" w:type="dxa"/>
            <w:vAlign w:val="center"/>
          </w:tcPr>
          <w:p w14:paraId="07A2E21B" w14:textId="77777777" w:rsidR="00C635B4" w:rsidRPr="00EF2D6B" w:rsidRDefault="00C635B4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Dimitru FORNEA</w:t>
            </w:r>
          </w:p>
        </w:tc>
        <w:tc>
          <w:tcPr>
            <w:tcW w:w="2297" w:type="dxa"/>
            <w:vAlign w:val="center"/>
          </w:tcPr>
          <w:p w14:paraId="0EC8D9E3" w14:textId="77777777" w:rsidR="00C635B4" w:rsidRPr="00EF2D6B" w:rsidRDefault="00C635B4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EHSV</w:t>
            </w:r>
          </w:p>
        </w:tc>
        <w:tc>
          <w:tcPr>
            <w:tcW w:w="4820" w:type="dxa"/>
            <w:vAlign w:val="center"/>
          </w:tcPr>
          <w:p w14:paraId="4A5B9628" w14:textId="77777777" w:rsidR="00C635B4" w:rsidRPr="00EF2D6B" w:rsidRDefault="00C635B4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– skupina II</w:t>
            </w:r>
          </w:p>
        </w:tc>
      </w:tr>
      <w:tr w:rsidR="008C1BE5" w:rsidRPr="00EF2D6B" w14:paraId="358E919C" w14:textId="77777777" w:rsidTr="00B9256C">
        <w:tc>
          <w:tcPr>
            <w:tcW w:w="2239" w:type="dxa"/>
            <w:vAlign w:val="center"/>
          </w:tcPr>
          <w:p w14:paraId="276803A6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HERVÉ</w:t>
            </w:r>
          </w:p>
        </w:tc>
        <w:tc>
          <w:tcPr>
            <w:tcW w:w="2297" w:type="dxa"/>
            <w:vAlign w:val="center"/>
          </w:tcPr>
          <w:p w14:paraId="5C60CD3F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Sciences Po Rennes</w:t>
            </w:r>
          </w:p>
        </w:tc>
        <w:tc>
          <w:tcPr>
            <w:tcW w:w="4820" w:type="dxa"/>
            <w:vAlign w:val="center"/>
          </w:tcPr>
          <w:p w14:paraId="08AED0D8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 mezinárodního veřejného práva</w:t>
            </w:r>
          </w:p>
        </w:tc>
      </w:tr>
      <w:tr w:rsidR="00C635B4" w:rsidRPr="00EF2D6B" w14:paraId="0EBCA071" w14:textId="77777777" w:rsidTr="00291AF7">
        <w:tc>
          <w:tcPr>
            <w:tcW w:w="2239" w:type="dxa"/>
            <w:vAlign w:val="center"/>
          </w:tcPr>
          <w:p w14:paraId="3974EEC8" w14:textId="77777777" w:rsidR="00C635B4" w:rsidRPr="00EF2D6B" w:rsidRDefault="00C635B4" w:rsidP="00A3683C">
            <w:pPr>
              <w:jc w:val="center"/>
            </w:pPr>
            <w:r>
              <w:t>Emmanuel JULIEN</w:t>
            </w:r>
          </w:p>
        </w:tc>
        <w:tc>
          <w:tcPr>
            <w:tcW w:w="2297" w:type="dxa"/>
            <w:vAlign w:val="center"/>
          </w:tcPr>
          <w:p w14:paraId="55F931B7" w14:textId="77777777" w:rsidR="00C635B4" w:rsidRPr="00EF2D6B" w:rsidRDefault="0035524A" w:rsidP="00A3683C">
            <w:pPr>
              <w:jc w:val="center"/>
              <w:rPr>
                <w:sz w:val="20"/>
                <w:szCs w:val="20"/>
              </w:rPr>
            </w:pPr>
            <w:r>
              <w:t>MOP</w:t>
            </w:r>
          </w:p>
        </w:tc>
        <w:tc>
          <w:tcPr>
            <w:tcW w:w="4820" w:type="dxa"/>
            <w:vAlign w:val="center"/>
          </w:tcPr>
          <w:p w14:paraId="53F5291F" w14:textId="77777777" w:rsidR="00C635B4" w:rsidRPr="00EF2D6B" w:rsidRDefault="00C635B4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zástupce ředitele</w:t>
            </w:r>
          </w:p>
          <w:p w14:paraId="7F377CD3" w14:textId="77777777" w:rsidR="00C635B4" w:rsidRPr="00EF2D6B" w:rsidRDefault="00C635B4" w:rsidP="00A3683C">
            <w:pPr>
              <w:jc w:val="center"/>
            </w:pPr>
            <w:r>
              <w:rPr>
                <w:sz w:val="20"/>
                <w:szCs w:val="20"/>
              </w:rPr>
              <w:t>Odbor pro podniky</w:t>
            </w:r>
          </w:p>
        </w:tc>
      </w:tr>
      <w:tr w:rsidR="00C635B4" w:rsidRPr="00EF2D6B" w14:paraId="48AAB7F1" w14:textId="77777777" w:rsidTr="00291AF7">
        <w:tc>
          <w:tcPr>
            <w:tcW w:w="2239" w:type="dxa"/>
            <w:vAlign w:val="center"/>
          </w:tcPr>
          <w:p w14:paraId="7563D734" w14:textId="77777777" w:rsidR="00C635B4" w:rsidRPr="00EF2D6B" w:rsidRDefault="00C635B4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Bernd LANGE</w:t>
            </w:r>
          </w:p>
        </w:tc>
        <w:tc>
          <w:tcPr>
            <w:tcW w:w="2297" w:type="dxa"/>
            <w:vAlign w:val="center"/>
          </w:tcPr>
          <w:p w14:paraId="1243E306" w14:textId="77777777" w:rsidR="00C635B4" w:rsidRPr="00EF2D6B" w:rsidRDefault="00C635B4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</w:t>
            </w:r>
          </w:p>
        </w:tc>
        <w:tc>
          <w:tcPr>
            <w:tcW w:w="4820" w:type="dxa"/>
            <w:vAlign w:val="center"/>
          </w:tcPr>
          <w:p w14:paraId="51691DD8" w14:textId="77777777" w:rsidR="00C635B4" w:rsidRPr="00EF2D6B" w:rsidRDefault="00C635B4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předseda výboru INTA</w:t>
            </w:r>
          </w:p>
        </w:tc>
      </w:tr>
      <w:tr w:rsidR="008C1BE5" w:rsidRPr="00EF2D6B" w14:paraId="222A43D7" w14:textId="77777777" w:rsidTr="00B9256C">
        <w:tc>
          <w:tcPr>
            <w:tcW w:w="2239" w:type="dxa"/>
            <w:vAlign w:val="center"/>
          </w:tcPr>
          <w:p w14:paraId="585F7589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Jürgen MAIER</w:t>
            </w:r>
          </w:p>
        </w:tc>
        <w:tc>
          <w:tcPr>
            <w:tcW w:w="2297" w:type="dxa"/>
            <w:vAlign w:val="center"/>
          </w:tcPr>
          <w:p w14:paraId="612CF291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Forum</w:t>
            </w:r>
          </w:p>
          <w:p w14:paraId="146290CD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Umwelt &amp; Entwicklung</w:t>
            </w:r>
          </w:p>
        </w:tc>
        <w:tc>
          <w:tcPr>
            <w:tcW w:w="4820" w:type="dxa"/>
            <w:vAlign w:val="center"/>
          </w:tcPr>
          <w:p w14:paraId="2459C012" w14:textId="77777777" w:rsidR="008C1BE5" w:rsidRPr="00EF2D6B" w:rsidRDefault="008C1BE5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ředitel</w:t>
            </w:r>
          </w:p>
        </w:tc>
      </w:tr>
      <w:tr w:rsidR="008C1BE5" w:rsidRPr="00EF2D6B" w14:paraId="6A97C8D2" w14:textId="77777777" w:rsidTr="008C1BE5">
        <w:tc>
          <w:tcPr>
            <w:tcW w:w="2239" w:type="dxa"/>
          </w:tcPr>
          <w:p w14:paraId="4A7945A7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t>Jean-Marie PAUGAM</w:t>
            </w:r>
          </w:p>
        </w:tc>
        <w:tc>
          <w:tcPr>
            <w:tcW w:w="2297" w:type="dxa"/>
          </w:tcPr>
          <w:p w14:paraId="2971FA80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francouzská vláda</w:t>
            </w:r>
          </w:p>
        </w:tc>
        <w:tc>
          <w:tcPr>
            <w:tcW w:w="4820" w:type="dxa"/>
          </w:tcPr>
          <w:p w14:paraId="14A3CA62" w14:textId="77777777" w:rsidR="008C1BE5" w:rsidRPr="00EF2D6B" w:rsidRDefault="008C1BE5" w:rsidP="00A36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stálý zástupce Francie při WTO</w:t>
            </w:r>
          </w:p>
        </w:tc>
      </w:tr>
      <w:tr w:rsidR="008C1BE5" w:rsidRPr="00EF2D6B" w14:paraId="2C2929D8" w14:textId="77777777" w:rsidTr="00291AF7">
        <w:tc>
          <w:tcPr>
            <w:tcW w:w="2239" w:type="dxa"/>
            <w:vAlign w:val="center"/>
          </w:tcPr>
          <w:p w14:paraId="5C001B78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PERRIN</w:t>
            </w:r>
          </w:p>
        </w:tc>
        <w:tc>
          <w:tcPr>
            <w:tcW w:w="2297" w:type="dxa"/>
            <w:vAlign w:val="center"/>
          </w:tcPr>
          <w:p w14:paraId="0B2ABC1D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</w:t>
            </w:r>
          </w:p>
        </w:tc>
        <w:tc>
          <w:tcPr>
            <w:tcW w:w="4820" w:type="dxa"/>
            <w:vAlign w:val="center"/>
          </w:tcPr>
          <w:p w14:paraId="017F5F22" w14:textId="77777777" w:rsidR="008C1BE5" w:rsidRPr="00EF2D6B" w:rsidRDefault="008C1BE5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ředitel</w:t>
            </w:r>
          </w:p>
          <w:p w14:paraId="0E71507B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pro multilaterální spolupráci</w:t>
            </w:r>
          </w:p>
        </w:tc>
      </w:tr>
      <w:tr w:rsidR="008C1BE5" w:rsidRPr="00EF2D6B" w14:paraId="5F2A6C8A" w14:textId="77777777" w:rsidTr="00291AF7">
        <w:tc>
          <w:tcPr>
            <w:tcW w:w="2239" w:type="dxa"/>
            <w:vAlign w:val="center"/>
          </w:tcPr>
          <w:p w14:paraId="42371A6C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 REDONNET</w:t>
            </w:r>
          </w:p>
        </w:tc>
        <w:tc>
          <w:tcPr>
            <w:tcW w:w="2297" w:type="dxa"/>
            <w:vAlign w:val="center"/>
          </w:tcPr>
          <w:p w14:paraId="56FD8659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</w:t>
            </w:r>
          </w:p>
        </w:tc>
        <w:tc>
          <w:tcPr>
            <w:tcW w:w="4820" w:type="dxa"/>
            <w:vAlign w:val="center"/>
          </w:tcPr>
          <w:p w14:paraId="5717F612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ředitel</w:t>
            </w:r>
          </w:p>
          <w:p w14:paraId="4D480667" w14:textId="46C86A22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WTO, právní záležitosti</w:t>
            </w:r>
            <w:r w:rsidR="00BD04FB">
              <w:rPr>
                <w:sz w:val="20"/>
                <w:szCs w:val="20"/>
              </w:rPr>
              <w:t xml:space="preserve"> a </w:t>
            </w:r>
            <w:r>
              <w:rPr>
                <w:sz w:val="20"/>
                <w:szCs w:val="20"/>
              </w:rPr>
              <w:t>obchod se zbožím (TRADE.DGA2.F)</w:t>
            </w:r>
          </w:p>
        </w:tc>
      </w:tr>
      <w:tr w:rsidR="008C1BE5" w:rsidRPr="00EF2D6B" w14:paraId="6D68AB8E" w14:textId="77777777" w:rsidTr="00291AF7">
        <w:tc>
          <w:tcPr>
            <w:tcW w:w="2239" w:type="dxa"/>
            <w:vAlign w:val="center"/>
          </w:tcPr>
          <w:p w14:paraId="7992E324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Lutz RIBBE</w:t>
            </w:r>
          </w:p>
        </w:tc>
        <w:tc>
          <w:tcPr>
            <w:tcW w:w="2297" w:type="dxa"/>
            <w:vAlign w:val="center"/>
          </w:tcPr>
          <w:p w14:paraId="1320C355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EHSV</w:t>
            </w:r>
          </w:p>
        </w:tc>
        <w:tc>
          <w:tcPr>
            <w:tcW w:w="4820" w:type="dxa"/>
            <w:vAlign w:val="center"/>
          </w:tcPr>
          <w:p w14:paraId="6AF2530B" w14:textId="77777777" w:rsidR="008C1BE5" w:rsidRPr="00EF2D6B" w:rsidRDefault="008C1BE5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– skupina III</w:t>
            </w:r>
          </w:p>
        </w:tc>
      </w:tr>
      <w:tr w:rsidR="008C1BE5" w:rsidRPr="00EF2D6B" w14:paraId="1EF0073F" w14:textId="77777777" w:rsidTr="00291AF7">
        <w:tc>
          <w:tcPr>
            <w:tcW w:w="2239" w:type="dxa"/>
            <w:vAlign w:val="center"/>
          </w:tcPr>
          <w:p w14:paraId="638A496A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VAN VUUREN</w:t>
            </w:r>
          </w:p>
        </w:tc>
        <w:tc>
          <w:tcPr>
            <w:tcW w:w="2297" w:type="dxa"/>
            <w:vAlign w:val="center"/>
          </w:tcPr>
          <w:p w14:paraId="4B2F57D3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</w:t>
            </w:r>
          </w:p>
        </w:tc>
        <w:tc>
          <w:tcPr>
            <w:tcW w:w="4820" w:type="dxa"/>
            <w:vAlign w:val="center"/>
          </w:tcPr>
          <w:p w14:paraId="72491E34" w14:textId="77777777" w:rsidR="008C1BE5" w:rsidRPr="00EF2D6B" w:rsidRDefault="008C1BE5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ředitel</w:t>
            </w:r>
          </w:p>
          <w:p w14:paraId="7A18A7F3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pro podniky</w:t>
            </w:r>
          </w:p>
        </w:tc>
      </w:tr>
      <w:tr w:rsidR="008C1BE5" w:rsidRPr="00EF2D6B" w14:paraId="07C6CD4A" w14:textId="77777777" w:rsidTr="00291AF7">
        <w:tc>
          <w:tcPr>
            <w:tcW w:w="2239" w:type="dxa"/>
            <w:vAlign w:val="center"/>
          </w:tcPr>
          <w:p w14:paraId="7952BA00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Lieve VERBOVEN</w:t>
            </w:r>
          </w:p>
        </w:tc>
        <w:tc>
          <w:tcPr>
            <w:tcW w:w="2297" w:type="dxa"/>
            <w:vAlign w:val="center"/>
          </w:tcPr>
          <w:p w14:paraId="75B68217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</w:t>
            </w:r>
          </w:p>
        </w:tc>
        <w:tc>
          <w:tcPr>
            <w:tcW w:w="4820" w:type="dxa"/>
            <w:vAlign w:val="center"/>
          </w:tcPr>
          <w:p w14:paraId="75A9A25D" w14:textId="77777777" w:rsidR="008C1BE5" w:rsidRPr="00EF2D6B" w:rsidRDefault="008C1BE5" w:rsidP="00A36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ředitelka kanceláře EU</w:t>
            </w:r>
          </w:p>
        </w:tc>
      </w:tr>
      <w:tr w:rsidR="008C1BE5" w:rsidRPr="00EF2D6B" w14:paraId="11FB156F" w14:textId="77777777" w:rsidTr="00291AF7">
        <w:tc>
          <w:tcPr>
            <w:tcW w:w="2239" w:type="dxa"/>
            <w:vAlign w:val="center"/>
          </w:tcPr>
          <w:p w14:paraId="70BE3AF7" w14:textId="77777777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WOUTERS</w:t>
            </w:r>
          </w:p>
        </w:tc>
        <w:tc>
          <w:tcPr>
            <w:tcW w:w="2297" w:type="dxa"/>
            <w:vAlign w:val="center"/>
          </w:tcPr>
          <w:p w14:paraId="4CE90094" w14:textId="3DA3C200" w:rsidR="008C1BE5" w:rsidRPr="00EF2D6B" w:rsidRDefault="008C1BE5" w:rsidP="00A3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</w:t>
            </w:r>
            <w:r w:rsidR="00BD04FB">
              <w:rPr>
                <w:sz w:val="20"/>
                <w:szCs w:val="20"/>
              </w:rPr>
              <w:t xml:space="preserve"> v </w:t>
            </w:r>
            <w:r>
              <w:rPr>
                <w:sz w:val="20"/>
                <w:szCs w:val="20"/>
              </w:rPr>
              <w:t>Lovani</w:t>
            </w:r>
          </w:p>
        </w:tc>
        <w:tc>
          <w:tcPr>
            <w:tcW w:w="4820" w:type="dxa"/>
            <w:vAlign w:val="center"/>
          </w:tcPr>
          <w:p w14:paraId="21C80882" w14:textId="5F6B4154" w:rsidR="008C1BE5" w:rsidRPr="00EF2D6B" w:rsidRDefault="008C1BE5" w:rsidP="00A3683C">
            <w:pPr>
              <w:jc w:val="center"/>
            </w:pPr>
            <w:r>
              <w:rPr>
                <w:color w:val="000000"/>
                <w:sz w:val="20"/>
                <w:szCs w:val="20"/>
              </w:rPr>
              <w:t>profesor</w:t>
            </w:r>
            <w:r w:rsidR="00BD04FB">
              <w:rPr>
                <w:color w:val="000000"/>
                <w:sz w:val="20"/>
                <w:szCs w:val="20"/>
              </w:rPr>
              <w:t xml:space="preserve"> v </w:t>
            </w:r>
            <w:r>
              <w:rPr>
                <w:color w:val="000000"/>
                <w:sz w:val="20"/>
                <w:szCs w:val="20"/>
              </w:rPr>
              <w:t>oboru mezinárodního práva</w:t>
            </w:r>
            <w:r w:rsidR="00BD04FB">
              <w:rPr>
                <w:color w:val="000000"/>
                <w:sz w:val="20"/>
                <w:szCs w:val="20"/>
              </w:rPr>
              <w:t xml:space="preserve"> a </w:t>
            </w:r>
            <w:r>
              <w:rPr>
                <w:color w:val="000000"/>
                <w:sz w:val="20"/>
                <w:szCs w:val="20"/>
              </w:rPr>
              <w:t>mezinárodních organizací</w:t>
            </w:r>
          </w:p>
        </w:tc>
      </w:tr>
    </w:tbl>
    <w:p w14:paraId="6871EB42" w14:textId="77777777" w:rsidR="00C635B4" w:rsidRPr="00EF2D6B" w:rsidRDefault="00C635B4" w:rsidP="00A3683C">
      <w:pPr>
        <w:rPr>
          <w:lang w:val="en-GB"/>
        </w:rPr>
      </w:pPr>
    </w:p>
    <w:p w14:paraId="755B3C0F" w14:textId="77777777" w:rsidR="00622553" w:rsidRPr="00EF2D6B" w:rsidRDefault="00622553" w:rsidP="00A3683C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_____________</w:t>
      </w:r>
    </w:p>
    <w:p w14:paraId="1949A193" w14:textId="1F3289EC" w:rsidR="00BD04FB" w:rsidRPr="00BD04FB" w:rsidRDefault="00BD04FB" w:rsidP="00BD04FB">
      <w:pPr>
        <w:rPr>
          <w:sz w:val="16"/>
          <w:lang w:val="en-GB"/>
        </w:rPr>
      </w:pPr>
    </w:p>
    <w:sectPr w:rsidR="00BD04FB" w:rsidRPr="00BD04FB" w:rsidSect="000462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D3EEC0" w16cid:durableId="227E62A3"/>
  <w16cid:commentId w16cid:paraId="02669BDB" w16cid:durableId="227E6650"/>
  <w16cid:commentId w16cid:paraId="38CBDEFD" w16cid:durableId="227E66DD"/>
  <w16cid:commentId w16cid:paraId="557B1284" w16cid:durableId="227E62A4"/>
  <w16cid:commentId w16cid:paraId="0103A161" w16cid:durableId="227E67E8"/>
  <w16cid:commentId w16cid:paraId="6D8238D4" w16cid:durableId="227E62A5"/>
  <w16cid:commentId w16cid:paraId="02AEC73D" w16cid:durableId="227E62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D45F5" w14:textId="77777777" w:rsidR="00E86D40" w:rsidRDefault="00E86D40" w:rsidP="00C635B4">
      <w:pPr>
        <w:spacing w:line="240" w:lineRule="auto"/>
      </w:pPr>
      <w:r>
        <w:separator/>
      </w:r>
    </w:p>
  </w:endnote>
  <w:endnote w:type="continuationSeparator" w:id="0">
    <w:p w14:paraId="3F14FDF4" w14:textId="77777777" w:rsidR="00E86D40" w:rsidRDefault="00E86D40" w:rsidP="00C635B4">
      <w:pPr>
        <w:spacing w:line="240" w:lineRule="auto"/>
      </w:pPr>
      <w:r>
        <w:continuationSeparator/>
      </w:r>
    </w:p>
  </w:endnote>
  <w:endnote w:type="continuationNotice" w:id="1">
    <w:p w14:paraId="1ACD6A76" w14:textId="77777777" w:rsidR="00E86D40" w:rsidRDefault="00E86D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C9FF" w14:textId="22362FA7" w:rsidR="00D11742" w:rsidRPr="00046276" w:rsidRDefault="00046276" w:rsidP="00046276">
    <w:pPr>
      <w:pStyle w:val="Footer"/>
    </w:pPr>
    <w:r>
      <w:t xml:space="preserve">REX/529 – EESC-2020-01551-00-01-AC-TRA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B630F1">
      <w:rPr>
        <w:noProof/>
      </w:rPr>
      <w:t>1</w:t>
    </w:r>
    <w:r>
      <w:fldChar w:fldCharType="end"/>
    </w:r>
    <w:r>
      <w:t>/</w:t>
    </w:r>
    <w:fldSimple w:instr=" NUMPAGES ">
      <w:r w:rsidR="00B630F1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1D66A" w14:textId="77777777" w:rsidR="00E32214" w:rsidRPr="00046276" w:rsidRDefault="00E32214" w:rsidP="00046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1DE2" w14:textId="5CCBAB00" w:rsidR="00E32214" w:rsidRPr="00046276" w:rsidRDefault="00046276" w:rsidP="00046276">
    <w:pPr>
      <w:pStyle w:val="Footer"/>
    </w:pPr>
    <w:r>
      <w:t xml:space="preserve">REX/529 – EESC-2020-01551-00-01-AC-TRA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202BF">
      <w:rPr>
        <w:noProof/>
      </w:rPr>
      <w:t>14</w:t>
    </w:r>
    <w:r>
      <w:fldChar w:fldCharType="end"/>
    </w:r>
    <w:r>
      <w:t>/</w:t>
    </w:r>
    <w:fldSimple w:instr=" NUMPAGES ">
      <w:r w:rsidR="003202BF">
        <w:rPr>
          <w:noProof/>
        </w:rPr>
        <w:t>14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C463F" w14:textId="77777777" w:rsidR="00E32214" w:rsidRPr="00046276" w:rsidRDefault="00E32214" w:rsidP="00046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A3AE0" w14:textId="77777777" w:rsidR="00E86D40" w:rsidRDefault="00E86D40" w:rsidP="00C635B4">
      <w:pPr>
        <w:spacing w:line="240" w:lineRule="auto"/>
      </w:pPr>
      <w:r>
        <w:separator/>
      </w:r>
    </w:p>
  </w:footnote>
  <w:footnote w:type="continuationSeparator" w:id="0">
    <w:p w14:paraId="18A510DB" w14:textId="77777777" w:rsidR="00E86D40" w:rsidRDefault="00E86D40" w:rsidP="00C635B4">
      <w:pPr>
        <w:spacing w:line="240" w:lineRule="auto"/>
      </w:pPr>
      <w:r>
        <w:continuationSeparator/>
      </w:r>
    </w:p>
  </w:footnote>
  <w:footnote w:type="continuationNotice" w:id="1">
    <w:p w14:paraId="65E9A778" w14:textId="77777777" w:rsidR="00E86D40" w:rsidRDefault="00E86D40">
      <w:pPr>
        <w:spacing w:line="240" w:lineRule="auto"/>
      </w:pPr>
    </w:p>
  </w:footnote>
  <w:footnote w:id="2">
    <w:p w14:paraId="7445F673" w14:textId="6A86B9CE" w:rsidR="00E32214" w:rsidRPr="00E56398" w:rsidRDefault="00E32214" w:rsidP="00434115">
      <w:pPr>
        <w:ind w:left="567" w:hanging="567"/>
        <w:rPr>
          <w:sz w:val="16"/>
          <w:szCs w:val="16"/>
        </w:rPr>
      </w:pPr>
      <w:r>
        <w:rPr>
          <w:rStyle w:val="FootnoteReference"/>
          <w:szCs w:val="24"/>
          <w:lang w:val="en-GB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Stanoviska REX/509 </w:t>
      </w:r>
      <w:r>
        <w:rPr>
          <w:i/>
          <w:sz w:val="16"/>
          <w:szCs w:val="16"/>
        </w:rPr>
        <w:t>Reforma WTO s cílem přizpůsobit se vývoji v oblasti světového obchodu</w:t>
      </w:r>
      <w:r>
        <w:rPr>
          <w:sz w:val="16"/>
          <w:szCs w:val="16"/>
        </w:rPr>
        <w:t xml:space="preserve"> (leden 2019 – </w:t>
      </w:r>
      <w:hyperlink r:id="rId1" w:history="1">
        <w:r w:rsidRPr="001E0CE1">
          <w:rPr>
            <w:rStyle w:val="Hyperlink"/>
            <w:sz w:val="16"/>
            <w:szCs w:val="16"/>
          </w:rPr>
          <w:t>Úř. věst. C 159, 10.5.2019</w:t>
        </w:r>
      </w:hyperlink>
      <w:r>
        <w:rPr>
          <w:sz w:val="16"/>
          <w:szCs w:val="16"/>
        </w:rPr>
        <w:t xml:space="preserve">), REX/486 </w:t>
      </w:r>
      <w:r>
        <w:rPr>
          <w:i/>
          <w:sz w:val="16"/>
          <w:szCs w:val="16"/>
        </w:rPr>
        <w:t>Úloha politiky EU v oblasti obchodu a investic při zvyšování hospodářské výkonnosti EU</w:t>
      </w:r>
      <w:r>
        <w:rPr>
          <w:sz w:val="16"/>
          <w:szCs w:val="16"/>
        </w:rPr>
        <w:t xml:space="preserve"> (říjen 2019 – </w:t>
      </w:r>
      <w:hyperlink r:id="rId2" w:history="1">
        <w:r w:rsidR="001E0CE1" w:rsidRPr="001E0CE1">
          <w:rPr>
            <w:rStyle w:val="Hyperlink"/>
            <w:sz w:val="16"/>
            <w:szCs w:val="16"/>
          </w:rPr>
          <w:t>Úř. </w:t>
        </w:r>
        <w:r w:rsidRPr="001E0CE1">
          <w:rPr>
            <w:rStyle w:val="Hyperlink"/>
            <w:sz w:val="16"/>
            <w:szCs w:val="16"/>
          </w:rPr>
          <w:t>věst. C 47, 11.2.2020</w:t>
        </w:r>
      </w:hyperlink>
      <w:r>
        <w:rPr>
          <w:sz w:val="16"/>
          <w:szCs w:val="16"/>
        </w:rPr>
        <w:t xml:space="preserve">), REX/500 </w:t>
      </w:r>
      <w:r>
        <w:rPr>
          <w:i/>
          <w:sz w:val="16"/>
          <w:szCs w:val="16"/>
        </w:rPr>
        <w:t>Kapitoly o obchodu a udržitelném rozvoji v dohodách EU o volném obchodu</w:t>
      </w:r>
      <w:r>
        <w:rPr>
          <w:sz w:val="16"/>
          <w:szCs w:val="16"/>
        </w:rPr>
        <w:t xml:space="preserve"> (červenec 2018 – </w:t>
      </w:r>
      <w:hyperlink r:id="rId3" w:history="1">
        <w:r w:rsidRPr="001E0CE1">
          <w:rPr>
            <w:rStyle w:val="Hyperlink"/>
            <w:sz w:val="16"/>
            <w:szCs w:val="16"/>
          </w:rPr>
          <w:t>Úř. věst. C 227, 28.6.2018</w:t>
        </w:r>
      </w:hyperlink>
      <w:r>
        <w:rPr>
          <w:sz w:val="16"/>
          <w:szCs w:val="16"/>
        </w:rPr>
        <w:t xml:space="preserve">) a NAT/760 diskusní dokument </w:t>
      </w:r>
      <w:r>
        <w:rPr>
          <w:i/>
          <w:sz w:val="16"/>
          <w:szCs w:val="16"/>
        </w:rPr>
        <w:t>Směřování k udržitelné Evropě do roku 2030</w:t>
      </w:r>
      <w:r>
        <w:rPr>
          <w:sz w:val="16"/>
          <w:szCs w:val="16"/>
        </w:rPr>
        <w:t xml:space="preserve"> (září 2019 – </w:t>
      </w:r>
      <w:hyperlink r:id="rId4" w:history="1">
        <w:r w:rsidRPr="001E0CE1">
          <w:rPr>
            <w:rStyle w:val="Hyperlink"/>
            <w:sz w:val="16"/>
            <w:szCs w:val="16"/>
          </w:rPr>
          <w:t>Úř. věst. C 14, 15.1.2020</w:t>
        </w:r>
      </w:hyperlink>
      <w:r>
        <w:rPr>
          <w:sz w:val="16"/>
          <w:szCs w:val="16"/>
        </w:rPr>
        <w:t>).</w:t>
      </w:r>
    </w:p>
  </w:footnote>
  <w:footnote w:id="3">
    <w:p w14:paraId="3B0C981B" w14:textId="77777777" w:rsidR="00E32214" w:rsidRPr="003D7957" w:rsidRDefault="00E32214" w:rsidP="00C635B4">
      <w:pPr>
        <w:pStyle w:val="FootnoteText"/>
      </w:pPr>
      <w:r>
        <w:rPr>
          <w:rStyle w:val="FootnoteReference"/>
          <w:lang w:val="en-GB"/>
        </w:rPr>
        <w:footnoteRef/>
      </w:r>
      <w:r>
        <w:tab/>
        <w:t>ICC k reformě WTO, říjen 2019.</w:t>
      </w:r>
    </w:p>
  </w:footnote>
  <w:footnote w:id="4">
    <w:p w14:paraId="6D34273C" w14:textId="77777777" w:rsidR="00E32214" w:rsidRPr="003D7957" w:rsidRDefault="00E32214" w:rsidP="00C635B4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5" w:history="1">
        <w:r>
          <w:rPr>
            <w:rStyle w:val="Hyperlink"/>
          </w:rPr>
          <w:t>http://www.oecd.org/about/sge/fixing-globalisation-time-to-make-it-work-for-all-9789264275096-en.htm</w:t>
        </w:r>
      </w:hyperlink>
      <w:r>
        <w:t>, s. 9.</w:t>
      </w:r>
    </w:p>
  </w:footnote>
  <w:footnote w:id="5">
    <w:p w14:paraId="04D22A6D" w14:textId="77777777" w:rsidR="00E32214" w:rsidRPr="003D7957" w:rsidRDefault="00E32214" w:rsidP="00C635B4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6" w:history="1">
        <w:r>
          <w:rPr>
            <w:rStyle w:val="Hyperlink"/>
          </w:rPr>
          <w:t>Ministerské prohlášení WTO ze Singapuru</w:t>
        </w:r>
      </w:hyperlink>
      <w:r>
        <w:t>, 1996, odstavec 4.</w:t>
      </w:r>
    </w:p>
  </w:footnote>
  <w:footnote w:id="6">
    <w:p w14:paraId="0DB2545E" w14:textId="77777777" w:rsidR="00E32214" w:rsidRPr="003D7957" w:rsidRDefault="00E32214" w:rsidP="00C635B4">
      <w:pPr>
        <w:pStyle w:val="FootnoteText"/>
      </w:pPr>
      <w:r>
        <w:rPr>
          <w:rStyle w:val="FootnoteReference"/>
          <w:lang w:val="en-GB"/>
        </w:rPr>
        <w:footnoteRef/>
      </w:r>
      <w:r>
        <w:tab/>
        <w:t xml:space="preserve">Posudek 2/15 ze dne 16. května 2017, </w:t>
      </w:r>
      <w:hyperlink r:id="rId7" w:history="1">
        <w:r>
          <w:rPr>
            <w:rStyle w:val="Hyperlink"/>
          </w:rPr>
          <w:t>EU:C:2017:376</w:t>
        </w:r>
      </w:hyperlink>
      <w:r>
        <w:t>.</w:t>
      </w:r>
    </w:p>
  </w:footnote>
  <w:footnote w:id="7">
    <w:p w14:paraId="0D5B598B" w14:textId="2BC17043" w:rsidR="00E32214" w:rsidRPr="00E56398" w:rsidRDefault="00E32214" w:rsidP="00C635B4">
      <w:pPr>
        <w:pStyle w:val="FootnoteText"/>
      </w:pPr>
      <w:r>
        <w:rPr>
          <w:rStyle w:val="FootnoteReference"/>
          <w:lang w:val="en-GB"/>
        </w:rPr>
        <w:footnoteRef/>
      </w:r>
      <w:r>
        <w:tab/>
        <w:t xml:space="preserve">REX/500 </w:t>
      </w:r>
      <w:r>
        <w:rPr>
          <w:i/>
        </w:rPr>
        <w:t>Kapitoly o obchodu a udržitelném rozvoji v dohodách EU o volném obchodu</w:t>
      </w:r>
      <w:r>
        <w:t xml:space="preserve">, (červenec 2018 – </w:t>
      </w:r>
      <w:hyperlink r:id="rId8" w:history="1">
        <w:r w:rsidRPr="001E0CE1">
          <w:rPr>
            <w:rStyle w:val="Hyperlink"/>
          </w:rPr>
          <w:t>Úř. věst. C 227, 26.8.2018</w:t>
        </w:r>
      </w:hyperlink>
      <w:r>
        <w:t>), odstavec 2.4.</w:t>
      </w:r>
    </w:p>
  </w:footnote>
  <w:footnote w:id="8">
    <w:p w14:paraId="0486D03D" w14:textId="77777777" w:rsidR="00E32214" w:rsidRPr="003D7957" w:rsidRDefault="00E32214" w:rsidP="00C635B4">
      <w:pPr>
        <w:pStyle w:val="FootnoteText"/>
      </w:pPr>
      <w:r>
        <w:rPr>
          <w:rStyle w:val="FootnoteReference"/>
          <w:lang w:val="en-GB"/>
        </w:rPr>
        <w:footnoteRef/>
      </w:r>
      <w:r>
        <w:tab/>
        <w:t xml:space="preserve">MOP, </w:t>
      </w:r>
      <w:r>
        <w:rPr>
          <w:i/>
        </w:rPr>
        <w:t>Labour-related provisions in trade agreements: Recent trends and relevance to the ILO (Ustanovení týkající se práce v obchodních dohodách: nejnovější trendy a význam pro MOP)</w:t>
      </w:r>
      <w:r>
        <w:t xml:space="preserve">, </w:t>
      </w:r>
      <w:hyperlink r:id="rId9" w:history="1">
        <w:r>
          <w:rPr>
            <w:rStyle w:val="Hyperlink"/>
          </w:rPr>
          <w:t>GB.328/POL/3</w:t>
        </w:r>
      </w:hyperlink>
      <w:r>
        <w:t>, odstavec 9.</w:t>
      </w:r>
    </w:p>
  </w:footnote>
  <w:footnote w:id="9">
    <w:p w14:paraId="42EF641D" w14:textId="77777777" w:rsidR="00E32214" w:rsidRPr="003D7957" w:rsidRDefault="00E32214" w:rsidP="00C635B4">
      <w:pPr>
        <w:pStyle w:val="FootnoteText"/>
      </w:pPr>
      <w:r>
        <w:rPr>
          <w:rStyle w:val="FootnoteReference"/>
          <w:lang w:val="en-GB"/>
        </w:rPr>
        <w:footnoteRef/>
      </w:r>
      <w:r>
        <w:t xml:space="preserve"> </w:t>
      </w:r>
      <w:r>
        <w:tab/>
        <w:t xml:space="preserve">Jan Wouters, Cedric Ryngaert, Tom Ruys a Geert De Baere (2018). </w:t>
      </w:r>
      <w:r>
        <w:rPr>
          <w:i/>
        </w:rPr>
        <w:t>International Law: A European Perspective</w:t>
      </w:r>
      <w:r>
        <w:t>, Oxford, Hart Publishing, s. 259.</w:t>
      </w:r>
    </w:p>
  </w:footnote>
  <w:footnote w:id="10">
    <w:p w14:paraId="74E08FF6" w14:textId="77777777" w:rsidR="0021504A" w:rsidRPr="003D7957" w:rsidRDefault="0021504A" w:rsidP="0021504A">
      <w:pPr>
        <w:pStyle w:val="FootnoteText"/>
        <w:rPr>
          <w:b/>
          <w:bCs/>
        </w:rPr>
      </w:pPr>
      <w:r>
        <w:rPr>
          <w:rStyle w:val="FootnoteReference"/>
          <w:lang w:val="en-GB"/>
        </w:rPr>
        <w:footnoteRef/>
      </w:r>
      <w:r>
        <w:tab/>
        <w:t xml:space="preserve">Kanada vede skupinu členů WTO nazývanou </w:t>
      </w:r>
      <w:hyperlink r:id="rId10" w:history="1">
        <w:r>
          <w:rPr>
            <w:rStyle w:val="Hyperlink"/>
          </w:rPr>
          <w:t>Ottawská skupina</w:t>
        </w:r>
      </w:hyperlink>
      <w:r>
        <w:t xml:space="preserve">, jejímž cílem je řešit specifické výzvy stojící před multilaterálním systémem obchodování. </w:t>
      </w:r>
      <w:hyperlink r:id="rId11" w:history="1">
        <w:r>
          <w:rPr>
            <w:rStyle w:val="Hyperlink"/>
            <w:i/>
          </w:rPr>
          <w:t>June 2020 Statement of the Ottawa Group: Focusing Action on Covid-19</w:t>
        </w:r>
      </w:hyperlink>
      <w:r>
        <w:t xml:space="preserve"> (Prohlášení Ottawské skupiny z června 2020: Zaměření opatření na COVID-19), červen 2020.</w:t>
      </w:r>
    </w:p>
  </w:footnote>
  <w:footnote w:id="11">
    <w:p w14:paraId="65FFD1FE" w14:textId="77777777" w:rsidR="00E32214" w:rsidRPr="003D7957" w:rsidRDefault="00E32214" w:rsidP="00C635B4">
      <w:pPr>
        <w:pStyle w:val="FootnoteText"/>
      </w:pPr>
      <w:r>
        <w:rPr>
          <w:rStyle w:val="FootnoteReference"/>
          <w:lang w:val="en-GB"/>
        </w:rPr>
        <w:footnoteRef/>
      </w:r>
      <w:r>
        <w:tab/>
        <w:t>MOP (2018).</w:t>
      </w:r>
      <w:hyperlink r:id="rId12" w:history="1">
        <w:r>
          <w:rPr>
            <w:rStyle w:val="Hyperlink"/>
            <w:i/>
          </w:rPr>
          <w:t>World employment social outlook 2018 - Greening with jobs (Sociální výhled zaměstnanosti ve světě pro rok 2018 – Ekologizace a pracovní místa)</w:t>
        </w:r>
      </w:hyperlink>
      <w:r>
        <w:rPr>
          <w:i/>
        </w:rPr>
        <w:t>,</w:t>
      </w:r>
      <w:r>
        <w:t xml:space="preserve"> Ženeva.</w:t>
      </w:r>
    </w:p>
  </w:footnote>
  <w:footnote w:id="12">
    <w:p w14:paraId="2227E068" w14:textId="77777777" w:rsidR="00E32214" w:rsidRPr="003D7957" w:rsidRDefault="00E32214" w:rsidP="00C635B4">
      <w:pPr>
        <w:pStyle w:val="FootnoteText"/>
      </w:pPr>
      <w:r>
        <w:rPr>
          <w:rStyle w:val="FootnoteReference"/>
          <w:lang w:val="en-GB"/>
        </w:rPr>
        <w:footnoteRef/>
      </w:r>
      <w:r>
        <w:tab/>
        <w:t>MOP (2019).</w:t>
      </w:r>
      <w:hyperlink r:id="rId13" w:history="1">
        <w:r>
          <w:rPr>
            <w:rStyle w:val="Hyperlink"/>
            <w:i/>
          </w:rPr>
          <w:t>Working on a warmer planet: The impact of heat stress on labour productivity and decent work (Práce na teplejší planetě: Dopad vysokých teplot na produktivitu práce a důstojnou práci)</w:t>
        </w:r>
      </w:hyperlink>
      <w:r>
        <w:t>, Ženeva.</w:t>
      </w:r>
    </w:p>
  </w:footnote>
  <w:footnote w:id="13">
    <w:p w14:paraId="6ED8B52B" w14:textId="0658DEBB" w:rsidR="00911326" w:rsidRPr="003D7957" w:rsidRDefault="00911326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r>
        <w:rPr>
          <w:u w:val="single"/>
        </w:rPr>
        <w:t xml:space="preserve">REX/518: </w:t>
      </w:r>
      <w:r>
        <w:rPr>
          <w:i/>
          <w:u w:val="single"/>
        </w:rPr>
        <w:t>Závazná smlouva OSN o podnikání a lidských právech</w:t>
      </w:r>
      <w:r>
        <w:t xml:space="preserve"> (prosinec 2019, </w:t>
      </w:r>
      <w:hyperlink r:id="rId14" w:history="1">
        <w:r w:rsidRPr="001E0CE1">
          <w:rPr>
            <w:rStyle w:val="Hyperlink"/>
          </w:rPr>
          <w:t>Úř. věst. C 97, 24.3.2020, s. 9</w:t>
        </w:r>
      </w:hyperlink>
      <w:r>
        <w:t xml:space="preserve">). </w:t>
      </w:r>
    </w:p>
  </w:footnote>
  <w:footnote w:id="14">
    <w:p w14:paraId="0AAB2617" w14:textId="77777777" w:rsidR="00E32214" w:rsidRPr="003D7957" w:rsidRDefault="00E32214">
      <w:pPr>
        <w:pStyle w:val="FootnoteText"/>
      </w:pPr>
      <w:r>
        <w:rPr>
          <w:rStyle w:val="FootnoteReference"/>
          <w:lang w:val="en-GB"/>
        </w:rPr>
        <w:footnoteRef/>
      </w:r>
      <w:r>
        <w:tab/>
        <w:t>Neoficiální dokument JOB/TE/19 ze dne 19. ledna 2018.</w:t>
      </w:r>
    </w:p>
  </w:footnote>
  <w:footnote w:id="15">
    <w:p w14:paraId="62E0F062" w14:textId="7927EDA4" w:rsidR="00E32214" w:rsidRPr="003D7957" w:rsidRDefault="00E32214" w:rsidP="00C635B4">
      <w:pPr>
        <w:pStyle w:val="FootnoteText"/>
      </w:pPr>
      <w:r>
        <w:rPr>
          <w:rStyle w:val="FootnoteReference"/>
          <w:lang w:val="en-GB"/>
        </w:rPr>
        <w:footnoteRef/>
      </w:r>
      <w:r>
        <w:tab/>
        <w:t xml:space="preserve">Stanovisko CCMI/167 </w:t>
      </w:r>
      <w:r>
        <w:rPr>
          <w:i/>
        </w:rPr>
        <w:t>Zajištění souladu mezi politikami v oblasti klimatu a energetiky z pohledu průmyslových odvětví</w:t>
      </w:r>
      <w:r w:rsidR="001E0CE1">
        <w:t xml:space="preserve"> (červenec </w:t>
      </w:r>
      <w:r>
        <w:t xml:space="preserve">2019 – </w:t>
      </w:r>
      <w:hyperlink r:id="rId15" w:history="1">
        <w:r w:rsidRPr="001E0CE1">
          <w:rPr>
            <w:rStyle w:val="Hyperlink"/>
          </w:rPr>
          <w:t>Úř. věst. C 353, 18.10.2019</w:t>
        </w:r>
      </w:hyperlink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8FD6E" w14:textId="77777777" w:rsidR="00E32214" w:rsidRPr="00046276" w:rsidRDefault="00E32214" w:rsidP="00046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4177F" w14:textId="7C0D7BD0" w:rsidR="00E32214" w:rsidRPr="00046276" w:rsidRDefault="00E32214" w:rsidP="00046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DD6F" w14:textId="77777777" w:rsidR="00E32214" w:rsidRPr="00046276" w:rsidRDefault="00E32214" w:rsidP="00046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C7E47F2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B05135"/>
    <w:multiLevelType w:val="hybridMultilevel"/>
    <w:tmpl w:val="49B0464A"/>
    <w:lvl w:ilvl="0" w:tplc="D2A24C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36C3"/>
    <w:multiLevelType w:val="hybridMultilevel"/>
    <w:tmpl w:val="480458B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97147"/>
    <w:multiLevelType w:val="hybridMultilevel"/>
    <w:tmpl w:val="06AC2EC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E1799"/>
    <w:multiLevelType w:val="multilevel"/>
    <w:tmpl w:val="B282CEC6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3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5" w15:restartNumberingAfterBreak="0">
    <w:nsid w:val="1C2D16B8"/>
    <w:multiLevelType w:val="hybridMultilevel"/>
    <w:tmpl w:val="96B8B1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1991"/>
    <w:multiLevelType w:val="multilevel"/>
    <w:tmpl w:val="BB96E262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3" w:hanging="645"/>
      </w:pPr>
      <w:rPr>
        <w:rFonts w:hint="default"/>
      </w:rPr>
    </w:lvl>
    <w:lvl w:ilvl="2">
      <w:start w:val="3"/>
      <w:numFmt w:val="bullet"/>
      <w:lvlText w:val="˗"/>
      <w:lvlJc w:val="left"/>
      <w:pPr>
        <w:ind w:left="1296" w:hanging="720"/>
      </w:pPr>
      <w:rPr>
        <w:rFonts w:ascii="Times New Roman" w:eastAsia="Times New Roman" w:hAnsi="Times New Roman" w:cs="Times New Roman" w:hint="default"/>
      </w:rPr>
    </w:lvl>
    <w:lvl w:ilvl="3">
      <w:start w:val="5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7" w15:restartNumberingAfterBreak="0">
    <w:nsid w:val="22B94FDC"/>
    <w:multiLevelType w:val="hybridMultilevel"/>
    <w:tmpl w:val="C866998C"/>
    <w:lvl w:ilvl="0" w:tplc="EC9495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45ECF"/>
    <w:multiLevelType w:val="hybridMultilevel"/>
    <w:tmpl w:val="77743FD4"/>
    <w:lvl w:ilvl="0" w:tplc="B82E5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2184E"/>
    <w:multiLevelType w:val="multilevel"/>
    <w:tmpl w:val="B8484E6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64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10" w15:restartNumberingAfterBreak="0">
    <w:nsid w:val="3E366487"/>
    <w:multiLevelType w:val="hybridMultilevel"/>
    <w:tmpl w:val="475C022A"/>
    <w:lvl w:ilvl="0" w:tplc="F028CF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57591"/>
    <w:multiLevelType w:val="multilevel"/>
    <w:tmpl w:val="144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86AF9"/>
    <w:multiLevelType w:val="multilevel"/>
    <w:tmpl w:val="29DA1E50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3" w:hanging="64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13" w15:restartNumberingAfterBreak="0">
    <w:nsid w:val="57982B2A"/>
    <w:multiLevelType w:val="hybridMultilevel"/>
    <w:tmpl w:val="0C1495A8"/>
    <w:lvl w:ilvl="0" w:tplc="2B385C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5FD4"/>
    <w:multiLevelType w:val="hybridMultilevel"/>
    <w:tmpl w:val="51F0C6E8"/>
    <w:lvl w:ilvl="0" w:tplc="CFBE373C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 w15:restartNumberingAfterBreak="0">
    <w:nsid w:val="62523913"/>
    <w:multiLevelType w:val="hybridMultilevel"/>
    <w:tmpl w:val="AEDCD7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530D9"/>
    <w:multiLevelType w:val="hybridMultilevel"/>
    <w:tmpl w:val="4E8E31C6"/>
    <w:lvl w:ilvl="0" w:tplc="EC9495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73D59"/>
    <w:multiLevelType w:val="hybridMultilevel"/>
    <w:tmpl w:val="1CC06FAE"/>
    <w:lvl w:ilvl="0" w:tplc="8C3A30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501FE"/>
    <w:multiLevelType w:val="hybridMultilevel"/>
    <w:tmpl w:val="3FF85CD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D24F97"/>
    <w:multiLevelType w:val="hybridMultilevel"/>
    <w:tmpl w:val="396A1C1A"/>
    <w:lvl w:ilvl="0" w:tplc="D2A24C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767E5"/>
    <w:multiLevelType w:val="hybridMultilevel"/>
    <w:tmpl w:val="37FE599E"/>
    <w:lvl w:ilvl="0" w:tplc="B2B67724">
      <w:start w:val="3"/>
      <w:numFmt w:val="bullet"/>
      <w:lvlText w:val="˗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DD523B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5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4"/>
    </w:lvlOverride>
  </w:num>
  <w:num w:numId="7">
    <w:abstractNumId w:val="17"/>
  </w:num>
  <w:num w:numId="8">
    <w:abstractNumId w:val="0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2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2"/>
    </w:lvlOverride>
  </w:num>
  <w:num w:numId="10">
    <w:abstractNumId w:val="13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5"/>
    </w:lvlOverride>
  </w:num>
  <w:num w:numId="13">
    <w:abstractNumId w:val="11"/>
  </w:num>
  <w:num w:numId="14">
    <w:abstractNumId w:val="0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</w:num>
  <w:num w:numId="15">
    <w:abstractNumId w:val="0"/>
    <w:lvlOverride w:ilvl="0">
      <w:startOverride w:val="2"/>
    </w:lvlOverride>
    <w:lvlOverride w:ilvl="1">
      <w:startOverride w:val="2"/>
    </w:lvlOverride>
    <w:lvlOverride w:ilvl="2">
      <w:startOverride w:val="3"/>
    </w:lvlOverride>
  </w:num>
  <w:num w:numId="16">
    <w:abstractNumId w:val="3"/>
  </w:num>
  <w:num w:numId="17">
    <w:abstractNumId w:val="2"/>
  </w:num>
  <w:num w:numId="18">
    <w:abstractNumId w:val="0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6"/>
    </w:lvlOverride>
  </w:num>
  <w:num w:numId="19">
    <w:abstractNumId w:val="0"/>
    <w:lvlOverride w:ilvl="0">
      <w:startOverride w:val="4"/>
    </w:lvlOverride>
    <w:lvlOverride w:ilvl="1">
      <w:startOverride w:val="4"/>
    </w:lvlOverride>
    <w:lvlOverride w:ilvl="2">
      <w:startOverride w:val="2"/>
    </w:lvlOverride>
  </w:num>
  <w:num w:numId="20">
    <w:abstractNumId w:val="0"/>
    <w:lvlOverride w:ilvl="0">
      <w:startOverride w:val="4"/>
    </w:lvlOverride>
    <w:lvlOverride w:ilvl="1">
      <w:startOverride w:val="4"/>
    </w:lvlOverride>
    <w:lvlOverride w:ilvl="2">
      <w:startOverride w:val="2"/>
    </w:lvlOverride>
  </w:num>
  <w:num w:numId="21">
    <w:abstractNumId w:val="0"/>
    <w:lvlOverride w:ilvl="0">
      <w:startOverride w:val="4"/>
    </w:lvlOverride>
    <w:lvlOverride w:ilvl="1">
      <w:startOverride w:val="4"/>
    </w:lvlOverride>
  </w:num>
  <w:num w:numId="22">
    <w:abstractNumId w:val="0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5"/>
    </w:lvlOverride>
  </w:num>
  <w:num w:numId="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24">
    <w:abstractNumId w:val="0"/>
    <w:lvlOverride w:ilvl="0">
      <w:startOverride w:val="3"/>
    </w:lvlOverride>
    <w:lvlOverride w:ilvl="1">
      <w:startOverride w:val="1"/>
    </w:lvlOverride>
  </w:num>
  <w:num w:numId="25">
    <w:abstractNumId w:val="0"/>
    <w:lvlOverride w:ilvl="0">
      <w:startOverride w:val="3"/>
    </w:lvlOverride>
    <w:lvlOverride w:ilvl="1">
      <w:startOverride w:val="1"/>
    </w:lvlOverride>
  </w:num>
  <w:num w:numId="26">
    <w:abstractNumId w:val="0"/>
    <w:lvlOverride w:ilvl="0">
      <w:startOverride w:val="3"/>
    </w:lvlOverride>
    <w:lvlOverride w:ilvl="1">
      <w:startOverride w:val="1"/>
    </w:lvlOverride>
  </w:num>
  <w:num w:numId="27">
    <w:abstractNumId w:val="0"/>
    <w:lvlOverride w:ilvl="0">
      <w:startOverride w:val="4"/>
    </w:lvlOverride>
    <w:lvlOverride w:ilvl="1">
      <w:startOverride w:val="4"/>
    </w:lvlOverride>
  </w:num>
  <w:num w:numId="28">
    <w:abstractNumId w:val="0"/>
    <w:lvlOverride w:ilvl="0">
      <w:startOverride w:val="4"/>
    </w:lvlOverride>
    <w:lvlOverride w:ilvl="1">
      <w:startOverride w:val="4"/>
    </w:lvlOverride>
  </w:num>
  <w:num w:numId="29">
    <w:abstractNumId w:val="15"/>
  </w:num>
  <w:num w:numId="30">
    <w:abstractNumId w:val="7"/>
  </w:num>
  <w:num w:numId="31">
    <w:abstractNumId w:val="21"/>
  </w:num>
  <w:num w:numId="32">
    <w:abstractNumId w:val="12"/>
  </w:num>
  <w:num w:numId="33">
    <w:abstractNumId w:val="0"/>
  </w:num>
  <w:num w:numId="34">
    <w:abstractNumId w:val="0"/>
  </w:num>
  <w:num w:numId="35">
    <w:abstractNumId w:val="0"/>
  </w:num>
  <w:num w:numId="36">
    <w:abstractNumId w:val="9"/>
  </w:num>
  <w:num w:numId="37">
    <w:abstractNumId w:val="4"/>
  </w:num>
  <w:num w:numId="38">
    <w:abstractNumId w:val="6"/>
  </w:num>
  <w:num w:numId="39">
    <w:abstractNumId w:val="20"/>
  </w:num>
  <w:num w:numId="40">
    <w:abstractNumId w:val="1"/>
  </w:num>
  <w:num w:numId="41">
    <w:abstractNumId w:val="14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19"/>
  </w:num>
  <w:num w:numId="69">
    <w:abstractNumId w:val="0"/>
  </w:num>
  <w:num w:numId="70">
    <w:abstractNumId w:val="0"/>
  </w:num>
  <w:num w:numId="71">
    <w:abstractNumId w:val="0"/>
  </w:num>
  <w:num w:numId="72">
    <w:abstractNumId w:val="0"/>
  </w:num>
  <w:num w:numId="73">
    <w:abstractNumId w:val="0"/>
  </w:num>
  <w:num w:numId="74">
    <w:abstractNumId w:val="0"/>
  </w:num>
  <w:num w:numId="75">
    <w:abstractNumId w:val="0"/>
  </w:num>
  <w:num w:numId="76">
    <w:abstractNumId w:val="0"/>
  </w:num>
  <w:num w:numId="77">
    <w:abstractNumId w:val="0"/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B4"/>
    <w:rsid w:val="00007A02"/>
    <w:rsid w:val="000260DF"/>
    <w:rsid w:val="00043AB4"/>
    <w:rsid w:val="00046276"/>
    <w:rsid w:val="000515A9"/>
    <w:rsid w:val="00052836"/>
    <w:rsid w:val="00054A73"/>
    <w:rsid w:val="00087F6C"/>
    <w:rsid w:val="000A13A0"/>
    <w:rsid w:val="000A4254"/>
    <w:rsid w:val="000B1EB6"/>
    <w:rsid w:val="000C0EFC"/>
    <w:rsid w:val="000C107D"/>
    <w:rsid w:val="000D736B"/>
    <w:rsid w:val="000E1132"/>
    <w:rsid w:val="000E5977"/>
    <w:rsid w:val="001041B2"/>
    <w:rsid w:val="00137F55"/>
    <w:rsid w:val="001439C2"/>
    <w:rsid w:val="00151E3E"/>
    <w:rsid w:val="00155CDD"/>
    <w:rsid w:val="00182BB4"/>
    <w:rsid w:val="001868DA"/>
    <w:rsid w:val="00190F1A"/>
    <w:rsid w:val="00193A76"/>
    <w:rsid w:val="001A44EF"/>
    <w:rsid w:val="001B4CD9"/>
    <w:rsid w:val="001B6BC6"/>
    <w:rsid w:val="001B6C88"/>
    <w:rsid w:val="001C17A0"/>
    <w:rsid w:val="001D3835"/>
    <w:rsid w:val="001E0CE1"/>
    <w:rsid w:val="0020424B"/>
    <w:rsid w:val="0021504A"/>
    <w:rsid w:val="00215414"/>
    <w:rsid w:val="002379A9"/>
    <w:rsid w:val="00261330"/>
    <w:rsid w:val="002671B4"/>
    <w:rsid w:val="00291769"/>
    <w:rsid w:val="00291AF7"/>
    <w:rsid w:val="002A394B"/>
    <w:rsid w:val="002A63D1"/>
    <w:rsid w:val="002B4E92"/>
    <w:rsid w:val="002B52ED"/>
    <w:rsid w:val="002B7E86"/>
    <w:rsid w:val="002C2669"/>
    <w:rsid w:val="002C3A48"/>
    <w:rsid w:val="002D0A5B"/>
    <w:rsid w:val="002D64D4"/>
    <w:rsid w:val="002D6AC0"/>
    <w:rsid w:val="002F5EEF"/>
    <w:rsid w:val="00304AFF"/>
    <w:rsid w:val="003202BF"/>
    <w:rsid w:val="00344DA2"/>
    <w:rsid w:val="003470F4"/>
    <w:rsid w:val="0035524A"/>
    <w:rsid w:val="003672D4"/>
    <w:rsid w:val="00385270"/>
    <w:rsid w:val="003926CA"/>
    <w:rsid w:val="003B12FC"/>
    <w:rsid w:val="003C5697"/>
    <w:rsid w:val="003D7957"/>
    <w:rsid w:val="003F51D6"/>
    <w:rsid w:val="004022F3"/>
    <w:rsid w:val="00403692"/>
    <w:rsid w:val="00404458"/>
    <w:rsid w:val="00434115"/>
    <w:rsid w:val="00461064"/>
    <w:rsid w:val="00464F05"/>
    <w:rsid w:val="004669CE"/>
    <w:rsid w:val="0047047B"/>
    <w:rsid w:val="00474408"/>
    <w:rsid w:val="00476335"/>
    <w:rsid w:val="0049354E"/>
    <w:rsid w:val="004A5E0F"/>
    <w:rsid w:val="004A6E49"/>
    <w:rsid w:val="004B2E74"/>
    <w:rsid w:val="004C0FE5"/>
    <w:rsid w:val="004C4915"/>
    <w:rsid w:val="004E20D5"/>
    <w:rsid w:val="004E2D67"/>
    <w:rsid w:val="005117E5"/>
    <w:rsid w:val="00511805"/>
    <w:rsid w:val="005151D1"/>
    <w:rsid w:val="00515223"/>
    <w:rsid w:val="00527F5E"/>
    <w:rsid w:val="005347C4"/>
    <w:rsid w:val="00541F7C"/>
    <w:rsid w:val="00546FDC"/>
    <w:rsid w:val="00562E2B"/>
    <w:rsid w:val="0059120D"/>
    <w:rsid w:val="00592FD3"/>
    <w:rsid w:val="005A33D7"/>
    <w:rsid w:val="005B4184"/>
    <w:rsid w:val="005B5588"/>
    <w:rsid w:val="005E2A7E"/>
    <w:rsid w:val="005F0DDD"/>
    <w:rsid w:val="006006FC"/>
    <w:rsid w:val="0061024D"/>
    <w:rsid w:val="00622553"/>
    <w:rsid w:val="00627CAE"/>
    <w:rsid w:val="0063255E"/>
    <w:rsid w:val="0066220E"/>
    <w:rsid w:val="0067359E"/>
    <w:rsid w:val="00684592"/>
    <w:rsid w:val="006B44D3"/>
    <w:rsid w:val="006F2BB3"/>
    <w:rsid w:val="0071160C"/>
    <w:rsid w:val="00712DD7"/>
    <w:rsid w:val="00715C37"/>
    <w:rsid w:val="00722CBD"/>
    <w:rsid w:val="007275EC"/>
    <w:rsid w:val="00741B4F"/>
    <w:rsid w:val="00741D27"/>
    <w:rsid w:val="00747E84"/>
    <w:rsid w:val="00754CAD"/>
    <w:rsid w:val="00762128"/>
    <w:rsid w:val="00774CC3"/>
    <w:rsid w:val="0079131E"/>
    <w:rsid w:val="0079644E"/>
    <w:rsid w:val="007A6C63"/>
    <w:rsid w:val="007A6F8A"/>
    <w:rsid w:val="007C1B91"/>
    <w:rsid w:val="007C1DAD"/>
    <w:rsid w:val="007C24C8"/>
    <w:rsid w:val="007C3017"/>
    <w:rsid w:val="007D511F"/>
    <w:rsid w:val="007D5203"/>
    <w:rsid w:val="007E633C"/>
    <w:rsid w:val="008069B1"/>
    <w:rsid w:val="00810C2C"/>
    <w:rsid w:val="00814A27"/>
    <w:rsid w:val="008231EA"/>
    <w:rsid w:val="0083584F"/>
    <w:rsid w:val="00836FED"/>
    <w:rsid w:val="00847AA9"/>
    <w:rsid w:val="0085065B"/>
    <w:rsid w:val="0085210E"/>
    <w:rsid w:val="00852C34"/>
    <w:rsid w:val="00853FED"/>
    <w:rsid w:val="008700B4"/>
    <w:rsid w:val="00871084"/>
    <w:rsid w:val="008746C5"/>
    <w:rsid w:val="00880E67"/>
    <w:rsid w:val="00882FBC"/>
    <w:rsid w:val="008831A3"/>
    <w:rsid w:val="00897C86"/>
    <w:rsid w:val="008A29E6"/>
    <w:rsid w:val="008B4705"/>
    <w:rsid w:val="008C1BE5"/>
    <w:rsid w:val="008C46D6"/>
    <w:rsid w:val="008E37A3"/>
    <w:rsid w:val="008F32C8"/>
    <w:rsid w:val="00903B6C"/>
    <w:rsid w:val="00904FCD"/>
    <w:rsid w:val="00911326"/>
    <w:rsid w:val="0092081C"/>
    <w:rsid w:val="00944C02"/>
    <w:rsid w:val="009463E0"/>
    <w:rsid w:val="00946B31"/>
    <w:rsid w:val="00947512"/>
    <w:rsid w:val="00950878"/>
    <w:rsid w:val="009665E4"/>
    <w:rsid w:val="009678F1"/>
    <w:rsid w:val="00981AFD"/>
    <w:rsid w:val="0098558C"/>
    <w:rsid w:val="00992375"/>
    <w:rsid w:val="009D5B23"/>
    <w:rsid w:val="009D71A3"/>
    <w:rsid w:val="009E66C9"/>
    <w:rsid w:val="00A07585"/>
    <w:rsid w:val="00A202C6"/>
    <w:rsid w:val="00A23543"/>
    <w:rsid w:val="00A277B8"/>
    <w:rsid w:val="00A34B3F"/>
    <w:rsid w:val="00A3683C"/>
    <w:rsid w:val="00A40EBE"/>
    <w:rsid w:val="00A458AE"/>
    <w:rsid w:val="00A72DE0"/>
    <w:rsid w:val="00A73876"/>
    <w:rsid w:val="00A75A43"/>
    <w:rsid w:val="00A7690C"/>
    <w:rsid w:val="00A76D8E"/>
    <w:rsid w:val="00A820E1"/>
    <w:rsid w:val="00A928F1"/>
    <w:rsid w:val="00AB3848"/>
    <w:rsid w:val="00AC7136"/>
    <w:rsid w:val="00AF49E9"/>
    <w:rsid w:val="00B12215"/>
    <w:rsid w:val="00B178BB"/>
    <w:rsid w:val="00B22858"/>
    <w:rsid w:val="00B22C20"/>
    <w:rsid w:val="00B4075B"/>
    <w:rsid w:val="00B50748"/>
    <w:rsid w:val="00B577C3"/>
    <w:rsid w:val="00B630F1"/>
    <w:rsid w:val="00B70E55"/>
    <w:rsid w:val="00B74342"/>
    <w:rsid w:val="00B7636A"/>
    <w:rsid w:val="00B817EA"/>
    <w:rsid w:val="00B81FAE"/>
    <w:rsid w:val="00B9256C"/>
    <w:rsid w:val="00B94816"/>
    <w:rsid w:val="00BB64A4"/>
    <w:rsid w:val="00BC4F8C"/>
    <w:rsid w:val="00BD04FB"/>
    <w:rsid w:val="00BD1DB2"/>
    <w:rsid w:val="00BE7242"/>
    <w:rsid w:val="00BE7271"/>
    <w:rsid w:val="00BF40D7"/>
    <w:rsid w:val="00BF7DB0"/>
    <w:rsid w:val="00C01C88"/>
    <w:rsid w:val="00C164EE"/>
    <w:rsid w:val="00C408E1"/>
    <w:rsid w:val="00C43CC4"/>
    <w:rsid w:val="00C635B4"/>
    <w:rsid w:val="00C7139E"/>
    <w:rsid w:val="00C76EBC"/>
    <w:rsid w:val="00C80243"/>
    <w:rsid w:val="00CC67C8"/>
    <w:rsid w:val="00CE0FBD"/>
    <w:rsid w:val="00CE4F9C"/>
    <w:rsid w:val="00CF3AD2"/>
    <w:rsid w:val="00D03D65"/>
    <w:rsid w:val="00D11742"/>
    <w:rsid w:val="00D22F0A"/>
    <w:rsid w:val="00D32F4C"/>
    <w:rsid w:val="00D5148D"/>
    <w:rsid w:val="00D5174E"/>
    <w:rsid w:val="00D51C46"/>
    <w:rsid w:val="00D65242"/>
    <w:rsid w:val="00D71244"/>
    <w:rsid w:val="00DA0776"/>
    <w:rsid w:val="00DA1D04"/>
    <w:rsid w:val="00DA74F1"/>
    <w:rsid w:val="00DB622E"/>
    <w:rsid w:val="00DB736D"/>
    <w:rsid w:val="00DB7723"/>
    <w:rsid w:val="00E13352"/>
    <w:rsid w:val="00E15954"/>
    <w:rsid w:val="00E16296"/>
    <w:rsid w:val="00E31948"/>
    <w:rsid w:val="00E32214"/>
    <w:rsid w:val="00E500EA"/>
    <w:rsid w:val="00E52B0A"/>
    <w:rsid w:val="00E56398"/>
    <w:rsid w:val="00E6488B"/>
    <w:rsid w:val="00E7518D"/>
    <w:rsid w:val="00E75E14"/>
    <w:rsid w:val="00E77D52"/>
    <w:rsid w:val="00E86D40"/>
    <w:rsid w:val="00E96293"/>
    <w:rsid w:val="00EA012E"/>
    <w:rsid w:val="00EA2268"/>
    <w:rsid w:val="00EA4B6F"/>
    <w:rsid w:val="00EA697E"/>
    <w:rsid w:val="00EB5DB2"/>
    <w:rsid w:val="00EC3066"/>
    <w:rsid w:val="00ED1CA2"/>
    <w:rsid w:val="00EF2D6B"/>
    <w:rsid w:val="00F06C47"/>
    <w:rsid w:val="00F10027"/>
    <w:rsid w:val="00F11DC7"/>
    <w:rsid w:val="00F20116"/>
    <w:rsid w:val="00F241D3"/>
    <w:rsid w:val="00F47BE0"/>
    <w:rsid w:val="00F55A36"/>
    <w:rsid w:val="00F63C56"/>
    <w:rsid w:val="00F7132E"/>
    <w:rsid w:val="00F7365B"/>
    <w:rsid w:val="00F95516"/>
    <w:rsid w:val="00F97A23"/>
    <w:rsid w:val="00FB30F8"/>
    <w:rsid w:val="00FC4A6A"/>
    <w:rsid w:val="00FD7F8E"/>
    <w:rsid w:val="00FE445B"/>
    <w:rsid w:val="00FE570A"/>
    <w:rsid w:val="00FF0C93"/>
    <w:rsid w:val="00FF1D08"/>
    <w:rsid w:val="00FF41E2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247B0F4"/>
  <w15:docId w15:val="{6DE0B616-5FE9-4CB5-AF27-3F007F9E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592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831A3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831A3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C635B4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C635B4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8831A3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8831A3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8831A3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8831A3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8831A3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8459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84592"/>
  </w:style>
  <w:style w:type="character" w:customStyle="1" w:styleId="Heading1Char">
    <w:name w:val="Heading 1 Char"/>
    <w:basedOn w:val="DefaultParagraphFont"/>
    <w:link w:val="Heading1"/>
    <w:rsid w:val="00C635B4"/>
    <w:rPr>
      <w:rFonts w:ascii="Times New Roman" w:eastAsia="Times New Roman" w:hAnsi="Times New Roman" w:cs="Times New Roman"/>
      <w:kern w:val="28"/>
      <w:lang w:val="cs-CZ"/>
    </w:rPr>
  </w:style>
  <w:style w:type="character" w:customStyle="1" w:styleId="Heading2Char">
    <w:name w:val="Heading 2 Char"/>
    <w:basedOn w:val="DefaultParagraphFont"/>
    <w:link w:val="Heading2"/>
    <w:rsid w:val="00C635B4"/>
    <w:rPr>
      <w:rFonts w:ascii="Times New Roman" w:eastAsia="Times New Roman" w:hAnsi="Times New Roman" w:cs="Times New Roman"/>
      <w:lang w:val="cs-CZ"/>
    </w:rPr>
  </w:style>
  <w:style w:type="character" w:customStyle="1" w:styleId="Heading3Char">
    <w:name w:val="Heading 3 Char"/>
    <w:basedOn w:val="DefaultParagraphFont"/>
    <w:link w:val="Heading3"/>
    <w:rsid w:val="00C635B4"/>
    <w:rPr>
      <w:rFonts w:ascii="Times New Roman" w:eastAsia="Times New Roman" w:hAnsi="Times New Roman" w:cs="Times New Roman"/>
      <w:lang w:val="cs-CZ"/>
    </w:rPr>
  </w:style>
  <w:style w:type="character" w:customStyle="1" w:styleId="Heading4Char">
    <w:name w:val="Heading 4 Char"/>
    <w:basedOn w:val="DefaultParagraphFont"/>
    <w:link w:val="Heading4"/>
    <w:rsid w:val="00C635B4"/>
    <w:rPr>
      <w:rFonts w:ascii="Times New Roman" w:eastAsia="Times New Roman" w:hAnsi="Times New Roman" w:cs="Times New Roman"/>
      <w:lang w:val="cs-CZ"/>
    </w:rPr>
  </w:style>
  <w:style w:type="character" w:customStyle="1" w:styleId="Heading5Char">
    <w:name w:val="Heading 5 Char"/>
    <w:basedOn w:val="DefaultParagraphFont"/>
    <w:link w:val="Heading5"/>
    <w:rsid w:val="00C635B4"/>
    <w:rPr>
      <w:rFonts w:ascii="Times New Roman" w:eastAsia="Times New Roman" w:hAnsi="Times New Roman" w:cs="Times New Roman"/>
      <w:lang w:val="cs-CZ"/>
    </w:rPr>
  </w:style>
  <w:style w:type="character" w:customStyle="1" w:styleId="Heading6Char">
    <w:name w:val="Heading 6 Char"/>
    <w:basedOn w:val="DefaultParagraphFont"/>
    <w:link w:val="Heading6"/>
    <w:rsid w:val="00C635B4"/>
    <w:rPr>
      <w:rFonts w:ascii="Times New Roman" w:eastAsia="Times New Roman" w:hAnsi="Times New Roman" w:cs="Times New Roman"/>
      <w:lang w:val="cs-CZ"/>
    </w:rPr>
  </w:style>
  <w:style w:type="character" w:customStyle="1" w:styleId="Heading7Char">
    <w:name w:val="Heading 7 Char"/>
    <w:basedOn w:val="DefaultParagraphFont"/>
    <w:link w:val="Heading7"/>
    <w:rsid w:val="00C635B4"/>
    <w:rPr>
      <w:rFonts w:ascii="Times New Roman" w:eastAsia="Times New Roman" w:hAnsi="Times New Roman" w:cs="Times New Roman"/>
      <w:lang w:val="cs-CZ"/>
    </w:rPr>
  </w:style>
  <w:style w:type="character" w:customStyle="1" w:styleId="Heading8Char">
    <w:name w:val="Heading 8 Char"/>
    <w:basedOn w:val="DefaultParagraphFont"/>
    <w:link w:val="Heading8"/>
    <w:rsid w:val="00C635B4"/>
    <w:rPr>
      <w:rFonts w:ascii="Times New Roman" w:eastAsia="Times New Roman" w:hAnsi="Times New Roman" w:cs="Times New Roman"/>
      <w:lang w:val="cs-CZ"/>
    </w:rPr>
  </w:style>
  <w:style w:type="character" w:customStyle="1" w:styleId="Heading9Char">
    <w:name w:val="Heading 9 Char"/>
    <w:basedOn w:val="DefaultParagraphFont"/>
    <w:link w:val="Heading9"/>
    <w:rsid w:val="00C635B4"/>
    <w:rPr>
      <w:rFonts w:ascii="Times New Roman" w:eastAsia="Times New Roman" w:hAnsi="Times New Roman" w:cs="Times New Roman"/>
      <w:lang w:val="cs-CZ"/>
    </w:rPr>
  </w:style>
  <w:style w:type="paragraph" w:styleId="Footer">
    <w:name w:val="footer"/>
    <w:basedOn w:val="Normal"/>
    <w:link w:val="FooterChar"/>
    <w:qFormat/>
    <w:rsid w:val="00C635B4"/>
  </w:style>
  <w:style w:type="character" w:customStyle="1" w:styleId="FooterChar">
    <w:name w:val="Footer Char"/>
    <w:basedOn w:val="DefaultParagraphFont"/>
    <w:link w:val="Footer"/>
    <w:rsid w:val="00C635B4"/>
    <w:rPr>
      <w:rFonts w:ascii="Times New Roman" w:eastAsia="Times New Roman" w:hAnsi="Times New Roman" w:cs="Times New Roman"/>
      <w:lang w:val="cs-CZ"/>
    </w:rPr>
  </w:style>
  <w:style w:type="paragraph" w:styleId="FootnoteText">
    <w:name w:val="footnote text"/>
    <w:basedOn w:val="Normal"/>
    <w:link w:val="FootnoteTextChar"/>
    <w:qFormat/>
    <w:rsid w:val="00C635B4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C635B4"/>
    <w:rPr>
      <w:rFonts w:ascii="Times New Roman" w:eastAsia="Times New Roman" w:hAnsi="Times New Roman" w:cs="Times New Roman"/>
      <w:sz w:val="16"/>
      <w:lang w:val="cs-CZ"/>
    </w:rPr>
  </w:style>
  <w:style w:type="paragraph" w:styleId="Header">
    <w:name w:val="header"/>
    <w:basedOn w:val="Normal"/>
    <w:link w:val="HeaderChar"/>
    <w:qFormat/>
    <w:rsid w:val="00C635B4"/>
  </w:style>
  <w:style w:type="character" w:customStyle="1" w:styleId="HeaderChar">
    <w:name w:val="Header Char"/>
    <w:basedOn w:val="DefaultParagraphFont"/>
    <w:link w:val="Header"/>
    <w:rsid w:val="00C635B4"/>
    <w:rPr>
      <w:rFonts w:ascii="Times New Roman" w:eastAsia="Times New Roman" w:hAnsi="Times New Roman" w:cs="Times New Roman"/>
      <w:lang w:val="cs-CZ"/>
    </w:rPr>
  </w:style>
  <w:style w:type="paragraph" w:customStyle="1" w:styleId="quotes">
    <w:name w:val="quotes"/>
    <w:basedOn w:val="Normal"/>
    <w:next w:val="Normal"/>
    <w:rsid w:val="00C635B4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C635B4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C635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635B4"/>
    <w:rPr>
      <w:color w:val="800080"/>
      <w:u w:val="single"/>
    </w:rPr>
  </w:style>
  <w:style w:type="paragraph" w:customStyle="1" w:styleId="LOGO">
    <w:name w:val="LOGO"/>
    <w:basedOn w:val="Normal"/>
    <w:uiPriority w:val="99"/>
    <w:rsid w:val="00C635B4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5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5B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5B4"/>
    <w:pPr>
      <w:ind w:left="720"/>
      <w:contextualSpacing/>
    </w:pPr>
  </w:style>
  <w:style w:type="paragraph" w:customStyle="1" w:styleId="Default">
    <w:name w:val="Default"/>
    <w:rsid w:val="00C635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35B4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35B4"/>
    <w:pPr>
      <w:spacing w:line="240" w:lineRule="auto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35B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5B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table" w:customStyle="1" w:styleId="GridTable2-Accent41">
    <w:name w:val="Grid Table 2 - Accent 41"/>
    <w:basedOn w:val="TableNormal"/>
    <w:uiPriority w:val="47"/>
    <w:rsid w:val="00C635B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C635B4"/>
    <w:pPr>
      <w:spacing w:before="100" w:beforeAutospacing="1" w:after="100" w:afterAutospacing="1" w:line="240" w:lineRule="auto"/>
    </w:pPr>
    <w:rPr>
      <w:sz w:val="24"/>
      <w:szCs w:val="24"/>
      <w:lang w:eastAsia="fr-FR"/>
    </w:rPr>
  </w:style>
  <w:style w:type="character" w:styleId="CommentReference">
    <w:name w:val="annotation reference"/>
    <w:basedOn w:val="DefaultParagraphFont"/>
    <w:semiHidden/>
    <w:unhideWhenUsed/>
    <w:rsid w:val="00C635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63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35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5B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5yl5">
    <w:name w:val="_5yl5"/>
    <w:basedOn w:val="DefaultParagraphFont"/>
    <w:rsid w:val="00C635B4"/>
  </w:style>
  <w:style w:type="table" w:styleId="TableGrid">
    <w:name w:val="Table Grid"/>
    <w:basedOn w:val="TableNormal"/>
    <w:uiPriority w:val="39"/>
    <w:rsid w:val="00F6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E5977"/>
    <w:pPr>
      <w:spacing w:line="240" w:lineRule="auto"/>
    </w:pPr>
    <w:rPr>
      <w:rFonts w:ascii="Calibri" w:hAnsi="Calibri"/>
      <w:szCs w:val="21"/>
      <w:lang w:eastAsia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5977"/>
    <w:rPr>
      <w:rFonts w:ascii="Calibri" w:eastAsia="Times New Roman" w:hAnsi="Calibri" w:cs="Times New Roman"/>
      <w:szCs w:val="21"/>
      <w:lang w:val="cs-CZ" w:eastAsia="fr-FR"/>
    </w:rPr>
  </w:style>
  <w:style w:type="paragraph" w:styleId="Revision">
    <w:name w:val="Revision"/>
    <w:hidden/>
    <w:uiPriority w:val="99"/>
    <w:semiHidden/>
    <w:rsid w:val="008831A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xUriServ/LexUriServ.do?uri=OJ:C:2018:227:SOM:CS:HTML" TargetMode="External"/><Relationship Id="rId13" Type="http://schemas.openxmlformats.org/officeDocument/2006/relationships/hyperlink" Target="https://www.ilo.org/wcmsp5/groups/public/---dgreports/---dcomm/---publ/documents/publication/wcms_711919.pdf" TargetMode="External"/><Relationship Id="rId3" Type="http://schemas.openxmlformats.org/officeDocument/2006/relationships/hyperlink" Target="https://eur-lex.europa.eu/LexUriServ/LexUriServ.do?uri=OJ:C:2018:227:SOM:CS:HTML" TargetMode="External"/><Relationship Id="rId7" Type="http://schemas.openxmlformats.org/officeDocument/2006/relationships/hyperlink" Target="http://curia.europa.eu/juris/document/document.jsf?text=&amp;docid=190727&amp;doclang=CS" TargetMode="External"/><Relationship Id="rId12" Type="http://schemas.openxmlformats.org/officeDocument/2006/relationships/hyperlink" Target="https://www.ilo.org/wcmsp5/groups/public/---dgreports/---dcomm/---publ/documents/publication/wcms_628654.pdf" TargetMode="External"/><Relationship Id="rId2" Type="http://schemas.openxmlformats.org/officeDocument/2006/relationships/hyperlink" Target="https://eur-lex.europa.eu/LexUriServ/LexUriServ.do?uri=OJ:C:2020:047:SOM:CS:HTML" TargetMode="External"/><Relationship Id="rId1" Type="http://schemas.openxmlformats.org/officeDocument/2006/relationships/hyperlink" Target="https://eur-lex.europa.eu/LexUriServ/LexUriServ.do?uri=OJ:C:2019:159:SOM:CS:HTML" TargetMode="External"/><Relationship Id="rId6" Type="http://schemas.openxmlformats.org/officeDocument/2006/relationships/hyperlink" Target="https://www.wto.org/english/thewto_e/minist_e/min96_e/wtodec_e.htm" TargetMode="External"/><Relationship Id="rId11" Type="http://schemas.openxmlformats.org/officeDocument/2006/relationships/hyperlink" Target="https://www.international.gc.ca/world-monde/international_relations-relations_internationales/wto-omc/2019-06-covid-19.aspx?lang=eng" TargetMode="External"/><Relationship Id="rId5" Type="http://schemas.openxmlformats.org/officeDocument/2006/relationships/hyperlink" Target="http://www.oecd.org/about/sge/fixing-globalisation-time-to-make-it-work-for-all-9789264275096-en.htm" TargetMode="External"/><Relationship Id="rId15" Type="http://schemas.openxmlformats.org/officeDocument/2006/relationships/hyperlink" Target="https://eur-lex.europa.eu/LexUriServ/LexUriServ.do?uri=OJ:C:2019:353:SOM:CS:HTML" TargetMode="External"/><Relationship Id="rId10" Type="http://schemas.openxmlformats.org/officeDocument/2006/relationships/hyperlink" Target="https://www.canada.ca/en/global-affairs/news/2019/05/ottawa-group-and-wto-reform.html" TargetMode="External"/><Relationship Id="rId4" Type="http://schemas.openxmlformats.org/officeDocument/2006/relationships/hyperlink" Target="https://eur-lex.europa.eu/LexUriServ/LexUriServ.do?uri=OJ:C:2020:014:SOM:CS:HTML" TargetMode="External"/><Relationship Id="rId9" Type="http://schemas.openxmlformats.org/officeDocument/2006/relationships/hyperlink" Target="https://www.ilo.org/wcmsp5/groups/public/---ed_norm/---relconf/documents/meetingdocument/wcms_530526.pdf" TargetMode="External"/><Relationship Id="rId14" Type="http://schemas.openxmlformats.org/officeDocument/2006/relationships/hyperlink" Target="https://eur-lex.europa.eu/LexUriServ/LexUriServ.do?uri=OJ:C:2020:097:SOM:CS: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VV634QRNENMJ-2004427339-8282</_dlc_DocId>
    <_dlc_DocIdUrl xmlns="cda99570-6012-4083-bfeb-7d32ad1ce1a3">
      <Url>http://dm/eesc/2020/_layouts/15/DocIdRedir.aspx?ID=VV634QRNENMJ-2004427339-8282</Url>
      <Description>VV634QRNENMJ-2004427339-8282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Procedure xmlns="cda99570-6012-4083-bfeb-7d32ad1ce1a3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2020-07-20T12:00:00+00:00</ProductionDate>
    <FicheYear xmlns="cda99570-6012-4083-bfeb-7d32ad1ce1a3">2020</FicheYear>
    <DocumentNumber xmlns="0381fa04-922e-4f8c-89b0-7415d369da52">1551</DocumentNumber>
    <DocumentVersion xmlns="cda99570-6012-4083-bfeb-7d32ad1ce1a3">1</DocumentVersion>
    <DossierNumber xmlns="cda99570-6012-4083-bfeb-7d32ad1ce1a3">529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 xsi:nil="true"/>
    <TaxCatchAll xmlns="cda99570-6012-4083-bfeb-7d32ad1ce1a3">
      <Value>84</Value>
      <Value>70</Value>
      <Value>69</Value>
      <Value>48</Value>
      <Value>47</Value>
      <Value>46</Value>
      <Value>45</Value>
      <Value>44</Value>
      <Value>43</Value>
      <Value>41</Value>
      <Value>40</Value>
      <Value>39</Value>
      <Value>38</Value>
      <Value>36</Value>
      <Value>34</Value>
      <Value>32</Value>
      <Value>31</Value>
      <Value>30</Value>
      <Value>29</Value>
      <Value>24</Value>
      <Value>16</Value>
      <Value>13</Value>
      <Value>11</Value>
      <Value>10</Value>
      <Value>9</Value>
      <Value>6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Rapporteur xmlns="cda99570-6012-4083-bfeb-7d32ad1ce1a3">BUTAUD-STUBBS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cda99570-6012-4083-bfeb-7d32ad1ce1a3">2020</DocumentYear>
    <FicheNumber xmlns="cda99570-6012-4083-bfeb-7d32ad1ce1a3">7972</FicheNumber>
    <DocumentPart xmlns="cda99570-6012-4083-bfeb-7d32ad1ce1a3">0</DocumentPart>
    <AdoptionDate xmlns="cda99570-6012-4083-bfeb-7d32ad1ce1a3">2020-07-15T12:00:00+00:00</AdoptionDate>
    <RequestingService xmlns="cda99570-6012-4083-bfeb-7d32ad1ce1a3">Relations extérieures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81fa04-922e-4f8c-89b0-7415d369da5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OriginalSender xmlns="cda99570-6012-4083-bfeb-7d32ad1ce1a3">
      <UserInfo>
        <DisplayName/>
        <AccountId xsi:nil="true"/>
        <AccountType/>
      </UserInfo>
    </OriginalSender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10FCE28FA6316941A8E63DE5CBD60CA0" ma:contentTypeVersion="6" ma:contentTypeDescription="Defines the documents for Document Manager V2" ma:contentTypeScope="" ma:versionID="a3253a0ccf33e9b1ccdef8f641ad26bb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0381fa04-922e-4f8c-89b0-7415d369da52" targetNamespace="http://schemas.microsoft.com/office/2006/metadata/properties" ma:root="true" ma:fieldsID="8c039f2131b72da90ec4c7cedaf54b13" ns2:_="" ns3:_="" ns4:_="">
    <xsd:import namespace="cda99570-6012-4083-bfeb-7d32ad1ce1a3"/>
    <xsd:import namespace="http://schemas.microsoft.com/sharepoint/v3/fields"/>
    <xsd:import namespace="0381fa04-922e-4f8c-89b0-7415d369d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  <xsd:element ref="ns2:Original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  <xsd:element name="OriginalSender" ma:index="47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1fa04-922e-4f8c-89b0-7415d369da52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A1FCB-46C2-43FF-A664-FA263CF11AFD}"/>
</file>

<file path=customXml/itemProps2.xml><?xml version="1.0" encoding="utf-8"?>
<ds:datastoreItem xmlns:ds="http://schemas.openxmlformats.org/officeDocument/2006/customXml" ds:itemID="{09F2511F-D599-4645-8F15-84BBD91296D9}"/>
</file>

<file path=customXml/itemProps3.xml><?xml version="1.0" encoding="utf-8"?>
<ds:datastoreItem xmlns:ds="http://schemas.openxmlformats.org/officeDocument/2006/customXml" ds:itemID="{1CCED6A5-BF6E-4151-BD29-A497C04B06FA}"/>
</file>

<file path=customXml/itemProps4.xml><?xml version="1.0" encoding="utf-8"?>
<ds:datastoreItem xmlns:ds="http://schemas.openxmlformats.org/officeDocument/2006/customXml" ds:itemID="{4AF92594-2B25-46B1-AAF7-31DCD27DD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3990</Words>
  <Characters>22747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 post COVID-19 emergency: the design of a New Multilateral Matrix</vt:lpstr>
      <vt:lpstr>REX/529 - A plan for a New Multilateral Matrix (NMM): proposed changes to ensure consistency between international trade, climate change and social ru</vt:lpstr>
    </vt:vector>
  </TitlesOfParts>
  <Company>CESE-CdR</Company>
  <LinksUpToDate>false</LinksUpToDate>
  <CharactersWithSpaces>26684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Mimořádná situace po pandemii COVID-19  návrh nové multilaterální struktury</dc:title>
  <dc:creator>Galon Delphine</dc:creator>
  <cp:keywords>EESC-2020-01551-00-01-AC-TRA-EN</cp:keywords>
  <dc:description>Rapporteur: BUTAUD-STUBBS - Original language: EN - Date of document: 20/07/2020 - Date of meeting:  - External documents:  - Administrator:  GALON Delphine</dc:description>
  <cp:lastModifiedBy>TDriveSVCUserAccpt</cp:lastModifiedBy>
  <cp:revision>12</cp:revision>
  <dcterms:created xsi:type="dcterms:W3CDTF">2020-07-20T12:58:00Z</dcterms:created>
  <dcterms:modified xsi:type="dcterms:W3CDTF">2022-03-21T20:44:00Z</dcterms:modified>
  <cp:category>REX/529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20/07/2020, 17/07/2020, 17/07/2020, 06/07/2020, 06/07/2020, 02/06/2020, 02/06/2020, 12/05/2020, 12/05/2020</vt:lpwstr>
  </property>
  <property fmtid="{D5CDD505-2E9C-101B-9397-08002B2CF9AE}" pid="4" name="Pref_Time">
    <vt:lpwstr>14:57:03, 17:19:38, 17:06:41, 13:59:00, 13:49:57, 14:08:43, 13:52:49, 17:11:31, 16:25:20</vt:lpwstr>
  </property>
  <property fmtid="{D5CDD505-2E9C-101B-9397-08002B2CF9AE}" pid="5" name="Pref_User">
    <vt:lpwstr>amett, enied, htoo, enied, htoo, jhvi, htoo, hnic, ssex</vt:lpwstr>
  </property>
  <property fmtid="{D5CDD505-2E9C-101B-9397-08002B2CF9AE}" pid="6" name="Pref_FileName">
    <vt:lpwstr>EESC-2020-01551-00-01-AC-ORI.docx, EESC-2020-01551-00-00-AC-TRA-EN-CRR.docx, EESC-2020-01551-00-00-AC-CRR-EN.docx, EESC-2020-01551-00-00-AS-TRA-EN-CRR.docx, EESC-2020-01551-00-00-AS-CRR-EN.docx, EESC-2020-01551-00-00-PA-TRA-EN-CRR.docx, EESC-2020-01551-00</vt:lpwstr>
  </property>
  <property fmtid="{D5CDD505-2E9C-101B-9397-08002B2CF9AE}" pid="7" name="ContentTypeId">
    <vt:lpwstr>0x010100EA97B91038054C99906057A708A1480A0010FCE28FA6316941A8E63DE5CBD60CA0</vt:lpwstr>
  </property>
  <property fmtid="{D5CDD505-2E9C-101B-9397-08002B2CF9AE}" pid="8" name="_dlc_DocIdItemGuid">
    <vt:lpwstr>d7f9dcfc-32c4-4939-a760-4851d2d8a05b</vt:lpwstr>
  </property>
  <property fmtid="{D5CDD505-2E9C-101B-9397-08002B2CF9AE}" pid="9" name="AvailableTranslations">
    <vt:lpwstr>38;#EL|6d4f4d51-af9b-4650-94b4-4276bee85c91;#24;#LV|46f7e311-5d9f-4663-b433-18aeccb7ace7;#46;#SK|46d9fce0-ef79-4f71-b89b-cd6aa82426b8;#30;#LT|a7ff5ce7-6123-4f68-865a-a57c31810414;#10;#DE|f6b31e5a-26fa-4935-b661-318e46daf27e;#43;#HR|2f555653-ed1a-4fe6-8362</vt:lpwstr>
  </property>
  <property fmtid="{D5CDD505-2E9C-101B-9397-08002B2CF9AE}" pid="10" name="DocumentType_0">
    <vt:lpwstr>AC|a4cc1d15-fb08-4679-ad46-e4e0cba5fe92</vt:lpwstr>
  </property>
  <property fmtid="{D5CDD505-2E9C-101B-9397-08002B2CF9AE}" pid="11" name="DossierName_0">
    <vt:lpwstr>REX|6820eaf5-116e-436b-ad9c-156f8a94c2a1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1551</vt:i4>
  </property>
  <property fmtid="{D5CDD505-2E9C-101B-9397-08002B2CF9AE}" pid="14" name="FicheYear">
    <vt:i4>2020</vt:i4>
  </property>
  <property fmtid="{D5CDD505-2E9C-101B-9397-08002B2CF9AE}" pid="15" name="DocumentVersion">
    <vt:i4>1</vt:i4>
  </property>
  <property fmtid="{D5CDD505-2E9C-101B-9397-08002B2CF9AE}" pid="16" name="DossierNumber">
    <vt:i4>529</vt:i4>
  </property>
  <property fmtid="{D5CDD505-2E9C-101B-9397-08002B2CF9AE}" pid="17" name="DocumentStatus">
    <vt:lpwstr>2;#TRA|150d2a88-1431-44e6-a8ca-0bb753ab8672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>84;#REX|6820eaf5-116e-436b-ad9c-156f8a94c2a1</vt:lpwstr>
  </property>
  <property fmtid="{D5CDD505-2E9C-101B-9397-08002B2CF9AE}" pid="20" name="DocumentSource">
    <vt:lpwstr>1;#EESC|422833ec-8d7e-4e65-8e4e-8bed07ffb729</vt:lpwstr>
  </property>
  <property fmtid="{D5CDD505-2E9C-101B-9397-08002B2CF9AE}" pid="21" name="AdoptionDate">
    <vt:filetime>2020-07-15T12:00:00Z</vt:filetime>
  </property>
  <property fmtid="{D5CDD505-2E9C-101B-9397-08002B2CF9AE}" pid="22" name="DocumentType">
    <vt:lpwstr>70;#AC|a4cc1d15-fb08-4679-ad46-e4e0cba5fe92</vt:lpwstr>
  </property>
  <property fmtid="{D5CDD505-2E9C-101B-9397-08002B2CF9AE}" pid="23" name="RequestingService">
    <vt:lpwstr>Relations extérieures</vt:lpwstr>
  </property>
  <property fmtid="{D5CDD505-2E9C-101B-9397-08002B2CF9AE}" pid="24" name="Confidentiality">
    <vt:lpwstr>5;#Unrestricted|826e22d7-d029-4ec0-a450-0c28ff673572</vt:lpwstr>
  </property>
  <property fmtid="{D5CDD505-2E9C-101B-9397-08002B2CF9AE}" pid="25" name="MeetingName_0">
    <vt:lpwstr/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4;#EN|f2175f21-25d7-44a3-96da-d6a61b075e1b</vt:lpwstr>
  </property>
  <property fmtid="{D5CDD505-2E9C-101B-9397-08002B2CF9AE}" pid="28" name="MeetingName">
    <vt:lpwstr/>
  </property>
  <property fmtid="{D5CDD505-2E9C-101B-9397-08002B2CF9AE}" pid="29" name="AvailableTranslations_0">
    <vt:lpwstr>EL|6d4f4d51-af9b-4650-94b4-4276bee85c91;LV|46f7e311-5d9f-4663-b433-18aeccb7ace7;LT|a7ff5ce7-6123-4f68-865a-a57c31810414;DE|f6b31e5a-26fa-4935-b661-318e46daf27e;FR|d2afafd3-4c81-4f60-8f52-ee33f2f54ff3;ET|ff6c3f4c-b02c-4c3c-ab07-2c37995a7a0a;NL|55c6556c-b4f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84;#REX|6820eaf5-116e-436b-ad9c-156f8a94c2a1;#34;#SL|98a412ae-eb01-49e9-ae3d-585a81724cfc;#70;#AC|a4cc1d15-fb08-4679-ad46-e4e0cba5fe92;#30;#LT|a7ff5ce7-6123-4f68-865a-a57c31810414;#24;#LV|46f7e311-5d9f-4663-b433-18aeccb7ace7;#38;#EL|6d4f4d51-af9b-4650-94b</vt:lpwstr>
  </property>
  <property fmtid="{D5CDD505-2E9C-101B-9397-08002B2CF9AE}" pid="33" name="Rapporteur">
    <vt:lpwstr>BUTAUD-STUBBS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6;#Final|ea5e6674-7b27-4bac-b091-73adbb394efe</vt:lpwstr>
  </property>
  <property fmtid="{D5CDD505-2E9C-101B-9397-08002B2CF9AE}" pid="36" name="DocumentYear">
    <vt:i4>2020</vt:i4>
  </property>
  <property fmtid="{D5CDD505-2E9C-101B-9397-08002B2CF9AE}" pid="37" name="FicheNumber">
    <vt:i4>7972</vt:i4>
  </property>
  <property fmtid="{D5CDD505-2E9C-101B-9397-08002B2CF9AE}" pid="38" name="DocumentLanguage">
    <vt:lpwstr>31;#CS|72f9705b-0217-4fd3-bea2-cbc7ed80e26e</vt:lpwstr>
  </property>
</Properties>
</file>