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E56A" w14:textId="1E1B975F" w:rsidR="00646AC2" w:rsidRPr="00EE5F1F" w:rsidRDefault="00A3751E" w:rsidP="00A34C7E">
      <w:pPr>
        <w:jc w:val="center"/>
      </w:pPr>
      <w:r>
        <w:rPr>
          <w:noProof/>
        </w:rPr>
        <w:drawing>
          <wp:inline distT="0" distB="0" distL="0" distR="0" wp14:anchorId="2665D353" wp14:editId="35C9E9D0">
            <wp:extent cx="1792605" cy="1239520"/>
            <wp:effectExtent l="0" t="0" r="0" b="0"/>
            <wp:docPr id="904254221" name="Picture 2" title="EESCLogo_FR"/>
            <wp:cNvGraphicFramePr/>
            <a:graphic xmlns:a="http://schemas.openxmlformats.org/drawingml/2006/main">
              <a:graphicData uri="http://schemas.openxmlformats.org/drawingml/2006/picture">
                <pic:pic xmlns:pic="http://schemas.openxmlformats.org/drawingml/2006/picture">
                  <pic:nvPicPr>
                    <pic:cNvPr id="904254221" name="Picture 2" title="EESCLogo_FR"/>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61824" behindDoc="1" locked="0" layoutInCell="0" allowOverlap="1" wp14:anchorId="131133D6" wp14:editId="238AE3F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5060660" w14:textId="77777777" w:rsidR="002C1DB1" w:rsidRPr="00260E65" w:rsidRDefault="002C1DB1">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5E7A16AD" w14:textId="77777777" w:rsidR="008C74D9" w:rsidRPr="00EE5F1F" w:rsidRDefault="008C74D9" w:rsidP="00A34C7E"/>
    <w:p w14:paraId="5B3BE56B" w14:textId="72E33A43" w:rsidR="00646AC2" w:rsidRPr="00EE5F1F" w:rsidRDefault="00D450C8" w:rsidP="00A34C7E">
      <w:pPr>
        <w:jc w:val="right"/>
      </w:pPr>
      <w:r>
        <w:rPr>
          <w:b/>
        </w:rPr>
        <w:t>ECO/697</w:t>
      </w:r>
    </w:p>
    <w:p w14:paraId="5B3BE56C" w14:textId="43769BF0" w:rsidR="00563C84" w:rsidRPr="00EE5F1F" w:rsidRDefault="00CE3B71" w:rsidP="00A34C7E">
      <w:pPr>
        <w:jc w:val="right"/>
      </w:pPr>
      <w:r>
        <w:rPr>
          <w:b/>
        </w:rPr>
        <w:t>Stratégie pour les régions frontalières orientales</w:t>
      </w:r>
    </w:p>
    <w:p w14:paraId="5B3BE56D" w14:textId="77777777" w:rsidR="009B30AA" w:rsidRPr="00EE5F1F" w:rsidRDefault="009B30AA" w:rsidP="00A34C7E"/>
    <w:p w14:paraId="5B3BE56E" w14:textId="77777777" w:rsidR="009B30AA" w:rsidRPr="00EE5F1F" w:rsidRDefault="009B30AA" w:rsidP="00A34C7E"/>
    <w:p w14:paraId="3C09B2EE" w14:textId="2743BA4C" w:rsidR="0048754F" w:rsidRPr="00EE5F1F" w:rsidRDefault="001E07B8" w:rsidP="00A34C7E">
      <w:pPr>
        <w:jc w:val="center"/>
        <w:rPr>
          <w:b/>
          <w:bCs/>
          <w:sz w:val="28"/>
          <w:szCs w:val="28"/>
        </w:rPr>
      </w:pPr>
      <w:r>
        <w:rPr>
          <w:b/>
          <w:sz w:val="28"/>
        </w:rPr>
        <w:t>AVIS</w:t>
      </w:r>
    </w:p>
    <w:p w14:paraId="34368F6A" w14:textId="77777777" w:rsidR="0048754F" w:rsidRPr="00EE5F1F" w:rsidRDefault="0048754F" w:rsidP="00A34C7E">
      <w:pPr>
        <w:jc w:val="center"/>
      </w:pPr>
    </w:p>
    <w:p w14:paraId="7D40B1DD" w14:textId="4D9565D5" w:rsidR="0048754F" w:rsidRPr="00EE5F1F" w:rsidRDefault="03385EDC" w:rsidP="00A34C7E">
      <w:pPr>
        <w:jc w:val="center"/>
      </w:pPr>
      <w:r>
        <w:t>Section</w:t>
      </w:r>
      <w:proofErr w:type="gramStart"/>
      <w:r>
        <w:t xml:space="preserve"> «Union</w:t>
      </w:r>
      <w:proofErr w:type="gramEnd"/>
      <w:r>
        <w:t xml:space="preserve"> économique et monétaire et cohésion économique et </w:t>
      </w:r>
      <w:proofErr w:type="gramStart"/>
      <w:r>
        <w:t>sociale»</w:t>
      </w:r>
      <w:proofErr w:type="gramEnd"/>
    </w:p>
    <w:p w14:paraId="046C48E8" w14:textId="77777777" w:rsidR="0048754F" w:rsidRPr="00EE5F1F" w:rsidRDefault="0048754F" w:rsidP="00A34C7E">
      <w:pPr>
        <w:jc w:val="center"/>
      </w:pPr>
    </w:p>
    <w:p w14:paraId="25A05D85" w14:textId="34C951FC" w:rsidR="00DE57BC" w:rsidRPr="00EE5F1F" w:rsidRDefault="00DE57BC" w:rsidP="00A34C7E">
      <w:pPr>
        <w:jc w:val="center"/>
        <w:rPr>
          <w:b/>
          <w:bCs/>
        </w:rPr>
      </w:pPr>
      <w:r>
        <w:rPr>
          <w:b/>
        </w:rPr>
        <w:t>Communication de la Commission au Parlement européen, au Conseil, au Comité économique et</w:t>
      </w:r>
      <w:r w:rsidR="008E5895">
        <w:rPr>
          <w:b/>
        </w:rPr>
        <w:t> </w:t>
      </w:r>
      <w:r>
        <w:rPr>
          <w:b/>
        </w:rPr>
        <w:t>social européen et au Comité des régions</w:t>
      </w:r>
    </w:p>
    <w:p w14:paraId="14308E76" w14:textId="0059F8C6" w:rsidR="00DE57BC" w:rsidRPr="00EE5F1F" w:rsidRDefault="00DE57BC" w:rsidP="00A34C7E">
      <w:pPr>
        <w:jc w:val="center"/>
        <w:rPr>
          <w:b/>
          <w:bCs/>
        </w:rPr>
      </w:pPr>
      <w:r>
        <w:rPr>
          <w:b/>
        </w:rPr>
        <w:t>Communication sur les régions orientales de l’UE limitrophes de la Russie, de la Biélorussie et</w:t>
      </w:r>
      <w:r w:rsidR="008E5895">
        <w:rPr>
          <w:b/>
        </w:rPr>
        <w:t> </w:t>
      </w:r>
      <w:r>
        <w:rPr>
          <w:b/>
        </w:rPr>
        <w:t>de l’Ukraine —</w:t>
      </w:r>
    </w:p>
    <w:p w14:paraId="69DFD613" w14:textId="25D601DC" w:rsidR="0048754F" w:rsidRPr="00EE5F1F" w:rsidRDefault="00DE57BC" w:rsidP="00A34C7E">
      <w:pPr>
        <w:jc w:val="center"/>
        <w:rPr>
          <w:b/>
          <w:bCs/>
          <w:highlight w:val="yellow"/>
        </w:rPr>
      </w:pPr>
      <w:r>
        <w:rPr>
          <w:b/>
        </w:rPr>
        <w:t>Des régions fortes pour une Europe sûre</w:t>
      </w:r>
    </w:p>
    <w:p w14:paraId="5B3BE56F" w14:textId="4DA5272C" w:rsidR="00646AC2" w:rsidRPr="00EE5F1F" w:rsidRDefault="00501A20" w:rsidP="00A34C7E">
      <w:pPr>
        <w:jc w:val="center"/>
      </w:pPr>
      <w:r>
        <w:t>[</w:t>
      </w:r>
      <w:proofErr w:type="gramStart"/>
      <w:r>
        <w:t>COM(</w:t>
      </w:r>
      <w:proofErr w:type="gramEnd"/>
      <w:r>
        <w:t>2026) 82 final]</w:t>
      </w:r>
    </w:p>
    <w:p w14:paraId="5B3BE570" w14:textId="77777777" w:rsidR="009B30AA" w:rsidRPr="00EE5F1F" w:rsidRDefault="009B30AA" w:rsidP="00A34C7E">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EE5F1F" w14:paraId="5B3BE57A" w14:textId="77777777" w:rsidTr="03385EDC">
        <w:tc>
          <w:tcPr>
            <w:tcW w:w="3085" w:type="dxa"/>
          </w:tcPr>
          <w:p w14:paraId="5B3BE578" w14:textId="77777777" w:rsidR="00FF3759" w:rsidRPr="00EE5F1F" w:rsidRDefault="03385EDC" w:rsidP="00A34C7E">
            <w:pPr>
              <w:jc w:val="left"/>
            </w:pPr>
            <w:r>
              <w:t>Contact</w:t>
            </w:r>
          </w:p>
        </w:tc>
        <w:tc>
          <w:tcPr>
            <w:tcW w:w="6204" w:type="dxa"/>
          </w:tcPr>
          <w:p w14:paraId="5B3BE579" w14:textId="46F334AC" w:rsidR="00FF3759" w:rsidRPr="00EE5F1F" w:rsidRDefault="003D0FFD" w:rsidP="00A34C7E">
            <w:pPr>
              <w:jc w:val="left"/>
            </w:pPr>
            <w:hyperlink r:id="rId12" w:history="1">
              <w:r>
                <w:rPr>
                  <w:rStyle w:val="Hyperlink"/>
                </w:rPr>
                <w:t>eco@eesc.europa.eu</w:t>
              </w:r>
            </w:hyperlink>
          </w:p>
        </w:tc>
      </w:tr>
      <w:tr w:rsidR="00FF3759" w:rsidRPr="00EE5F1F" w14:paraId="5B3BE57D" w14:textId="77777777" w:rsidTr="03385EDC">
        <w:tc>
          <w:tcPr>
            <w:tcW w:w="3085" w:type="dxa"/>
          </w:tcPr>
          <w:p w14:paraId="5B3BE57B" w14:textId="77777777" w:rsidR="00FF3759" w:rsidRPr="00EE5F1F" w:rsidRDefault="03385EDC" w:rsidP="00A34C7E">
            <w:pPr>
              <w:jc w:val="left"/>
            </w:pPr>
            <w:r>
              <w:t>Administrateur</w:t>
            </w:r>
          </w:p>
        </w:tc>
        <w:tc>
          <w:tcPr>
            <w:tcW w:w="6204" w:type="dxa"/>
          </w:tcPr>
          <w:p w14:paraId="5B3BE57C" w14:textId="08D82CAE" w:rsidR="00FF3759" w:rsidRPr="00EE5F1F" w:rsidRDefault="00894C58" w:rsidP="00A34C7E">
            <w:pPr>
              <w:jc w:val="left"/>
            </w:pPr>
            <w:r>
              <w:t>Georgios MELEAS</w:t>
            </w:r>
          </w:p>
        </w:tc>
      </w:tr>
      <w:tr w:rsidR="00FF3759" w:rsidRPr="00EE5F1F" w14:paraId="5B3BE580" w14:textId="77777777" w:rsidTr="03385EDC">
        <w:tc>
          <w:tcPr>
            <w:tcW w:w="3085" w:type="dxa"/>
          </w:tcPr>
          <w:p w14:paraId="5B3BE57E" w14:textId="77777777" w:rsidR="00FF3759" w:rsidRPr="00EE5F1F" w:rsidRDefault="03385EDC" w:rsidP="00A34C7E">
            <w:pPr>
              <w:jc w:val="left"/>
            </w:pPr>
            <w:r>
              <w:t>Date du document</w:t>
            </w:r>
          </w:p>
        </w:tc>
        <w:tc>
          <w:tcPr>
            <w:tcW w:w="6204" w:type="dxa"/>
          </w:tcPr>
          <w:p w14:paraId="5B3BE57F" w14:textId="42857913" w:rsidR="00FF3759" w:rsidRPr="00EE5F1F" w:rsidRDefault="00A34C7E" w:rsidP="00A34C7E">
            <w:pPr>
              <w:jc w:val="left"/>
              <w:rPr>
                <w:highlight w:val="yellow"/>
              </w:rPr>
            </w:pPr>
            <w:r>
              <w:t>8/6/2026</w:t>
            </w:r>
          </w:p>
        </w:tc>
      </w:tr>
    </w:tbl>
    <w:p w14:paraId="67915520" w14:textId="16EF2763" w:rsidR="007D54C2" w:rsidRPr="00EE5F1F" w:rsidRDefault="03385EDC" w:rsidP="00A34C7E">
      <w:pPr>
        <w:jc w:val="center"/>
        <w:rPr>
          <w:b/>
          <w:bCs/>
        </w:rPr>
      </w:pPr>
      <w:proofErr w:type="spellStart"/>
      <w:proofErr w:type="gramStart"/>
      <w:r>
        <w:t>Rapporteure</w:t>
      </w:r>
      <w:proofErr w:type="spellEnd"/>
      <w:r>
        <w:t>:</w:t>
      </w:r>
      <w:proofErr w:type="gramEnd"/>
      <w:r>
        <w:t xml:space="preserve"> </w:t>
      </w:r>
      <w:r>
        <w:rPr>
          <w:b/>
        </w:rPr>
        <w:t>Katrīna ZARIŅA</w:t>
      </w:r>
    </w:p>
    <w:p w14:paraId="41154C05" w14:textId="51A1532B" w:rsidR="008E2CD6" w:rsidRPr="00EE5F1F" w:rsidRDefault="008E2CD6" w:rsidP="00A34C7E">
      <w:pPr>
        <w:jc w:val="center"/>
      </w:pPr>
      <w:proofErr w:type="spellStart"/>
      <w:proofErr w:type="gramStart"/>
      <w:r>
        <w:t>Corapporteur:</w:t>
      </w:r>
      <w:r>
        <w:rPr>
          <w:b/>
        </w:rPr>
        <w:t>Ionuț</w:t>
      </w:r>
      <w:proofErr w:type="spellEnd"/>
      <w:proofErr w:type="gramEnd"/>
      <w:r>
        <w:rPr>
          <w:b/>
        </w:rPr>
        <w:t xml:space="preserve"> SIBIAN</w:t>
      </w:r>
    </w:p>
    <w:p w14:paraId="5B3BE582" w14:textId="6F8F6800" w:rsidR="00E32DC6" w:rsidRPr="00EE5F1F" w:rsidRDefault="00E32DC6" w:rsidP="00A34C7E"/>
    <w:p w14:paraId="5B3BE583" w14:textId="77777777" w:rsidR="00E32DC6" w:rsidRPr="00EE5F1F" w:rsidRDefault="00E32DC6" w:rsidP="00A34C7E"/>
    <w:p w14:paraId="5B3BE584" w14:textId="77777777" w:rsidR="00E32DC6" w:rsidRPr="00EE5F1F" w:rsidRDefault="00E32DC6" w:rsidP="00A34C7E">
      <w:pPr>
        <w:sectPr w:rsidR="00E32DC6" w:rsidRPr="00EE5F1F" w:rsidSect="0055592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5B3BE5A3" w14:textId="77777777" w:rsidR="0012220C" w:rsidRPr="00EE5F1F" w:rsidRDefault="0012220C" w:rsidP="00A34C7E"/>
    <w:tbl>
      <w:tblPr>
        <w:tblW w:w="0" w:type="auto"/>
        <w:tblLook w:val="04A0" w:firstRow="1" w:lastRow="0" w:firstColumn="1" w:lastColumn="0" w:noHBand="0" w:noVBand="1"/>
      </w:tblPr>
      <w:tblGrid>
        <w:gridCol w:w="3055"/>
        <w:gridCol w:w="6018"/>
      </w:tblGrid>
      <w:tr w:rsidR="00DD5640" w:rsidRPr="00EE5F1F" w14:paraId="24249E85" w14:textId="77777777" w:rsidTr="00C356F7">
        <w:trPr>
          <w:trHeight w:val="251"/>
        </w:trPr>
        <w:tc>
          <w:tcPr>
            <w:tcW w:w="3055" w:type="dxa"/>
          </w:tcPr>
          <w:p w14:paraId="1225BDD1" w14:textId="67E4B559" w:rsidR="00DD5640" w:rsidRPr="00EE5F1F" w:rsidRDefault="00DD5640" w:rsidP="00A34C7E">
            <w:pPr>
              <w:jc w:val="left"/>
              <w:rPr>
                <w:highlight w:val="yellow"/>
              </w:rPr>
            </w:pPr>
            <w:r>
              <w:t>Conseillers</w:t>
            </w:r>
          </w:p>
        </w:tc>
        <w:tc>
          <w:tcPr>
            <w:tcW w:w="6018" w:type="dxa"/>
          </w:tcPr>
          <w:p w14:paraId="65C80BE0" w14:textId="68CF9315" w:rsidR="00720B34" w:rsidRPr="00EE5F1F" w:rsidRDefault="00840E84" w:rsidP="00A34C7E">
            <w:pPr>
              <w:jc w:val="left"/>
            </w:pPr>
            <w:r>
              <w:t xml:space="preserve">Līga BATALAUSKA (pour la </w:t>
            </w:r>
            <w:proofErr w:type="spellStart"/>
            <w:r>
              <w:t>rapporteure</w:t>
            </w:r>
            <w:proofErr w:type="spellEnd"/>
            <w:r>
              <w:t>)</w:t>
            </w:r>
          </w:p>
          <w:p w14:paraId="4CEFBCA3" w14:textId="5488B9C0" w:rsidR="00DD5640" w:rsidRPr="00EE5F1F" w:rsidRDefault="00840E84" w:rsidP="00A34C7E">
            <w:pPr>
              <w:jc w:val="left"/>
              <w:rPr>
                <w:highlight w:val="yellow"/>
              </w:rPr>
            </w:pPr>
            <w:r>
              <w:t>Vasile ASANDEI (pour le corapporteur)</w:t>
            </w:r>
          </w:p>
        </w:tc>
      </w:tr>
      <w:tr w:rsidR="00DD5640" w:rsidRPr="00EE5F1F" w14:paraId="35E60D09" w14:textId="77777777" w:rsidTr="00C356F7">
        <w:trPr>
          <w:trHeight w:val="251"/>
        </w:trPr>
        <w:tc>
          <w:tcPr>
            <w:tcW w:w="3055" w:type="dxa"/>
          </w:tcPr>
          <w:p w14:paraId="2CCD6979" w14:textId="77777777" w:rsidR="00DD5640" w:rsidRPr="00EE5F1F" w:rsidRDefault="00DD5640" w:rsidP="00A34C7E">
            <w:pPr>
              <w:jc w:val="left"/>
            </w:pPr>
          </w:p>
        </w:tc>
        <w:tc>
          <w:tcPr>
            <w:tcW w:w="6018" w:type="dxa"/>
          </w:tcPr>
          <w:p w14:paraId="5F5408E4" w14:textId="77777777" w:rsidR="00DD5640" w:rsidRPr="00EE5F1F" w:rsidRDefault="00DD5640" w:rsidP="00A34C7E">
            <w:pPr>
              <w:jc w:val="left"/>
            </w:pPr>
          </w:p>
        </w:tc>
      </w:tr>
      <w:tr w:rsidR="0013664F" w:rsidRPr="00EE5F1F" w14:paraId="659CFC45" w14:textId="77777777" w:rsidTr="00C356F7">
        <w:tc>
          <w:tcPr>
            <w:tcW w:w="3055" w:type="dxa"/>
          </w:tcPr>
          <w:p w14:paraId="5D2E214C" w14:textId="10DD26E9" w:rsidR="0013664F" w:rsidRPr="00EE5F1F" w:rsidRDefault="0013664F" w:rsidP="00A34C7E">
            <w:pPr>
              <w:jc w:val="left"/>
            </w:pPr>
            <w:r>
              <w:t>Saisine du Comité par la</w:t>
            </w:r>
          </w:p>
        </w:tc>
        <w:tc>
          <w:tcPr>
            <w:tcW w:w="6018" w:type="dxa"/>
          </w:tcPr>
          <w:p w14:paraId="4DC04ED4" w14:textId="11CC2A35" w:rsidR="005D36EB" w:rsidRPr="00EE5F1F" w:rsidRDefault="00E16ABB" w:rsidP="00A34C7E">
            <w:pPr>
              <w:jc w:val="left"/>
            </w:pPr>
            <w:r>
              <w:t>Commission européenne, le 19/2/2026</w:t>
            </w:r>
          </w:p>
        </w:tc>
      </w:tr>
      <w:tr w:rsidR="00C356F7" w:rsidRPr="00EE5F1F" w14:paraId="5AE3E96C" w14:textId="77777777" w:rsidTr="003B0C32">
        <w:tc>
          <w:tcPr>
            <w:tcW w:w="3055" w:type="dxa"/>
          </w:tcPr>
          <w:p w14:paraId="18AEBE3E" w14:textId="75572D9D" w:rsidR="00C356F7" w:rsidRPr="00EE5F1F" w:rsidRDefault="00C356F7" w:rsidP="00A34C7E">
            <w:pPr>
              <w:jc w:val="left"/>
            </w:pPr>
            <w:r>
              <w:t>Base réglementaire</w:t>
            </w:r>
          </w:p>
        </w:tc>
        <w:tc>
          <w:tcPr>
            <w:tcW w:w="6018" w:type="dxa"/>
          </w:tcPr>
          <w:p w14:paraId="41205F1B" w14:textId="554AE056" w:rsidR="00C356F7" w:rsidRPr="00EE5F1F" w:rsidRDefault="0013664F" w:rsidP="00A34C7E">
            <w:pPr>
              <w:jc w:val="left"/>
            </w:pPr>
            <w:r>
              <w:t>Article 304 du traité sur le fonctionnement de l’Union européenne</w:t>
            </w:r>
          </w:p>
          <w:p w14:paraId="02C501D5" w14:textId="3523FFFD" w:rsidR="00B229B8" w:rsidRPr="00EE5F1F" w:rsidRDefault="00B229B8" w:rsidP="00A34C7E">
            <w:pPr>
              <w:jc w:val="left"/>
            </w:pPr>
          </w:p>
        </w:tc>
      </w:tr>
      <w:tr w:rsidR="00DF5B64" w:rsidRPr="00EE5F1F" w14:paraId="5B3BE5C4" w14:textId="77777777" w:rsidTr="003B0C32">
        <w:tc>
          <w:tcPr>
            <w:tcW w:w="3055" w:type="dxa"/>
          </w:tcPr>
          <w:p w14:paraId="5B3BE5C2" w14:textId="77777777" w:rsidR="00DF5B64" w:rsidRPr="00EE5F1F" w:rsidRDefault="03385EDC" w:rsidP="00A34C7E">
            <w:pPr>
              <w:jc w:val="left"/>
            </w:pPr>
            <w:r>
              <w:t>Compétence</w:t>
            </w:r>
          </w:p>
        </w:tc>
        <w:tc>
          <w:tcPr>
            <w:tcW w:w="6018" w:type="dxa"/>
          </w:tcPr>
          <w:p w14:paraId="5B3BE5C3" w14:textId="745F13D7" w:rsidR="00DF5B64" w:rsidRPr="00EE5F1F" w:rsidRDefault="00B229B8" w:rsidP="00A34C7E">
            <w:pPr>
              <w:jc w:val="left"/>
            </w:pPr>
            <w:r>
              <w:t>Section</w:t>
            </w:r>
            <w:proofErr w:type="gramStart"/>
            <w:r>
              <w:t> «Union</w:t>
            </w:r>
            <w:proofErr w:type="gramEnd"/>
            <w:r>
              <w:t xml:space="preserve"> économique et monétaire et cohésion économique et </w:t>
            </w:r>
            <w:proofErr w:type="gramStart"/>
            <w:r>
              <w:t>sociale»</w:t>
            </w:r>
            <w:proofErr w:type="gramEnd"/>
          </w:p>
        </w:tc>
      </w:tr>
      <w:tr w:rsidR="00A156E6" w:rsidRPr="00EE5F1F" w14:paraId="5B3BE5C7" w14:textId="77777777" w:rsidTr="003B0C32">
        <w:tc>
          <w:tcPr>
            <w:tcW w:w="3055" w:type="dxa"/>
          </w:tcPr>
          <w:p w14:paraId="5B3BE5C5" w14:textId="6F862EC0" w:rsidR="00A156E6" w:rsidRPr="00EE5F1F" w:rsidRDefault="03385EDC" w:rsidP="00A34C7E">
            <w:pPr>
              <w:jc w:val="left"/>
            </w:pPr>
            <w:r>
              <w:t>Adoption en section</w:t>
            </w:r>
          </w:p>
        </w:tc>
        <w:tc>
          <w:tcPr>
            <w:tcW w:w="6018" w:type="dxa"/>
          </w:tcPr>
          <w:p w14:paraId="5B3BE5C6" w14:textId="40826F08" w:rsidR="00A156E6" w:rsidRPr="00EE5F1F" w:rsidRDefault="00780FA4" w:rsidP="00A34C7E">
            <w:pPr>
              <w:jc w:val="left"/>
            </w:pPr>
            <w:r>
              <w:t>4/6/2026</w:t>
            </w:r>
          </w:p>
        </w:tc>
      </w:tr>
      <w:tr w:rsidR="00E64E71" w:rsidRPr="00EE5F1F" w14:paraId="76673220" w14:textId="77777777" w:rsidTr="003B0C32">
        <w:tc>
          <w:tcPr>
            <w:tcW w:w="3055" w:type="dxa"/>
          </w:tcPr>
          <w:p w14:paraId="3C0899C8" w14:textId="0995A3EA" w:rsidR="00E64E71" w:rsidRPr="00EE5F1F" w:rsidRDefault="03385EDC" w:rsidP="00A34C7E">
            <w:pPr>
              <w:jc w:val="left"/>
            </w:pPr>
            <w:r>
              <w:t>Résultat du vote</w:t>
            </w:r>
            <w:r>
              <w:br/>
              <w:t>(pour/contre/abstentions)</w:t>
            </w:r>
          </w:p>
        </w:tc>
        <w:tc>
          <w:tcPr>
            <w:tcW w:w="6018" w:type="dxa"/>
            <w:vAlign w:val="bottom"/>
          </w:tcPr>
          <w:p w14:paraId="31005FC7" w14:textId="66EA509C" w:rsidR="00E64E71" w:rsidRPr="00EE5F1F" w:rsidRDefault="00B63E84" w:rsidP="00A34C7E">
            <w:pPr>
              <w:jc w:val="left"/>
            </w:pPr>
            <w:r>
              <w:t>73/0/0</w:t>
            </w:r>
          </w:p>
        </w:tc>
      </w:tr>
      <w:tr w:rsidR="00A156E6" w:rsidRPr="00EE5F1F" w14:paraId="5B3BE5CA" w14:textId="77777777" w:rsidTr="003B0C32">
        <w:tc>
          <w:tcPr>
            <w:tcW w:w="3055" w:type="dxa"/>
          </w:tcPr>
          <w:p w14:paraId="5B3BE5C8" w14:textId="261924E9" w:rsidR="00A156E6" w:rsidRPr="00EE5F1F" w:rsidRDefault="03385EDC" w:rsidP="00A34C7E">
            <w:pPr>
              <w:jc w:val="left"/>
            </w:pPr>
            <w:r>
              <w:t>Adoption en session plénière</w:t>
            </w:r>
          </w:p>
        </w:tc>
        <w:tc>
          <w:tcPr>
            <w:tcW w:w="6018" w:type="dxa"/>
          </w:tcPr>
          <w:p w14:paraId="5B3BE5C9" w14:textId="5FDDD67E" w:rsidR="00A156E6" w:rsidRPr="00EE5F1F" w:rsidRDefault="03385EDC" w:rsidP="00A34C7E">
            <w:pPr>
              <w:jc w:val="left"/>
            </w:pPr>
            <w:r>
              <w:t>J/M/AAAA</w:t>
            </w:r>
          </w:p>
        </w:tc>
      </w:tr>
      <w:tr w:rsidR="00BA1290" w:rsidRPr="00EE5F1F" w14:paraId="5B3BE5CD" w14:textId="77777777" w:rsidTr="003B0C32">
        <w:tc>
          <w:tcPr>
            <w:tcW w:w="3055" w:type="dxa"/>
          </w:tcPr>
          <w:p w14:paraId="5B3BE5CB" w14:textId="77777777" w:rsidR="00BA1290" w:rsidRPr="00EE5F1F" w:rsidRDefault="03385EDC" w:rsidP="00A34C7E">
            <w:pPr>
              <w:jc w:val="left"/>
            </w:pPr>
            <w:r>
              <w:t>Session plénière nº</w:t>
            </w:r>
          </w:p>
        </w:tc>
        <w:tc>
          <w:tcPr>
            <w:tcW w:w="6018" w:type="dxa"/>
          </w:tcPr>
          <w:p w14:paraId="5B3BE5CC" w14:textId="77777777" w:rsidR="00BA1290" w:rsidRPr="00EE5F1F" w:rsidRDefault="03385EDC" w:rsidP="00A34C7E">
            <w:pPr>
              <w:jc w:val="left"/>
            </w:pPr>
            <w:r>
              <w:t>…</w:t>
            </w:r>
          </w:p>
        </w:tc>
      </w:tr>
      <w:tr w:rsidR="00A156E6" w:rsidRPr="00EE5F1F" w14:paraId="5B3BE5D0" w14:textId="77777777" w:rsidTr="003B0C32">
        <w:tc>
          <w:tcPr>
            <w:tcW w:w="3055" w:type="dxa"/>
          </w:tcPr>
          <w:p w14:paraId="5B3BE5CE" w14:textId="0ED6183D" w:rsidR="00D423D4" w:rsidRPr="00EE5F1F" w:rsidRDefault="03385EDC" w:rsidP="00A34C7E">
            <w:pPr>
              <w:jc w:val="left"/>
            </w:pPr>
            <w:r>
              <w:t>Résultat du vote</w:t>
            </w:r>
            <w:r>
              <w:br/>
              <w:t>(pour/contre/abstentions)</w:t>
            </w:r>
          </w:p>
        </w:tc>
        <w:tc>
          <w:tcPr>
            <w:tcW w:w="6018" w:type="dxa"/>
            <w:vAlign w:val="bottom"/>
          </w:tcPr>
          <w:p w14:paraId="5B3BE5CF" w14:textId="77777777" w:rsidR="00A156E6" w:rsidRPr="00EE5F1F" w:rsidRDefault="03385EDC" w:rsidP="00A34C7E">
            <w:pPr>
              <w:jc w:val="left"/>
            </w:pPr>
            <w:r>
              <w:t>…/…/…</w:t>
            </w:r>
          </w:p>
        </w:tc>
      </w:tr>
    </w:tbl>
    <w:p w14:paraId="5B3BE5D2" w14:textId="77777777" w:rsidR="00646AC2" w:rsidRPr="00EE5F1F" w:rsidRDefault="00646AC2" w:rsidP="00A34C7E">
      <w:r>
        <w:br w:type="page"/>
      </w:r>
    </w:p>
    <w:p w14:paraId="5B3BE5D3" w14:textId="337EEDCA" w:rsidR="00011D33" w:rsidRPr="00EE5F1F" w:rsidRDefault="03385EDC" w:rsidP="00A34C7E">
      <w:pPr>
        <w:pStyle w:val="Heading1"/>
        <w:ind w:left="567" w:hanging="567"/>
        <w:rPr>
          <w:b/>
          <w:bCs/>
        </w:rPr>
      </w:pPr>
      <w:r>
        <w:rPr>
          <w:b/>
        </w:rPr>
        <w:lastRenderedPageBreak/>
        <w:t>Conclusions et recommandations</w:t>
      </w:r>
    </w:p>
    <w:p w14:paraId="5DF16416" w14:textId="77777777" w:rsidR="00477F51" w:rsidRPr="00EE5F1F" w:rsidRDefault="00477F51" w:rsidP="00A34C7E"/>
    <w:p w14:paraId="340D1E59" w14:textId="10997D22" w:rsidR="00E64FE7" w:rsidRPr="00EE5F1F" w:rsidRDefault="00E64FE7" w:rsidP="00A34C7E">
      <w:pPr>
        <w:pStyle w:val="Heading2"/>
        <w:ind w:left="567" w:hanging="567"/>
      </w:pPr>
      <w:r>
        <w:t xml:space="preserve">Le CESE accueille favorablement la communication de la Commission et convient que les régions frontalières orientales constituent une priorité stratégique pour la sécurité, la cohésion et la résilience à long terme de l’Union européenne. Il s’agit de frontières européennes, et non de périphéries </w:t>
      </w:r>
      <w:proofErr w:type="gramStart"/>
      <w:r>
        <w:t>nationales;</w:t>
      </w:r>
      <w:proofErr w:type="gramEnd"/>
      <w:r>
        <w:t xml:space="preserve"> leur stabilité est vitale pour les valeurs, la prospérité et l’intégrité territoriale de l’Union. Le CESE appelle de ses vœux une réponse ciblée et globale de l’Union européenne qui tienne compte des pressions spécifiques en matière sécuritaire, économique et démographique pesant sur les régions frontalières orientales, pour lesquels les instruments stratégiques habituels sont insuffisants. Il soutient l’adoption d’une approche plus géopolitique et davantage territorialisée des menaces hybrides, du déclin démographique et des perturbations économiques.</w:t>
      </w:r>
    </w:p>
    <w:p w14:paraId="304CA94D" w14:textId="77777777" w:rsidR="00477F51" w:rsidRPr="00EE5F1F" w:rsidRDefault="00477F51" w:rsidP="00A34C7E"/>
    <w:p w14:paraId="7651F9B2" w14:textId="29BC8CB9" w:rsidR="00E64FE7" w:rsidRPr="00EE5F1F" w:rsidRDefault="00E64FE7" w:rsidP="00A34C7E">
      <w:pPr>
        <w:pStyle w:val="Heading2"/>
        <w:ind w:left="567" w:hanging="567"/>
      </w:pPr>
      <w:r>
        <w:t xml:space="preserve">Le CESE fait valoir que les menaces hybrides persistantes, les cyberattaques, le sabotage des infrastructures, l’instrumentalisation de la migration et la désinformation nécessitent une réponse coordonnée au niveau de l’Union européenne, dans le respect du principe de territorialité. Il soutient la surveillance du flanc oriental, l’initiative de défense </w:t>
      </w:r>
      <w:proofErr w:type="spellStart"/>
      <w:r>
        <w:t>antidrones</w:t>
      </w:r>
      <w:proofErr w:type="spellEnd"/>
      <w:r>
        <w:t xml:space="preserve"> européenne ainsi que le renforcement de la préparation aux crises. Il appelle également à améliorer la coordination dans les domaines terrestre, aérien, maritime, du cyberespace et de l’espace, compte tenu de leur incidence sur la sécurité et la stabilité socio-économique des régions frontalières orientales. Une part spécifique des ressources pertinentes de l’Union pourrait soutenir les régions frontalières orientales lors des situations de crise, en particulier dans le domaine des affaires intérieures.</w:t>
      </w:r>
    </w:p>
    <w:p w14:paraId="348A14F9" w14:textId="77777777" w:rsidR="00477F51" w:rsidRPr="00EE5F1F" w:rsidRDefault="00477F51" w:rsidP="00A34C7E"/>
    <w:p w14:paraId="41E518CD" w14:textId="14FE9CA9" w:rsidR="00E64FE7" w:rsidRPr="00EE5F1F" w:rsidRDefault="00E64FE7" w:rsidP="00A34C7E">
      <w:pPr>
        <w:pStyle w:val="Heading2"/>
        <w:ind w:left="567" w:hanging="567"/>
      </w:pPr>
      <w:r>
        <w:t>Le CESE est profondément préoccupé par l’important déclin démographique de nombreuses régions frontalières orientales, dont certaines ont perdu plus de 17 % de leur population au cours de la dernière décennie. Ce déclin menace les marchés du travail, les finances publiques, les services essentiels et la cohésion territoriale à long terme. Le Comité demande que soient mises en place des mesures ciblées en faveur de la revitalisation démographique — assorties, le cas échéant, de conditionnalités sociales transversales et conformes aux pratiques nationales —, axées notamment sur des incitations pour retenir les jeunes, les emplois de qualité, le développement des compétences et l’amélioration des conditions de vie. Des appels spécifiques et des critères de priorité dans le cadre de programmes de l’Union européenne en gestion directe contribueraient à remédier aux handicaps structurels et à soutenir la stabilité démographique.</w:t>
      </w:r>
    </w:p>
    <w:p w14:paraId="7BC6DD64" w14:textId="77777777" w:rsidR="00477F51" w:rsidRPr="00EE5F1F" w:rsidRDefault="00477F51" w:rsidP="00A34C7E"/>
    <w:p w14:paraId="43F74191" w14:textId="7A243692" w:rsidR="00AF46BC" w:rsidRPr="00EE5F1F" w:rsidRDefault="00E64FE7" w:rsidP="00A34C7E">
      <w:pPr>
        <w:pStyle w:val="Heading2"/>
        <w:ind w:left="567" w:hanging="567"/>
      </w:pPr>
      <w:r>
        <w:t>Le CESE note que la guerre d’agression menée par la Russie et les menaces hybrides ont touché de manière disproportionnée les régions frontalières orientales, ce qui a entraîné un ralentissement de la croissance de leur PIB, une hausse de l’inflation, une perturbation des échanges commerciaux et une baisse des investissements. Il est préoccupé par le fait que l’approche proposée repose principalement sur la réaffectation des ressources existantes, et qu’elle manque de financements adaptés à l’ampleur des défis à relever. Il réclame à l’Union européenne un soutien financier supplémentaire spécifique, notamment des dotations suffisantes au titre du cadre financier pluriannuel (CFP) 2028-2034 assorties de mécanismes clairs de mise en œuvre de manière à produire des résultats sur le terrain, en veillant particulièrement à consolider le principe de partenariat.</w:t>
      </w:r>
    </w:p>
    <w:p w14:paraId="54A5ADC3" w14:textId="77777777" w:rsidR="00477F51" w:rsidRPr="00EE5F1F" w:rsidRDefault="00477F51" w:rsidP="00A34C7E"/>
    <w:p w14:paraId="381CBD27" w14:textId="53D5C976" w:rsidR="00E64FE7" w:rsidRPr="00EE5F1F" w:rsidRDefault="00E64FE7" w:rsidP="00A34C7E">
      <w:pPr>
        <w:pStyle w:val="Heading2"/>
        <w:ind w:left="567" w:hanging="567"/>
      </w:pPr>
      <w:r>
        <w:lastRenderedPageBreak/>
        <w:t>Le CESE propose, pour les régions frontalières orientales de l’UE, des appels à programmes spécifiques au titre du Fonds européen pour la compétitivité. Ceux-ci permettraient de remédier aux désavantages structurels, de soutenir les écosystèmes locaux d’entreprises et de renforcer la compétitivité et la résilience des régions confrontées à des pressions démographiques et sécuritaires. Le Comité recommande également des mesures de garantie et de partage des risques de l’Union ainsi que des transferts technologiques afin de réduire les coûts du capital pour les entreprises situées dans les régions frontalières orientales, et en vue de lutter contre la perception du risque élevé pour les investisseurs.</w:t>
      </w:r>
    </w:p>
    <w:p w14:paraId="14E26BA8" w14:textId="77777777" w:rsidR="00477F51" w:rsidRPr="00EE5F1F" w:rsidRDefault="00477F51" w:rsidP="00A34C7E"/>
    <w:p w14:paraId="4191402F" w14:textId="53775882" w:rsidR="00E64FE7" w:rsidRPr="00EE5F1F" w:rsidRDefault="00E64FE7" w:rsidP="00A34C7E">
      <w:pPr>
        <w:pStyle w:val="Heading2"/>
        <w:ind w:left="567" w:hanging="567"/>
      </w:pPr>
      <w:r>
        <w:t>Le CESE souligne que des goulets d’étranglement majeurs subsistent dans les transports, l’énergie et la connectivité numérique. Il soutient un développement plus rapide du RTE-T, des infrastructures à double usage, de meilleures liaisons transfrontalières avec l’Ukraine et la Moldavie ainsi que la résilience des réseaux numériques. Il appelle également à accorder la priorité aux projets d’infrastructures et aux projets industriels à double usage dans le cadre d’instruments tels que le MIE et le financement de la mobilité militaire, en veillant à ce que les investissements dans la défense et la sécurité entraînent également des avantages économiques locaux, des emplois, la participation des PME et le renforcement des chaînes d’approvisionnement régionales. Le prochain CFP devrait prévoir un soutien en faveur de l’aménagement de nouvelles liaisons ferroviaires avec un écartement des rails de 1 435 mm afin de renforcer la connectivité, la mobilité et la sécurité dans les régions frontalières orientales.</w:t>
      </w:r>
    </w:p>
    <w:p w14:paraId="57AE4C67" w14:textId="77777777" w:rsidR="00477F51" w:rsidRPr="00EE5F1F" w:rsidRDefault="00477F51" w:rsidP="00A34C7E"/>
    <w:p w14:paraId="7C581BB2" w14:textId="1117FFD5" w:rsidR="00E64FE7" w:rsidRPr="00EE5F1F" w:rsidRDefault="00E64FE7" w:rsidP="00A34C7E">
      <w:pPr>
        <w:pStyle w:val="Heading2"/>
        <w:ind w:left="567" w:hanging="567"/>
      </w:pPr>
      <w:r>
        <w:t>Le CESE se félicite de l’accent placé sur les personnes et les groupes de population, soulignant que la sécurité et la résilience dépendent de la solidité des systèmes sociaux, de l’accessibilité des soins de santé, de la qualité de l’éducation et de l’efficacité de la gouvernance locale. Il préconise de renforcer les mécanismes locaux de dialogue avec la société civile et les partenaires sociaux, ainsi que les approches participatives associant les partenaires de la société civile, les partenaires sociaux et les autorités locales. Il souligne également la nécessité de réduire les charges administratives, de renforcer la capacité d’investissement des régions et de garantir une compensation adéquate en cas de pertes économiques.</w:t>
      </w:r>
    </w:p>
    <w:p w14:paraId="60A78C77" w14:textId="77777777" w:rsidR="00477F51" w:rsidRPr="00EE5F1F" w:rsidRDefault="00477F51" w:rsidP="00A34C7E"/>
    <w:p w14:paraId="5B2B6696" w14:textId="6085D042" w:rsidR="00E64FE7" w:rsidRPr="00EE5F1F" w:rsidRDefault="00E64FE7" w:rsidP="00A34C7E">
      <w:pPr>
        <w:pStyle w:val="Heading2"/>
        <w:ind w:left="567" w:hanging="567"/>
      </w:pPr>
      <w:r>
        <w:t>Le CESE considère le renforcement des capacités administratives et institutionnelles comme un pilier essentiel du développement et de la résilience dans les régions frontalières orientales. Cela dépasse la simple gestion de projets et comprend la qualité des services publics fournis aux citoyens, qui influencent directement leur qualité de vie. Par conséquent, il conviendrait de hisser le renforcement des capacités administratives, y compris celles au service de la société civile, au rang de priorité de l’UE.</w:t>
      </w:r>
    </w:p>
    <w:p w14:paraId="470C2BFA" w14:textId="77777777" w:rsidR="00477F51" w:rsidRPr="00EE5F1F" w:rsidRDefault="00477F51" w:rsidP="00A34C7E"/>
    <w:p w14:paraId="76980740" w14:textId="1650DA46" w:rsidR="00B67197" w:rsidRPr="00EE5F1F" w:rsidRDefault="00E64FE7" w:rsidP="00A34C7E">
      <w:pPr>
        <w:pStyle w:val="Heading2"/>
        <w:ind w:left="567" w:hanging="567"/>
      </w:pPr>
      <w:r>
        <w:t>Le CESE est favorable à une intégration plus poussée des mesures en matière de sécurité, de résilience et de développement économique, tout en soulignant que les investissements dans la connectivité, l’innovation et les atouts locaux sont les moteurs d’une croissance durable. Un équilibre entre les priorités en matière de sécurité et de cohésion est nécessaire pour garantir le développement à long terme et la stabilité sociale.</w:t>
      </w:r>
    </w:p>
    <w:p w14:paraId="33BC6E06" w14:textId="77777777" w:rsidR="007A2CCE" w:rsidRPr="00EE5F1F" w:rsidRDefault="007A2CCE" w:rsidP="00A34C7E"/>
    <w:p w14:paraId="1734BBFF" w14:textId="72F336AA" w:rsidR="00B67197" w:rsidRPr="00EE5F1F" w:rsidRDefault="00B67197" w:rsidP="008E5895">
      <w:pPr>
        <w:pStyle w:val="Heading2"/>
        <w:keepLines/>
        <w:ind w:left="567" w:hanging="567"/>
      </w:pPr>
      <w:r>
        <w:rPr>
          <w:shd w:val="clear" w:color="auto" w:fill="FFFFFF"/>
        </w:rPr>
        <w:lastRenderedPageBreak/>
        <w:t>Le CESE fait valoir qu’il importe de réexaminer les cadres relatifs aux aides d’État de manière à octroyer aux régions frontalières orientales davantage de souplesse, afin de permettre aux États membres de remédier de façon plus efficace aux déficits d’investissement et aux défaillances du marché.</w:t>
      </w:r>
    </w:p>
    <w:p w14:paraId="6FD9F447" w14:textId="77777777" w:rsidR="00477F51" w:rsidRPr="00EE5F1F" w:rsidRDefault="00477F51" w:rsidP="00A34C7E"/>
    <w:p w14:paraId="2C6503B8" w14:textId="5279F46F" w:rsidR="00E16ABB" w:rsidRPr="006C0CE2" w:rsidRDefault="00E64FE7" w:rsidP="00A34C7E">
      <w:pPr>
        <w:pStyle w:val="Heading2"/>
        <w:ind w:left="567" w:hanging="567"/>
      </w:pPr>
      <w:r>
        <w:t>Le CESE est favorable à un dialogue politique annuel de haut niveau et encourage la Commission à élaborer un cadre stratégique à long terme pour les régions frontalières orientales qui aille au-delà de l’actuel CFP et qui inclue la société civile. Ce cadre devrait reconnaître ces régions comme un type spécifique de zone transnationale, ce qui permettrait de mettre en œuvre des politiques adaptées, conformément à l’agenda territorial 2030. La Commission devrait ajouter un chapitre consacré aux régions frontalières orientales dans son rapport sur la cohésion.</w:t>
      </w:r>
    </w:p>
    <w:p w14:paraId="2D0B1360" w14:textId="77777777" w:rsidR="00477F51" w:rsidRPr="00EE5F1F" w:rsidRDefault="00477F51" w:rsidP="00A34C7E"/>
    <w:p w14:paraId="1A4B11A8" w14:textId="77777777" w:rsidR="00E16ABB" w:rsidRPr="00EE5F1F" w:rsidRDefault="00E16ABB" w:rsidP="00A34C7E">
      <w:pPr>
        <w:pStyle w:val="Heading1"/>
        <w:keepNext/>
        <w:keepLines/>
        <w:ind w:left="567" w:hanging="567"/>
        <w:rPr>
          <w:b/>
          <w:bCs/>
        </w:rPr>
      </w:pPr>
      <w:r>
        <w:rPr>
          <w:b/>
        </w:rPr>
        <w:t>Observations générales</w:t>
      </w:r>
    </w:p>
    <w:p w14:paraId="4CF10AE2" w14:textId="77777777" w:rsidR="00E16ABB" w:rsidRPr="00EE5F1F" w:rsidRDefault="00E16ABB" w:rsidP="00A34C7E">
      <w:pPr>
        <w:keepNext/>
        <w:keepLines/>
      </w:pPr>
    </w:p>
    <w:p w14:paraId="692AA41E" w14:textId="2F88353A" w:rsidR="00F25D65" w:rsidRPr="006C0CE2" w:rsidRDefault="00F25D65" w:rsidP="00A34C7E">
      <w:pPr>
        <w:pStyle w:val="Heading2"/>
        <w:ind w:left="567" w:hanging="567"/>
      </w:pPr>
      <w:r>
        <w:t>Le CESE accueille favorablement la communication de la Commission intitulée</w:t>
      </w:r>
      <w:proofErr w:type="gramStart"/>
      <w:r>
        <w:t xml:space="preserve"> «Les</w:t>
      </w:r>
      <w:proofErr w:type="gramEnd"/>
      <w:r>
        <w:t xml:space="preserve"> régions orientales de l’UE limitrophes de la Russie, de la Biélorussie et de l’Ukraine — Des régions fortes pour une Europe </w:t>
      </w:r>
      <w:proofErr w:type="gramStart"/>
      <w:r>
        <w:t>sûre»</w:t>
      </w:r>
      <w:proofErr w:type="gramEnd"/>
      <w:r>
        <w:t>, qu’il considère comme une première étape importante arrivant à un moment opportun. Celle-ci fournit le socle d’un soutien pratique, et confirme qu’il ne s’agit pas de régions périphériques, mais qu’elles revêtent une importance stratégique pour la sécurité, la résilience et la compétitivité de l’Europe. Le Comité prend également acte des initiatives déjà lancées pour relever les défis socio-économiques auxquels les régions frontalières orientales de l’Union européenne sont confrontées.</w:t>
      </w:r>
    </w:p>
    <w:p w14:paraId="583199AD" w14:textId="77777777" w:rsidR="00F25D65" w:rsidRPr="006C0CE2" w:rsidRDefault="00F25D65" w:rsidP="00A34C7E">
      <w:pPr>
        <w:ind w:left="567" w:hanging="567"/>
      </w:pPr>
    </w:p>
    <w:p w14:paraId="6AFEB0D6" w14:textId="682DD02A" w:rsidR="00477F51" w:rsidRDefault="00F25D65" w:rsidP="00A34C7E">
      <w:pPr>
        <w:pStyle w:val="Heading2"/>
        <w:ind w:left="567" w:hanging="567"/>
      </w:pPr>
      <w:r>
        <w:t xml:space="preserve">Le CESE souligne toutefois qu’il est temps à présent de traduire cette communication en mesures concrètes, flexibles et réalisables, qui reflètent les réalités du terrain. Leur mise en œuvre devrait aller au-delà de la réaffectation des ressources existantes, et être soutenue par un financement supplémentaire de l’Union, notamment dans le cadre du CFP 2028-2034. Le Comité demande dès lors l’activation sans délai de la facilité </w:t>
      </w:r>
      <w:proofErr w:type="spellStart"/>
      <w:r>
        <w:t>EastInvest</w:t>
      </w:r>
      <w:proofErr w:type="spellEnd"/>
      <w:r>
        <w:t>, qui prévoit des solutions sur mesure pour les régions frontalières orientales, des appels spécifiques et des critères de priorité dans le cadre des programmes directement gérés par l’Union.</w:t>
      </w:r>
    </w:p>
    <w:p w14:paraId="65405A39" w14:textId="77777777" w:rsidR="00780FA4" w:rsidRPr="00780FA4" w:rsidRDefault="00780FA4" w:rsidP="00D5357C"/>
    <w:p w14:paraId="73F4E005" w14:textId="180B263F" w:rsidR="00907168" w:rsidRPr="00EE5F1F" w:rsidRDefault="00F25D65" w:rsidP="00A34C7E">
      <w:pPr>
        <w:pStyle w:val="Heading2"/>
        <w:ind w:left="567" w:hanging="567"/>
      </w:pPr>
      <w:r>
        <w:t>Le CESE convient que les régions frontalières orientales sont confrontées à des pressions spécifiques et nombreuses en matière sécuritaire, économique, sociale et démographique, aggravées encore par la guerre en Ukraine et les actions hostiles de la Russie et de la Biélorussie. Les données de l’OCDE montrent que nombre de ces régions sont moins développées en ce qui concerne le PIB par habitant et l’innovation, et que leur population diminue. La faiblesse des infrastructures, les pénuries de main-d’œuvre, le manque d’emplois de qualité et la moindre attractivité des investissements placent ces régions dans une position particulièrement vulnérable, ce qui signifie qu’elles ont besoin d’un soutien ciblé et durable de la part de l’Union européenne.</w:t>
      </w:r>
    </w:p>
    <w:p w14:paraId="2EBC2BA4" w14:textId="77777777" w:rsidR="00F25D65" w:rsidRPr="00EE5F1F" w:rsidRDefault="00F25D65" w:rsidP="00A34C7E">
      <w:pPr>
        <w:ind w:left="567" w:hanging="567"/>
      </w:pPr>
    </w:p>
    <w:p w14:paraId="7E3AE7D9" w14:textId="3D053083" w:rsidR="001F79D5" w:rsidRPr="00EE5F1F" w:rsidRDefault="00F25D65" w:rsidP="00A34C7E">
      <w:pPr>
        <w:pStyle w:val="Heading2"/>
        <w:ind w:left="567" w:hanging="567"/>
      </w:pPr>
      <w:r>
        <w:t xml:space="preserve">L’absence de nouveaux financements est l’une des principales préoccupations, étant donné que les mesures présentées reposent principalement sur la réaffectation de ressources existantes. Si la flexibilité offerte par le cadre actuel, notamment par l’examen à mi-parcours de la politique de cohésion et l’augmentation du cofinancement et des avances dans le cas des régions frontalières orientales, est la bienvenue, l’ampleur des défis à relever dépasse ce que les budgets </w:t>
      </w:r>
      <w:r>
        <w:lastRenderedPageBreak/>
        <w:t>nationaux et les instruments actuels peuvent réaliser seuls. La mise en œuvre, pour être efficace, nécessite donc de l’aide supplémentaire de la part de l’Union européenne et un soutien budgétaire adéquat.</w:t>
      </w:r>
    </w:p>
    <w:p w14:paraId="38C7C204" w14:textId="77777777" w:rsidR="00477F51" w:rsidRPr="00EE5F1F" w:rsidRDefault="00477F51" w:rsidP="00A34C7E"/>
    <w:p w14:paraId="7BDC8B42" w14:textId="3B971706" w:rsidR="00F25D65" w:rsidRPr="00EE5F1F" w:rsidRDefault="00F25D65" w:rsidP="00A34C7E">
      <w:pPr>
        <w:pStyle w:val="Heading2"/>
        <w:ind w:left="567" w:hanging="567"/>
      </w:pPr>
      <w:r>
        <w:t xml:space="preserve">Le CESE invite la Commission à adapter les instruments existants afin de les rendre aussi efficaces que possible. Cela devrait comprendre une augmentation des taux de préfinancement et de cofinancement, en particulier pour les collectivités locales, les PME et la société civile, des appels d’offres spécifiques ou semi-concurrentiels dans le cadre de programmes en gestion directe, des cadres plus adaptables en matière d’aides d’État, un renforcement de la capacité administrative, la simplification et la rationalisation des procédures de mise en œuvre et de remboursement et, là où cela se justifie, des calendriers de mise en œuvre plus souples. </w:t>
      </w:r>
    </w:p>
    <w:p w14:paraId="60FBBD26" w14:textId="77777777" w:rsidR="007A2CCE" w:rsidRPr="00EE5F1F" w:rsidRDefault="007A2CCE" w:rsidP="00A34C7E"/>
    <w:p w14:paraId="1FE442D9" w14:textId="3761B2D8" w:rsidR="000B5EA8" w:rsidRPr="00EE5F1F" w:rsidRDefault="00F25D65" w:rsidP="00A34C7E">
      <w:pPr>
        <w:pStyle w:val="Heading2"/>
        <w:ind w:left="567" w:hanging="567"/>
      </w:pPr>
      <w:r>
        <w:t>Le CESE est satisfait que la Commission reconnaisse que le soutien existant, malgré son importance, ne compense pas totalement les effets de la suspension des programmes transfrontières. Les régions autrefois dépendantes de ces flux devraient recevoir une compensation adéquate afin de garantir un cadre de concurrence équitable entre les États membres et de veiller à ce que personne ne soit laissé pour compte.</w:t>
      </w:r>
    </w:p>
    <w:p w14:paraId="1F389691" w14:textId="77777777" w:rsidR="00F25D65" w:rsidRPr="00EE5F1F" w:rsidRDefault="00F25D65" w:rsidP="00A34C7E">
      <w:pPr>
        <w:ind w:left="567" w:hanging="567"/>
      </w:pPr>
    </w:p>
    <w:p w14:paraId="4A9DDD1A" w14:textId="7C6F970C" w:rsidR="00F25D65" w:rsidRPr="00EE5F1F" w:rsidRDefault="00F25D65" w:rsidP="00A34C7E">
      <w:pPr>
        <w:pStyle w:val="Heading2"/>
        <w:ind w:left="567" w:hanging="567"/>
      </w:pPr>
      <w:r>
        <w:t>Le CESE souligne l’importance stratégique de renforcer la coopération entre les régions frontalières orientales et soutient l’examen de nouveaux formats de coopération à long terme au niveau national, régional, urbain et rural, notamment les futurs programmes Interreg pour la période 2028-2034 et au-delà.</w:t>
      </w:r>
    </w:p>
    <w:p w14:paraId="35E691CE" w14:textId="77777777" w:rsidR="007A2CCE" w:rsidRPr="00EE5F1F" w:rsidRDefault="007A2CCE" w:rsidP="00A34C7E"/>
    <w:p w14:paraId="0902E54C" w14:textId="3A16D293" w:rsidR="002055DB" w:rsidRPr="00153E6A" w:rsidRDefault="0054476D" w:rsidP="00A34C7E">
      <w:pPr>
        <w:pStyle w:val="Heading2"/>
        <w:ind w:left="567" w:hanging="567"/>
      </w:pPr>
      <w:r>
        <w:t>Dans le cadre de la coopération européenne, les régions frontalières orientales ne devraient pas rester les bénéficiaires isolés de mesures distinctes, mais devenir des plateformes de coopération stratégique. La Commission devrait soutenir les mécanismes permettant d’échanger de bonnes pratiques en matière de résilience administrative et civile, de développer des projets communs et de coordonner les positions au sujet de l’adaptation des financements. Ces mécanismes devraient également renforcer les liens entre régions frontalières orientales et avec l’Ukraine et la Moldavie, tout en favorisant les groupements d’entreprises et les écosystèmes transrégionaux. Le Comité recommande d’assurer un suivi des flux migratoires et de l’entrée de produits agricoles en provenance de pays tiers voisins dans les régions frontalières orientales.</w:t>
      </w:r>
    </w:p>
    <w:p w14:paraId="2E4E5379" w14:textId="77777777" w:rsidR="007A2CCE" w:rsidRPr="00EE5F1F" w:rsidRDefault="007A2CCE" w:rsidP="00A34C7E"/>
    <w:p w14:paraId="08796022" w14:textId="4341EC29" w:rsidR="00601822" w:rsidRPr="00EE5F1F" w:rsidRDefault="00F25D65" w:rsidP="00A34C7E">
      <w:pPr>
        <w:pStyle w:val="Heading2"/>
        <w:ind w:left="567" w:hanging="567"/>
      </w:pPr>
      <w:r>
        <w:t>Le CESE souligne que le CFP 2028-2034 devrait répondre de manière plus forte et plus visible aux besoins des régions frontalières orientales, notamment en leur apportant une aide suffisante, ciblée en matière de défense, de préparation, de résilience, de compétitivité et de convergence territoriale. L’action de l’Union européenne devrait contribuer à garantir le droit des personnes à rester dans leur région, et rester adaptable au cas où la situation se détériorerait.</w:t>
      </w:r>
    </w:p>
    <w:p w14:paraId="0CDD388F" w14:textId="77777777" w:rsidR="00601822" w:rsidRPr="00EE5F1F" w:rsidRDefault="00601822" w:rsidP="00A34C7E"/>
    <w:p w14:paraId="56A48EB1" w14:textId="5FBBF001" w:rsidR="00E969A3" w:rsidRPr="00EE5F1F" w:rsidRDefault="00E16ABB" w:rsidP="00A34C7E">
      <w:pPr>
        <w:pStyle w:val="Heading1"/>
        <w:keepNext/>
        <w:keepLines/>
        <w:ind w:left="567" w:hanging="567"/>
      </w:pPr>
      <w:r>
        <w:rPr>
          <w:b/>
        </w:rPr>
        <w:t>Observations particulières</w:t>
      </w:r>
    </w:p>
    <w:p w14:paraId="7A75B358" w14:textId="77777777" w:rsidR="00E969A3" w:rsidRPr="00EE5F1F" w:rsidRDefault="00E969A3" w:rsidP="00A34C7E">
      <w:pPr>
        <w:keepNext/>
        <w:keepLines/>
      </w:pPr>
    </w:p>
    <w:p w14:paraId="59F5DA7D" w14:textId="70FF3962" w:rsidR="00E969A3" w:rsidRPr="00153E6A" w:rsidRDefault="00CD228D" w:rsidP="00D5357C">
      <w:pPr>
        <w:pStyle w:val="Heading2"/>
        <w:keepNext/>
        <w:keepLines/>
        <w:numPr>
          <w:ilvl w:val="0"/>
          <w:numId w:val="0"/>
        </w:numPr>
        <w:rPr>
          <w:i/>
        </w:rPr>
      </w:pPr>
      <w:r>
        <w:rPr>
          <w:i/>
        </w:rPr>
        <w:t>Sécurité et défense</w:t>
      </w:r>
    </w:p>
    <w:p w14:paraId="7392E6C9" w14:textId="77777777" w:rsidR="00E969A3" w:rsidRPr="00EE5F1F" w:rsidRDefault="00E969A3" w:rsidP="00D5357C">
      <w:pPr>
        <w:keepNext/>
        <w:keepLines/>
      </w:pPr>
    </w:p>
    <w:p w14:paraId="5BA3F331" w14:textId="586E7692" w:rsidR="00E969A3" w:rsidRPr="00EE5F1F" w:rsidRDefault="005062C5" w:rsidP="00A34C7E">
      <w:pPr>
        <w:pStyle w:val="Heading2"/>
        <w:ind w:left="567" w:hanging="567"/>
      </w:pPr>
      <w:r>
        <w:t xml:space="preserve">Le CESE soutient le développement de capacités intégrées de l’Union, notamment la surveillance en temps réel, les systèmes </w:t>
      </w:r>
      <w:proofErr w:type="spellStart"/>
      <w:r>
        <w:t>antidrones</w:t>
      </w:r>
      <w:proofErr w:type="spellEnd"/>
      <w:r>
        <w:t xml:space="preserve"> et une gestion renforcée des frontières, en étroite coopération avec l’OTAN et les gouvernements nationaux. Il souligne également la </w:t>
      </w:r>
      <w:r>
        <w:lastRenderedPageBreak/>
        <w:t>nécessité de prévenir la guerre hybride dans les domaines terrestre, aérien, maritime, spatial et numérique, et de la combattre, notamment lorsqu’elle prend la forme de propagande, de campagnes de désinformation, de manipulation de l’information et d’ingérence dans les médias, qui sapent la confiance du public et les processus démocratiques dans les régions frontalières orientales.</w:t>
      </w:r>
    </w:p>
    <w:p w14:paraId="40150CE2" w14:textId="77777777" w:rsidR="00E969A3" w:rsidRPr="00EE5F1F" w:rsidRDefault="00E969A3" w:rsidP="00A34C7E">
      <w:pPr>
        <w:ind w:left="567" w:hanging="567"/>
      </w:pPr>
    </w:p>
    <w:p w14:paraId="3B71B87E" w14:textId="3C7E79C9" w:rsidR="00E969A3" w:rsidRPr="00EE5F1F" w:rsidRDefault="005062C5" w:rsidP="00A34C7E">
      <w:pPr>
        <w:pStyle w:val="Heading2"/>
        <w:ind w:left="567" w:hanging="567"/>
      </w:pPr>
      <w:r>
        <w:t>Le CESE demande instamment à la Commission de veiller à ce que les investissements à double usage, civil et militaire, génèrent également des avantages économiques sur le plan local et notamment des emplois de qualité, l’amélioration des transports, des capacités logistiques, la participation des PME et des retombées en matière d’innovation. Ces investissements peuvent soutenir la cohésion et le développement social et économique, et non seulement la défense.</w:t>
      </w:r>
    </w:p>
    <w:p w14:paraId="117B2325" w14:textId="77777777" w:rsidR="00E969A3" w:rsidRPr="00EE5F1F" w:rsidRDefault="00E969A3" w:rsidP="00A34C7E">
      <w:pPr>
        <w:ind w:left="567" w:hanging="567"/>
      </w:pPr>
    </w:p>
    <w:p w14:paraId="603CFD80" w14:textId="18991D88" w:rsidR="00E969A3" w:rsidRPr="00EE5F1F" w:rsidRDefault="005062C5" w:rsidP="00A34C7E">
      <w:pPr>
        <w:pStyle w:val="Heading2"/>
        <w:ind w:left="567" w:hanging="567"/>
      </w:pPr>
      <w:r>
        <w:t>Le CESE souligne en outre que les investissements liés à la sécurité dans les régions frontalières orientales devraient renforcer non seulement la préparation militaire, mais aussi le développement durable et la résilience des populations locales, renforçant ainsi les infrastructures critiques, la réaction d’urgence, la sécurité et la connectivité. Cela permettrait que les mesures en matière de défense correspondent davantage aux objectifs de cohésion et aux besoins quotidiens des citoyens.</w:t>
      </w:r>
    </w:p>
    <w:p w14:paraId="152A53A5" w14:textId="77777777" w:rsidR="00E969A3" w:rsidRPr="00EE5F1F" w:rsidRDefault="00E969A3" w:rsidP="00A34C7E"/>
    <w:p w14:paraId="393EBB42" w14:textId="22A38DA9" w:rsidR="00DA127A" w:rsidRPr="00153E6A" w:rsidRDefault="00F37C8E" w:rsidP="00A34C7E">
      <w:pPr>
        <w:pStyle w:val="Heading2"/>
        <w:keepNext/>
        <w:keepLines/>
        <w:numPr>
          <w:ilvl w:val="0"/>
          <w:numId w:val="0"/>
        </w:numPr>
        <w:rPr>
          <w:i/>
        </w:rPr>
      </w:pPr>
      <w:r>
        <w:rPr>
          <w:i/>
        </w:rPr>
        <w:t>Développement économique et investissements</w:t>
      </w:r>
    </w:p>
    <w:p w14:paraId="51EF6CD3" w14:textId="77777777" w:rsidR="00E969A3" w:rsidRPr="00EE5F1F" w:rsidRDefault="00E969A3" w:rsidP="00A34C7E">
      <w:pPr>
        <w:keepNext/>
        <w:keepLines/>
      </w:pPr>
    </w:p>
    <w:p w14:paraId="65C35E05" w14:textId="746B62F1" w:rsidR="00E969A3" w:rsidRPr="00EE5F1F" w:rsidRDefault="00157231" w:rsidP="00A34C7E">
      <w:pPr>
        <w:pStyle w:val="Heading2"/>
        <w:ind w:left="567" w:hanging="567"/>
      </w:pPr>
      <w:r>
        <w:t>Le CESE note que les entreprises des régions frontalières orientales font face à des coûts plus élevés pour emprunter, ainsi qu’à une moindre confiance de la part des investisseurs. Il appelle donc de ses vœux des instruments financiers ciblés, par exemple des mécanismes destinés à partager les risques, fournir des garanties et soutenir la capacité d’investissement des communes.</w:t>
      </w:r>
    </w:p>
    <w:p w14:paraId="3C6579DA" w14:textId="77777777" w:rsidR="00E969A3" w:rsidRPr="00EE5F1F" w:rsidRDefault="00E969A3" w:rsidP="00A34C7E">
      <w:pPr>
        <w:ind w:left="567" w:hanging="567"/>
      </w:pPr>
    </w:p>
    <w:p w14:paraId="0D3F82F7" w14:textId="2BA9A7EF" w:rsidR="00157231" w:rsidRPr="00EE5F1F" w:rsidRDefault="00157231" w:rsidP="00A34C7E">
      <w:pPr>
        <w:pStyle w:val="Heading2"/>
        <w:ind w:left="567" w:hanging="567"/>
      </w:pPr>
      <w:r>
        <w:t>Le CESE souligne que cela permettrait aux projets développés dans les régions frontalières orientales de bénéficier de taux de préfinancement et de cofinancement plus élevés, et que les autorités de gestion auraient une plus grande flexibilité concernant les décisions de financement et de mise en œuvre.</w:t>
      </w:r>
    </w:p>
    <w:p w14:paraId="6D1EEC0F" w14:textId="77777777" w:rsidR="00157231" w:rsidRPr="00EE5F1F" w:rsidRDefault="00157231" w:rsidP="00A34C7E">
      <w:pPr>
        <w:ind w:left="567" w:hanging="567"/>
      </w:pPr>
    </w:p>
    <w:p w14:paraId="7F74EDDC" w14:textId="7FF4B185" w:rsidR="00E969A3" w:rsidRPr="00EE5F1F" w:rsidRDefault="00157231" w:rsidP="00A34C7E">
      <w:pPr>
        <w:pStyle w:val="Heading2"/>
        <w:ind w:left="567" w:hanging="567"/>
      </w:pPr>
      <w:r>
        <w:t>Le CESE note que les exemptions existantes en matière d’aides d’État ne génèrent pas toujours suffisamment de croissance ou d’investissements dans les régions structurellement défavorisées. Il est donc favorable à la simplification et à l’extension de ces cadres, notamment au moyen de la révision du règlement général d’exemption par catégorie (RGEC), afin qu’ils reflètent mieux les contraintes structurelles et celles liées à la sécurité des régions frontalières orientales.</w:t>
      </w:r>
    </w:p>
    <w:p w14:paraId="0EC8607E" w14:textId="77777777" w:rsidR="00157231" w:rsidRPr="00EE5F1F" w:rsidRDefault="00157231" w:rsidP="00A34C7E">
      <w:pPr>
        <w:ind w:left="567" w:hanging="567"/>
      </w:pPr>
    </w:p>
    <w:p w14:paraId="51EC1262" w14:textId="1210EF66" w:rsidR="00157231" w:rsidRPr="00EE5F1F" w:rsidRDefault="00157231" w:rsidP="00A34C7E">
      <w:pPr>
        <w:pStyle w:val="Heading2"/>
        <w:ind w:left="567" w:hanging="567"/>
      </w:pPr>
      <w:r>
        <w:t>Le CESE note que des zones économiques spéciales (ZES), accompagnées d’incitations fiscales ciblées, pourraient contribuer à attirer les investissements et à stimuler l’activité économique locale dans les régions frontalières orientales, toutefois, ces régions ont eu du mal à attirer des niveaux soutenus d’investissements étrangers (comme en témoigne l’étude menée par l’ORATE)</w:t>
      </w:r>
      <w:r w:rsidR="00880E26" w:rsidRPr="00EE5F1F">
        <w:rPr>
          <w:rStyle w:val="FootnoteReference"/>
          <w:sz w:val="22"/>
        </w:rPr>
        <w:footnoteReference w:id="1"/>
      </w:r>
      <w:r>
        <w:t xml:space="preserve">. Le Comité encourage dès lors la Commission à élaborer des mesures de soutien sur mesure, par exemple des services de conseil, des outils destinés à promouvoir les </w:t>
      </w:r>
      <w:r>
        <w:lastRenderedPageBreak/>
        <w:t>investissements et des produits financiers ciblés, afin de renforcer l’efficacité des ZES et d’améliorer le climat général qui préside aux investissements. Le CESE invite la Commission à garantir la clarté juridique des ZES lors de la révision du RGEC.</w:t>
      </w:r>
    </w:p>
    <w:p w14:paraId="7B39EBA1" w14:textId="77777777" w:rsidR="00477F51" w:rsidRPr="00EE5F1F" w:rsidRDefault="00477F51" w:rsidP="00A34C7E"/>
    <w:p w14:paraId="7CDE13FE" w14:textId="1D471C83" w:rsidR="00157231" w:rsidRPr="00EE5F1F" w:rsidRDefault="00157231" w:rsidP="00A34C7E">
      <w:pPr>
        <w:pStyle w:val="Heading2"/>
        <w:ind w:left="567" w:hanging="567"/>
      </w:pPr>
      <w:r>
        <w:t xml:space="preserve">Le CESE accueille favorablement la facilité </w:t>
      </w:r>
      <w:proofErr w:type="spellStart"/>
      <w:r>
        <w:t>EastInvest</w:t>
      </w:r>
      <w:proofErr w:type="spellEnd"/>
      <w:r>
        <w:t>, qui constitue une étape importante pour mobiliser des ressources publiques et privées en faveur des régions frontalières orientales. Il souligne que cette facilité devrait être mise en place et opérationnelle sans délai, offrir de nouveaux instruments financiers sur mesure et, le cas échéant, être complétée par des programmes de subventions et des financements privés supplémentaires. La Commission devrait envisager un mécanisme de garantie spécifique de l’Union européenne destiné aux régions frontalières à haut risque dans le but de réduire les coûts des emprunts des PME et des communes, et de stimuler l’investissement privé.</w:t>
      </w:r>
    </w:p>
    <w:p w14:paraId="74F91239" w14:textId="77777777" w:rsidR="00157231" w:rsidRPr="00EE5F1F" w:rsidRDefault="00157231" w:rsidP="00A34C7E"/>
    <w:p w14:paraId="6EB1EBEF" w14:textId="3CA107BB" w:rsidR="00157231" w:rsidRPr="00EE5F1F" w:rsidRDefault="00157231" w:rsidP="00A34C7E">
      <w:pPr>
        <w:pStyle w:val="Heading2"/>
        <w:ind w:left="567" w:hanging="567"/>
      </w:pPr>
      <w:r>
        <w:t>Le CESE invite la Commission à élaborer des mécanismes régionaux intégrés de soutien au secteur privé, qui prévoient des guichets uniques fournissant des informations, des financements et des conseils, afin d’aider les entreprises à accéder aux instruments européens et à améliorer leur préparation des investissements.</w:t>
      </w:r>
    </w:p>
    <w:p w14:paraId="4CBF7BBC" w14:textId="77777777" w:rsidR="00157231" w:rsidRPr="00EE5F1F" w:rsidRDefault="00157231" w:rsidP="00A34C7E">
      <w:pPr>
        <w:ind w:left="567" w:hanging="567"/>
      </w:pPr>
    </w:p>
    <w:p w14:paraId="74C20F2F" w14:textId="4C1D8290" w:rsidR="0030371D" w:rsidRPr="00EE5F1F" w:rsidRDefault="00157231" w:rsidP="00A34C7E">
      <w:pPr>
        <w:pStyle w:val="Heading2"/>
        <w:ind w:left="567" w:hanging="567"/>
      </w:pPr>
      <w:r>
        <w:t>Le CESE souligne l’importance des écosystèmes d’innovation, y compris les industries liées à la défense et aux biens à double usage, les technologies vertes, la bioéconomie et la transformation numérique. Le programme Horizon Europe et les pôles régionaux d’innovation devraient accorder une priorité aux régions frontalières orientales, en accordant une attention particulière aux solutions reposant sur la nature, aux modèles d’économie circulaire et à l’innovation écologique qui renforcent la biodiversité, la résilience au changement climatique et l’utilisation durable des terres.</w:t>
      </w:r>
    </w:p>
    <w:p w14:paraId="0BE58D64" w14:textId="77777777" w:rsidR="0030371D" w:rsidRPr="00EE5F1F" w:rsidRDefault="0030371D" w:rsidP="00A34C7E">
      <w:pPr>
        <w:ind w:left="567" w:hanging="567"/>
      </w:pPr>
    </w:p>
    <w:p w14:paraId="0132BCC8" w14:textId="320027DF" w:rsidR="00157231" w:rsidRPr="00EE5F1F" w:rsidRDefault="00157231" w:rsidP="00A34C7E">
      <w:pPr>
        <w:pStyle w:val="Heading2"/>
        <w:ind w:left="567" w:hanging="567"/>
      </w:pPr>
      <w:r>
        <w:t>Le CESE souligne que la résilience économique des régions frontalières orientales dépend également des moyens d’action accordés aux populations locales. Le CESE souligne que les investissements menés par ces acteurs locaux dans les zones urbaines et rurales et le travail des organisations de la société civile peuvent accélérer l’adoption de projets dans les régions disposant de capacités administratives limitées et contribuer à faire en sorte que les financements européens répondent aux besoins locaux.</w:t>
      </w:r>
    </w:p>
    <w:p w14:paraId="55B1F8EB" w14:textId="77777777" w:rsidR="00477F51" w:rsidRPr="00EE5F1F" w:rsidRDefault="00477F51" w:rsidP="00A34C7E">
      <w:pPr>
        <w:ind w:left="567" w:hanging="567"/>
      </w:pPr>
    </w:p>
    <w:p w14:paraId="2B429A92" w14:textId="4B0675FF" w:rsidR="00157231" w:rsidRPr="00EE5F1F" w:rsidRDefault="000E771E" w:rsidP="00A34C7E">
      <w:pPr>
        <w:pStyle w:val="Heading2"/>
        <w:ind w:left="567" w:hanging="567"/>
      </w:pPr>
      <w:r>
        <w:t>Le CESE plaide en faveur d’appels d’offres spécifiques et de critères de priorité concernant les projets des régions frontalières orientales menés dans le cadre de programmes directement gérés par l’Union et qui soutiennent la compétitivité, la recherche, la connectivité et la sécurité. Cela nécessite de passer résolument de l’indemnisation à la transformation, en veillant à ce que l’aide de l’Union européenne ne se limite pas à compenser les pertes, mais stimule activement le renouvellement et la résilience à long terme dans les régions frontalières orientales.</w:t>
      </w:r>
    </w:p>
    <w:p w14:paraId="76B0D98F" w14:textId="77777777" w:rsidR="00157231" w:rsidRPr="00EE5F1F" w:rsidRDefault="00157231" w:rsidP="00A34C7E"/>
    <w:p w14:paraId="06EC6936" w14:textId="2A2F0700" w:rsidR="0030371D" w:rsidRPr="00153E6A" w:rsidRDefault="00F602C7" w:rsidP="00A34C7E">
      <w:pPr>
        <w:keepNext/>
        <w:keepLines/>
        <w:rPr>
          <w:i/>
        </w:rPr>
      </w:pPr>
      <w:r>
        <w:rPr>
          <w:i/>
        </w:rPr>
        <w:t>Connectivité</w:t>
      </w:r>
    </w:p>
    <w:p w14:paraId="52DA58BB" w14:textId="77777777" w:rsidR="0030371D" w:rsidRPr="00EE5F1F" w:rsidRDefault="0030371D" w:rsidP="00A34C7E">
      <w:pPr>
        <w:keepNext/>
        <w:keepLines/>
      </w:pPr>
    </w:p>
    <w:p w14:paraId="4A1EE926" w14:textId="5AF7A0D8" w:rsidR="0030371D" w:rsidRPr="00153E6A" w:rsidRDefault="0096604A" w:rsidP="00A34C7E">
      <w:pPr>
        <w:pStyle w:val="Heading2"/>
        <w:ind w:left="567" w:hanging="567"/>
        <w:rPr>
          <w:sz w:val="24"/>
        </w:rPr>
      </w:pPr>
      <w:r>
        <w:t xml:space="preserve">Le CESE soutient fermement l’accélération du développement du réseau transeuropéen de transport (RTE-T), notamment du corridor mer Baltique — mer Noire — mer Égée, ainsi que les infrastructures de transport multimodal et l’amélioration des infrastructures ferroviaires, routières et portuaires. Le CESE note que les fermetures de frontières ont laissé de nombreuses </w:t>
      </w:r>
      <w:r>
        <w:lastRenderedPageBreak/>
        <w:t>populations frontalières orientales dans une impasse structurelle, coupées non seulement de leurs anciens voisins orientaux, mais aussi mal reliées le long de l’axe nord-sud au sein de l’Union. Il encourage la Commission à envisager des investissements ciblés dans la connectivité interne à l’UE. Le prochain CFP devrait soutenir à la fois la modernisation des infrastructures ferroviaires existantes et l’aménagement de nouvelles liaisons avec un écartement des rails de 1 435 mm afin de renforcer la connectivité, la mobilité et la sécurité dans les régions frontalières orientales.</w:t>
      </w:r>
    </w:p>
    <w:p w14:paraId="122B22BE" w14:textId="77777777" w:rsidR="008A7248" w:rsidRPr="00EE5F1F" w:rsidRDefault="008A7248" w:rsidP="00A34C7E">
      <w:pPr>
        <w:ind w:left="567" w:hanging="567"/>
      </w:pPr>
    </w:p>
    <w:p w14:paraId="2CF3757A" w14:textId="68E26F89" w:rsidR="0096604A" w:rsidRPr="00EE5F1F" w:rsidRDefault="0096604A" w:rsidP="00A34C7E">
      <w:pPr>
        <w:pStyle w:val="Heading2"/>
        <w:ind w:left="567" w:hanging="567"/>
      </w:pPr>
      <w:r>
        <w:t>Le CESE souligne qu’il est nécessaire de disposer de réseaux énergétiques résilients, de réduire la dépendance à l’égard de l’énergie provenant de pays tiers et de déployer des solutions en matière d’énergies renouvelables et de stockage. La Commission devrait donner la priorité à la production décentralisée d’énergie renouvelable, aux solutions de stockage et aux systèmes énergétiques locaux dans les régions frontalières orientales en vue de réduire leur vulnérabilité aux chocs énergétiques extérieurs.</w:t>
      </w:r>
    </w:p>
    <w:p w14:paraId="6B12428B" w14:textId="77777777" w:rsidR="0096604A" w:rsidRPr="00EE5F1F" w:rsidRDefault="0096604A" w:rsidP="00A34C7E">
      <w:pPr>
        <w:ind w:left="567" w:hanging="567"/>
      </w:pPr>
    </w:p>
    <w:p w14:paraId="496F8B65" w14:textId="41276085" w:rsidR="00866EB6" w:rsidRPr="00EE5F1F" w:rsidRDefault="0096604A" w:rsidP="00A34C7E">
      <w:pPr>
        <w:pStyle w:val="Heading2"/>
        <w:ind w:left="567" w:hanging="567"/>
      </w:pPr>
      <w:r>
        <w:t xml:space="preserve">La connectivité numérique reste inégale. Le CESE plaide en faveur d’un haut débit universel, de services satellitaires sécurisés et d’une </w:t>
      </w:r>
      <w:proofErr w:type="spellStart"/>
      <w:r>
        <w:t>cyberrésilience</w:t>
      </w:r>
      <w:proofErr w:type="spellEnd"/>
      <w:r>
        <w:t xml:space="preserve"> accrue. Le CESE souligne l’importance majeure de la décennie numérique pour remédier à la fracture numérique persistante dans les régions frontalières.</w:t>
      </w:r>
    </w:p>
    <w:p w14:paraId="491A05D9" w14:textId="77777777" w:rsidR="008A7248" w:rsidRPr="00EE5F1F" w:rsidRDefault="008A7248" w:rsidP="00A34C7E"/>
    <w:p w14:paraId="1B7E5890" w14:textId="60E8A3F0" w:rsidR="00F602C7" w:rsidRPr="00153E6A" w:rsidRDefault="006019FE" w:rsidP="00A34C7E">
      <w:pPr>
        <w:keepNext/>
        <w:keepLines/>
        <w:rPr>
          <w:i/>
        </w:rPr>
      </w:pPr>
      <w:r>
        <w:rPr>
          <w:i/>
        </w:rPr>
        <w:t>Problèmes sociaux et démographiques</w:t>
      </w:r>
    </w:p>
    <w:p w14:paraId="6577C948" w14:textId="77777777" w:rsidR="006019FE" w:rsidRPr="00EE5F1F" w:rsidRDefault="006019FE" w:rsidP="00A34C7E">
      <w:pPr>
        <w:keepNext/>
        <w:keepLines/>
      </w:pPr>
    </w:p>
    <w:p w14:paraId="11683448" w14:textId="66989988" w:rsidR="000B5EA8" w:rsidRPr="00EE5F1F" w:rsidRDefault="006019FE" w:rsidP="00A34C7E">
      <w:pPr>
        <w:pStyle w:val="Heading2"/>
        <w:ind w:left="567" w:hanging="567"/>
      </w:pPr>
      <w:r>
        <w:t>Le CESE souligne que le déclin démographique constitue une menace sérieuse pour la viabilité des régions frontalières orientales. Les mesures à prendre devraient porter notamment sur des emplois de qualité, le logement abordable, les systèmes d’accueil des enfants, les soins de santé, des services publics accessibles, l’éducation, des incitations au maintien ou au retour des travailleurs qualifiés et des investissements en faveur de la consolidation du dialogue social dans les régions frontalières orientales, autant d’actions qui contribuent à préserver le droit des personnes à rester dans leur propre région.</w:t>
      </w:r>
    </w:p>
    <w:p w14:paraId="6213A8BD" w14:textId="77777777" w:rsidR="006019FE" w:rsidRPr="00EE5F1F" w:rsidRDefault="006019FE" w:rsidP="00A34C7E">
      <w:pPr>
        <w:ind w:left="567" w:hanging="567"/>
      </w:pPr>
    </w:p>
    <w:p w14:paraId="03B45D6E" w14:textId="22AEDB6A" w:rsidR="006019FE" w:rsidRPr="00EE5F1F" w:rsidRDefault="006019FE" w:rsidP="00A34C7E">
      <w:pPr>
        <w:pStyle w:val="Heading2"/>
        <w:ind w:left="567" w:hanging="567"/>
      </w:pPr>
      <w:r>
        <w:t>Le CESE souligne qu’enrayer le déclin démographique nécessite de transformer les programmes européens existants en faveur de la jeunesse en outils stratégiques destinés à leur permettre de rester sur place. Elle propose donc d’adapter l’initiative ALMA, la garantie pour la jeunesse et le corps européen de solidarité, de manière à proposer des parcours professionnels et des compétences liées à la résilience pertinents pour les régions frontalières orientales, et qui permettent ainsi aux jeunes de se construire un avenir digne de ce nom dans leur région d’origine.</w:t>
      </w:r>
    </w:p>
    <w:p w14:paraId="75585E89" w14:textId="77777777" w:rsidR="006019FE" w:rsidRPr="00EE5F1F" w:rsidRDefault="006019FE" w:rsidP="00A34C7E">
      <w:pPr>
        <w:ind w:left="567" w:hanging="567"/>
      </w:pPr>
    </w:p>
    <w:p w14:paraId="3970FC2F" w14:textId="5DFD52E0" w:rsidR="006019FE" w:rsidRPr="00EE5F1F" w:rsidRDefault="006019FE" w:rsidP="00A34C7E">
      <w:pPr>
        <w:pStyle w:val="Heading2"/>
        <w:ind w:left="567" w:hanging="567"/>
      </w:pPr>
      <w:r>
        <w:t>La Commission devrait veiller à ce que les principaux investissements destinés à réduire la pauvreté et à promouvoir de bonnes conditions de travail s’accompagnent de mesures de développement des compétences et devrait mettre en place un mécanisme spécifique reliant le développement du capital humain aux besoins du marché dans les régions frontalières orientales.</w:t>
      </w:r>
    </w:p>
    <w:p w14:paraId="70A26D1A" w14:textId="77777777" w:rsidR="006019FE" w:rsidRPr="00EE5F1F" w:rsidRDefault="006019FE" w:rsidP="00A34C7E">
      <w:pPr>
        <w:ind w:left="567" w:hanging="567"/>
      </w:pPr>
    </w:p>
    <w:p w14:paraId="6487604F" w14:textId="2723C8E3" w:rsidR="006019FE" w:rsidRPr="00EE5F1F" w:rsidRDefault="006019FE" w:rsidP="008E5895">
      <w:pPr>
        <w:pStyle w:val="Heading2"/>
        <w:keepLines/>
        <w:ind w:left="567" w:hanging="567"/>
      </w:pPr>
      <w:r>
        <w:lastRenderedPageBreak/>
        <w:t>Le dépeuplement constituant une menace structurelle, la Commission devrait instaurer une initiative de revitalisation démographique pour les régions frontalières orientales comprenant des mesures d’incitation destinées aux familles et à la migration de retour, ainsi que la rétention des talents, l’engagement de la diaspora, des aides au logement et un soutien en faveur des systèmes d’accueil des enfants et de l’éducation.</w:t>
      </w:r>
    </w:p>
    <w:p w14:paraId="7D3E049F" w14:textId="77777777" w:rsidR="008A7248" w:rsidRPr="00EE5F1F" w:rsidRDefault="008A7248" w:rsidP="00A34C7E"/>
    <w:p w14:paraId="60B13FED" w14:textId="1964ADA2" w:rsidR="006019FE" w:rsidRPr="00EE5F1F" w:rsidRDefault="006019FE" w:rsidP="00A34C7E">
      <w:pPr>
        <w:pStyle w:val="Heading2"/>
        <w:ind w:left="567" w:hanging="567"/>
      </w:pPr>
      <w:r>
        <w:t>Compte tenu des effets psychosociaux que produisent les menaces pour la sécurité et le déclin démographique, la Commission devrait soutenir des services de santé mentale, une prise en charge tenant compte des traumatismes subis et des structures d’aide de proximité dans les régions frontalières orientales. Il est tout aussi important de donner aux habitants des régions concernées les moyens d’agir, en renforçant leur capacité à déceler les multiples possibilités sociales, économiques et culturelles qui existent dans leur propre région, à y contribuer et à en tirer parti.</w:t>
      </w:r>
    </w:p>
    <w:p w14:paraId="1FC81443" w14:textId="77777777" w:rsidR="006019FE" w:rsidRPr="00EE5F1F" w:rsidRDefault="006019FE" w:rsidP="00A34C7E">
      <w:pPr>
        <w:ind w:left="567" w:hanging="567"/>
      </w:pPr>
    </w:p>
    <w:p w14:paraId="0AEE42BD" w14:textId="60BC3609" w:rsidR="006019FE" w:rsidRPr="00EE5F1F" w:rsidRDefault="006019FE" w:rsidP="00A34C7E">
      <w:pPr>
        <w:pStyle w:val="Heading2"/>
        <w:ind w:left="567" w:hanging="567"/>
      </w:pPr>
      <w:r>
        <w:t>Le CESE souligne que la sécurité des habitants dans les régions frontalières orientales repose non seulement sur une protection physique, mais aussi sur la résilience psychologique. Il demande donc que l’on soutienne davantage les organisations de jeunesse, les institutions culturelles et l’éducation aux médias.</w:t>
      </w:r>
    </w:p>
    <w:p w14:paraId="69F6997C" w14:textId="77777777" w:rsidR="006019FE" w:rsidRPr="00EE5F1F" w:rsidRDefault="006019FE" w:rsidP="00A34C7E">
      <w:pPr>
        <w:ind w:left="567" w:hanging="567"/>
      </w:pPr>
    </w:p>
    <w:p w14:paraId="718305C1" w14:textId="2F71D801" w:rsidR="006019FE" w:rsidRPr="00EE5F1F" w:rsidRDefault="006019FE" w:rsidP="00A34C7E">
      <w:pPr>
        <w:pStyle w:val="Heading2"/>
        <w:ind w:left="567" w:hanging="567"/>
      </w:pPr>
      <w:r>
        <w:t>Le CESE note que le patrimoine culturel, l’identité des communautés, le dialogue intergénérationnel et la lutte contre la désinformation sont des éléments importants de la résilience psychologique, qui devraient être reconnus comme partie intégrante de l’architecture de sécurité au sens large de l’Union européenne.</w:t>
      </w:r>
    </w:p>
    <w:p w14:paraId="08F6C7D7" w14:textId="77777777" w:rsidR="006019FE" w:rsidRPr="00EE5F1F" w:rsidRDefault="006019FE" w:rsidP="00A34C7E"/>
    <w:p w14:paraId="65B044ED" w14:textId="3E4C9AED" w:rsidR="006019FE" w:rsidRPr="00153E6A" w:rsidRDefault="00B907EA" w:rsidP="00A34C7E">
      <w:pPr>
        <w:keepNext/>
        <w:keepLines/>
        <w:rPr>
          <w:i/>
        </w:rPr>
      </w:pPr>
      <w:r>
        <w:rPr>
          <w:i/>
        </w:rPr>
        <w:t>Gouvernance et participation</w:t>
      </w:r>
    </w:p>
    <w:p w14:paraId="3AF89A9D" w14:textId="77777777" w:rsidR="00B907EA" w:rsidRPr="00EE5F1F" w:rsidRDefault="00B907EA" w:rsidP="00A34C7E">
      <w:pPr>
        <w:keepNext/>
        <w:keepLines/>
      </w:pPr>
    </w:p>
    <w:p w14:paraId="4C6A54CF" w14:textId="3D7864F2" w:rsidR="004A0FC1" w:rsidRPr="00EE5F1F" w:rsidRDefault="00D20CFD" w:rsidP="00A34C7E">
      <w:pPr>
        <w:pStyle w:val="Heading2"/>
        <w:ind w:left="567" w:hanging="567"/>
      </w:pPr>
      <w:r>
        <w:t>Le CESE plaide en faveur d’une participation accrue de la société civile, des partenaires sociaux, des collectivités locales et des réseaux transfrontaliers à la conception et à la mise en œuvre des mesures exposées dans la communication à l’examen et le présent avis, en particulier celles relatives à la sécurité et à la préparation, au développement économique, à la connectivité, à la résilience sociale et à la capacité administrative, de manière à favoriser un véritable dialogue avec les partenaires sociaux et la société civile.</w:t>
      </w:r>
    </w:p>
    <w:p w14:paraId="14A4ED3C" w14:textId="77777777" w:rsidR="00D20CFD" w:rsidRPr="00EE5F1F" w:rsidRDefault="00D20CFD" w:rsidP="00A34C7E">
      <w:pPr>
        <w:ind w:left="567" w:hanging="567"/>
      </w:pPr>
    </w:p>
    <w:p w14:paraId="2FC82440" w14:textId="3AB3A682" w:rsidR="00D20CFD" w:rsidRPr="00EE5F1F" w:rsidRDefault="00D20CFD" w:rsidP="00A34C7E">
      <w:pPr>
        <w:pStyle w:val="Heading2"/>
        <w:ind w:left="567" w:hanging="567"/>
      </w:pPr>
      <w:r>
        <w:t>Le CESE estime que les collectivités locales des régions frontalières orientales ont un rôle central à jouer dans leur mise en œuvre, mais qu’elles manquent souvent de ressources. La Commission devrait donc apporter un soutien à long terme au renforcement des capacités, comprenant une assistance technique pluriannuelle, des formations et un accès simplifié aux financements européens, tout en aidant les États membres à utiliser les ressources financières de manière plus stratégique et plus efficace.</w:t>
      </w:r>
    </w:p>
    <w:p w14:paraId="756DD455" w14:textId="77777777" w:rsidR="00D20CFD" w:rsidRPr="00EE5F1F" w:rsidRDefault="00D20CFD" w:rsidP="00A34C7E"/>
    <w:p w14:paraId="2C23670B" w14:textId="1EE39FE3" w:rsidR="00D20CFD" w:rsidRPr="00EE5F1F" w:rsidRDefault="00D20CFD" w:rsidP="00A34C7E">
      <w:pPr>
        <w:pStyle w:val="Heading2"/>
        <w:ind w:left="567" w:hanging="567"/>
      </w:pPr>
      <w:r>
        <w:t>La Commission devrait soutenir les réseaux transfrontières de la société civile et des organisations de jeunesse ainsi que des initiatives communautaires qui renforcent la résilience sociale et la participation démocratique. Le CESE recommande aux États membres de mener, le cas échéant, une</w:t>
      </w:r>
      <w:proofErr w:type="gramStart"/>
      <w:r>
        <w:t xml:space="preserve"> «évaluation</w:t>
      </w:r>
      <w:proofErr w:type="gramEnd"/>
      <w:r>
        <w:t xml:space="preserve"> d’impact du point de vue des </w:t>
      </w:r>
      <w:proofErr w:type="gramStart"/>
      <w:r>
        <w:t>jeunes»</w:t>
      </w:r>
      <w:proofErr w:type="gramEnd"/>
      <w:r>
        <w:t xml:space="preserve"> dans le cadre de leurs plans nationaux de résilience et de préparation.</w:t>
      </w:r>
    </w:p>
    <w:p w14:paraId="35E31726" w14:textId="77777777" w:rsidR="00D20CFD" w:rsidRPr="00EE5F1F" w:rsidRDefault="00D20CFD" w:rsidP="00A34C7E">
      <w:pPr>
        <w:ind w:left="567" w:hanging="567"/>
      </w:pPr>
    </w:p>
    <w:p w14:paraId="39D728C7" w14:textId="2527F926" w:rsidR="00D20CFD" w:rsidRPr="00EE5F1F" w:rsidRDefault="00D20CFD" w:rsidP="00A34C7E">
      <w:pPr>
        <w:pStyle w:val="Heading2"/>
        <w:ind w:left="567" w:hanging="567"/>
      </w:pPr>
      <w:r>
        <w:lastRenderedPageBreak/>
        <w:t>Le CESE soutient les pôles de résilience et encourage la Commission à promouvoir la coopération interrégionale, les échanges de connaissances et les structures communes de gestion de crises. Elle devrait également élaborer d’autres formats de coopération pour remplacer les programmes Interreg suspendus et mettre en place un mécanisme permanent visant à effectuer le suivi de l’évolution des régions frontalières orientales et à adapter la réponse de l’Union européenne en temps utile et de manière proportionnée, en accordant une attention particulière aux besoins et aux vulnérabilités spécifiques des régions NUTS 2 situées le long de la frontière orientale de l’Union.</w:t>
      </w:r>
    </w:p>
    <w:p w14:paraId="15B00487" w14:textId="77777777" w:rsidR="00B907EA" w:rsidRPr="00EE5F1F" w:rsidRDefault="00B907EA" w:rsidP="00A34C7E"/>
    <w:p w14:paraId="51985BF1" w14:textId="3076D9A5" w:rsidR="00D20CFD" w:rsidRPr="00153E6A" w:rsidRDefault="00726A9A" w:rsidP="00A34C7E">
      <w:pPr>
        <w:keepNext/>
        <w:keepLines/>
        <w:rPr>
          <w:i/>
        </w:rPr>
      </w:pPr>
      <w:r>
        <w:rPr>
          <w:i/>
        </w:rPr>
        <w:t>Capacité administrative et préparation institutionnelle</w:t>
      </w:r>
    </w:p>
    <w:p w14:paraId="4ED0F624" w14:textId="77777777" w:rsidR="00726A9A" w:rsidRPr="00EE5F1F" w:rsidRDefault="00726A9A" w:rsidP="00A34C7E">
      <w:pPr>
        <w:keepNext/>
        <w:keepLines/>
      </w:pPr>
    </w:p>
    <w:p w14:paraId="2A29BC79" w14:textId="7455B32F" w:rsidR="00162854" w:rsidRPr="00EE5F1F" w:rsidRDefault="00162854" w:rsidP="00A34C7E">
      <w:pPr>
        <w:pStyle w:val="Heading2"/>
        <w:ind w:left="567" w:hanging="567"/>
      </w:pPr>
      <w:r>
        <w:t xml:space="preserve">Le CESE souligne que les capacités administratives et la préparation institutionnelle sont essentielles non seulement pour absorber les fonds européens, mobiliser les investissements et renforcer la résilience des régions frontalières orientales, mais aussi pour garantir la qualité des services publics fournis aux citoyens, qui ont une incidence directe sur leur qualité de vie. Des capacités administratives limitées et des écosystèmes institutionnels faibles continuent d’entraver la préparation et la mise en œuvre des projets. Tout en se félicitant des instruments recensés dans la communication, et notamment l’instrument d’appui technique, l’initiative en faveur des régions en phase de rattrapage, le réseau des bureaux de compétences en matière de haut débit, les pôles européens d’innovation numérique et la dimension consultative du mécanisme </w:t>
      </w:r>
      <w:proofErr w:type="spellStart"/>
      <w:r>
        <w:t>EastInvest</w:t>
      </w:r>
      <w:proofErr w:type="spellEnd"/>
      <w:r>
        <w:t>, le Comité estime qu’ils devraient être renforcés d’une manière plus systémique.</w:t>
      </w:r>
    </w:p>
    <w:p w14:paraId="1E005999" w14:textId="77777777" w:rsidR="00162854" w:rsidRPr="00EE5F1F" w:rsidRDefault="00162854" w:rsidP="00A34C7E">
      <w:pPr>
        <w:ind w:left="567" w:hanging="567"/>
      </w:pPr>
    </w:p>
    <w:p w14:paraId="28C33E7B" w14:textId="6CAAB1B3" w:rsidR="00463F10" w:rsidRPr="00EE5F1F" w:rsidRDefault="00162854" w:rsidP="00A34C7E">
      <w:pPr>
        <w:pStyle w:val="Heading2"/>
        <w:ind w:left="567" w:hanging="567"/>
      </w:pPr>
      <w:r>
        <w:t xml:space="preserve">Le CESE invite la Commission à considérer les capacités administratives et institutionnelles comme un investissement stratégique allant au-delà d’une approche reposant principalement sur l’assistance technique. Ce soutien devrait couvrir la préparation des projets, le développement de réservoirs de projets aboutis, la simplification de l’assistance technique et des cadres clairs de mise en </w:t>
      </w:r>
      <w:proofErr w:type="gramStart"/>
      <w:r>
        <w:t>œuvre;</w:t>
      </w:r>
      <w:proofErr w:type="gramEnd"/>
      <w:r>
        <w:t xml:space="preserve"> il devrait également s’étendre aux acteurs concernés de la société civile. Une approche plus structurée et à long terme améliorerait l’efficacité des financements européens et contribuerait à libérer tout le potentiel des régions frontalières orientales.</w:t>
      </w:r>
    </w:p>
    <w:p w14:paraId="56E1DE7C" w14:textId="77777777" w:rsidR="00726A9A" w:rsidRDefault="00726A9A" w:rsidP="00A34C7E"/>
    <w:p w14:paraId="41432903" w14:textId="7DC2C02E" w:rsidR="00780FA4" w:rsidRDefault="00780FA4" w:rsidP="00A34C7E">
      <w:pPr>
        <w:jc w:val="left"/>
      </w:pPr>
      <w:r>
        <w:t>Bruxelles, le 4 juin 2026.</w:t>
      </w:r>
    </w:p>
    <w:p w14:paraId="48891CB9" w14:textId="77777777" w:rsidR="00780FA4" w:rsidRDefault="00780FA4" w:rsidP="00A34C7E">
      <w:pPr>
        <w:jc w:val="left"/>
      </w:pPr>
    </w:p>
    <w:p w14:paraId="4F1FCDBB" w14:textId="77777777" w:rsidR="00780FA4" w:rsidRDefault="00780FA4" w:rsidP="00A34C7E">
      <w:pPr>
        <w:jc w:val="left"/>
      </w:pPr>
    </w:p>
    <w:p w14:paraId="122467B0" w14:textId="6BCE5F02" w:rsidR="00780FA4" w:rsidRPr="000D7124" w:rsidRDefault="00780FA4" w:rsidP="00A34C7E">
      <w:pPr>
        <w:jc w:val="left"/>
        <w:rPr>
          <w:i/>
          <w:iCs/>
        </w:rPr>
      </w:pPr>
      <w:r>
        <w:rPr>
          <w:i/>
        </w:rPr>
        <w:t>La présidente de la section</w:t>
      </w:r>
      <w:proofErr w:type="gramStart"/>
      <w:r>
        <w:rPr>
          <w:i/>
        </w:rPr>
        <w:t xml:space="preserve"> «Union</w:t>
      </w:r>
      <w:proofErr w:type="gramEnd"/>
      <w:r>
        <w:rPr>
          <w:i/>
        </w:rPr>
        <w:t xml:space="preserve"> économique et monétaire et cohésion économique et </w:t>
      </w:r>
      <w:proofErr w:type="gramStart"/>
      <w:r>
        <w:rPr>
          <w:i/>
        </w:rPr>
        <w:t>sociale»</w:t>
      </w:r>
      <w:proofErr w:type="gramEnd"/>
    </w:p>
    <w:p w14:paraId="1DC35BBD" w14:textId="671FC057" w:rsidR="00780FA4" w:rsidRPr="00EE5F1F" w:rsidRDefault="00780FA4" w:rsidP="00D5357C">
      <w:pPr>
        <w:jc w:val="left"/>
      </w:pPr>
      <w:r>
        <w:t>Elena CALISTRU</w:t>
      </w:r>
    </w:p>
    <w:p w14:paraId="5B3BE5E5" w14:textId="36A2A5C6" w:rsidR="00646AC2" w:rsidRPr="00EE5F1F" w:rsidRDefault="00E16ABB" w:rsidP="00A34C7E">
      <w:pPr>
        <w:jc w:val="center"/>
      </w:pPr>
      <w:r>
        <w:t>_____________</w:t>
      </w:r>
    </w:p>
    <w:sectPr w:rsidR="00646AC2" w:rsidRPr="00EE5F1F" w:rsidSect="0055592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BDB2" w14:textId="77777777" w:rsidR="007F0510" w:rsidRDefault="007F0510">
      <w:r>
        <w:separator/>
      </w:r>
    </w:p>
  </w:endnote>
  <w:endnote w:type="continuationSeparator" w:id="0">
    <w:p w14:paraId="78378635" w14:textId="77777777" w:rsidR="007F0510" w:rsidRDefault="007F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5E64" w14:textId="77777777" w:rsidR="00A3751E" w:rsidRDefault="00A3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E5EE" w14:textId="2DB02A7E" w:rsidR="00E32DC6" w:rsidRPr="0055592C" w:rsidRDefault="0055592C" w:rsidP="0055592C">
    <w:pPr>
      <w:pStyle w:val="Footer"/>
    </w:pPr>
    <w:r>
      <w:t xml:space="preserve">ECO/697 – EESC-2026-00699-00-00-AS-TRA (EN) </w:t>
    </w:r>
    <w:r>
      <w:fldChar w:fldCharType="begin"/>
    </w:r>
    <w:r>
      <w:instrText xml:space="preserve"> PAGE  \* Arabic  \* MERGEFORMAT </w:instrText>
    </w:r>
    <w:r>
      <w:fldChar w:fldCharType="separate"/>
    </w:r>
    <w:r w:rsidR="008F573E">
      <w:t>1</w:t>
    </w:r>
    <w:r>
      <w:fldChar w:fldCharType="end"/>
    </w:r>
    <w:r>
      <w:t>/</w:t>
    </w:r>
    <w:fldSimple w:instr=" NUMPAGES ">
      <w:r w:rsidR="008F573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7AA8" w14:textId="77777777" w:rsidR="00A3751E" w:rsidRDefault="00A375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29B3" w14:textId="77777777" w:rsidR="00F46DBB" w:rsidRPr="0055592C" w:rsidRDefault="00F46DBB" w:rsidP="005559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BAA" w14:textId="5652620F" w:rsidR="00F46DBB" w:rsidRPr="0055592C" w:rsidRDefault="0055592C" w:rsidP="0055592C">
    <w:pPr>
      <w:pStyle w:val="Footer"/>
    </w:pPr>
    <w:r>
      <w:t xml:space="preserve">ECO/697 – EESC-2026-00699-00-00-AS-TRA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EF4E" w14:textId="77777777" w:rsidR="00F46DBB" w:rsidRPr="0055592C" w:rsidRDefault="00F46DBB" w:rsidP="0055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5559" w14:textId="77777777" w:rsidR="007F0510" w:rsidRDefault="007F0510">
      <w:r>
        <w:separator/>
      </w:r>
    </w:p>
  </w:footnote>
  <w:footnote w:type="continuationSeparator" w:id="0">
    <w:p w14:paraId="2CF72A96" w14:textId="77777777" w:rsidR="007F0510" w:rsidRDefault="007F0510">
      <w:r>
        <w:continuationSeparator/>
      </w:r>
    </w:p>
  </w:footnote>
  <w:footnote w:id="1">
    <w:p w14:paraId="483C6941" w14:textId="41F1590F" w:rsidR="00880E26" w:rsidRPr="00477F51" w:rsidRDefault="00880E26">
      <w:pPr>
        <w:pStyle w:val="FootnoteText"/>
      </w:pPr>
      <w:r>
        <w:rPr>
          <w:rStyle w:val="FootnoteReference"/>
        </w:rPr>
        <w:footnoteRef/>
      </w:r>
      <w:r>
        <w:tab/>
      </w:r>
      <w:hyperlink r:id="rId1" w:history="1">
        <w:r>
          <w:rPr>
            <w:color w:val="0000FF"/>
            <w:u w:val="single"/>
          </w:rPr>
          <w:t>Rapport final du projet CHANEBO de l’ORATE</w:t>
        </w:r>
      </w:hyperlink>
      <w:r>
        <w:t xml:space="preserve"> (en anglais 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741D" w14:textId="77777777" w:rsidR="00A3751E" w:rsidRDefault="00A3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F820" w14:textId="77777777" w:rsidR="00A3751E" w:rsidRDefault="00A37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037" w14:textId="77777777" w:rsidR="00A3751E" w:rsidRDefault="00A37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013" w14:textId="77777777" w:rsidR="00F46DBB" w:rsidRPr="0055592C" w:rsidRDefault="00F46DBB" w:rsidP="00555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AFA8" w14:textId="5D51AFAB" w:rsidR="00F46DBB" w:rsidRPr="0055592C" w:rsidRDefault="00F46DBB" w:rsidP="005559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521" w14:textId="77777777" w:rsidR="00F46DBB" w:rsidRPr="0055592C" w:rsidRDefault="00F46DBB" w:rsidP="00555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B6E9ACA"/>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0246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7773E"/>
    <w:multiLevelType w:val="hybridMultilevel"/>
    <w:tmpl w:val="945E5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326A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765201"/>
    <w:multiLevelType w:val="hybridMultilevel"/>
    <w:tmpl w:val="5844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4B07"/>
    <w:multiLevelType w:val="hybridMultilevel"/>
    <w:tmpl w:val="2006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1220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134A8"/>
    <w:multiLevelType w:val="hybridMultilevel"/>
    <w:tmpl w:val="9A0C4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9741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5E1D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077A9"/>
    <w:multiLevelType w:val="multilevel"/>
    <w:tmpl w:val="BA422DD6"/>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C35202"/>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205CBE"/>
    <w:multiLevelType w:val="hybridMultilevel"/>
    <w:tmpl w:val="469E9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A6A82"/>
    <w:multiLevelType w:val="hybridMultilevel"/>
    <w:tmpl w:val="BBCE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430913">
    <w:abstractNumId w:val="0"/>
  </w:num>
  <w:num w:numId="2" w16cid:durableId="779836172">
    <w:abstractNumId w:val="7"/>
  </w:num>
  <w:num w:numId="3" w16cid:durableId="127550909">
    <w:abstractNumId w:val="12"/>
  </w:num>
  <w:num w:numId="4" w16cid:durableId="1208646091">
    <w:abstractNumId w:val="5"/>
  </w:num>
  <w:num w:numId="5" w16cid:durableId="1562669131">
    <w:abstractNumId w:val="2"/>
  </w:num>
  <w:num w:numId="6" w16cid:durableId="112601774">
    <w:abstractNumId w:val="4"/>
  </w:num>
  <w:num w:numId="7" w16cid:durableId="1348601589">
    <w:abstractNumId w:val="13"/>
  </w:num>
  <w:num w:numId="8" w16cid:durableId="1403411407">
    <w:abstractNumId w:val="0"/>
  </w:num>
  <w:num w:numId="9" w16cid:durableId="416024188">
    <w:abstractNumId w:val="0"/>
  </w:num>
  <w:num w:numId="10" w16cid:durableId="812798509">
    <w:abstractNumId w:val="0"/>
  </w:num>
  <w:num w:numId="11" w16cid:durableId="1006595010">
    <w:abstractNumId w:val="0"/>
  </w:num>
  <w:num w:numId="12" w16cid:durableId="1399548040">
    <w:abstractNumId w:val="0"/>
  </w:num>
  <w:num w:numId="13" w16cid:durableId="228225167">
    <w:abstractNumId w:val="0"/>
  </w:num>
  <w:num w:numId="14" w16cid:durableId="184950716">
    <w:abstractNumId w:val="0"/>
  </w:num>
  <w:num w:numId="15" w16cid:durableId="1846357872">
    <w:abstractNumId w:val="0"/>
  </w:num>
  <w:num w:numId="16" w16cid:durableId="596182881">
    <w:abstractNumId w:val="0"/>
  </w:num>
  <w:num w:numId="17" w16cid:durableId="295138551">
    <w:abstractNumId w:val="0"/>
  </w:num>
  <w:num w:numId="18" w16cid:durableId="771704651">
    <w:abstractNumId w:val="0"/>
  </w:num>
  <w:num w:numId="19" w16cid:durableId="16933015">
    <w:abstractNumId w:val="0"/>
  </w:num>
  <w:num w:numId="20" w16cid:durableId="582758259">
    <w:abstractNumId w:val="0"/>
  </w:num>
  <w:num w:numId="21" w16cid:durableId="898713780">
    <w:abstractNumId w:val="0"/>
  </w:num>
  <w:num w:numId="22" w16cid:durableId="2100788815">
    <w:abstractNumId w:val="0"/>
  </w:num>
  <w:num w:numId="23" w16cid:durableId="1427731535">
    <w:abstractNumId w:val="0"/>
  </w:num>
  <w:num w:numId="24" w16cid:durableId="1457333143">
    <w:abstractNumId w:val="0"/>
  </w:num>
  <w:num w:numId="25" w16cid:durableId="300312368">
    <w:abstractNumId w:val="0"/>
  </w:num>
  <w:num w:numId="26" w16cid:durableId="604655999">
    <w:abstractNumId w:val="0"/>
  </w:num>
  <w:num w:numId="27" w16cid:durableId="336543008">
    <w:abstractNumId w:val="0"/>
  </w:num>
  <w:num w:numId="28" w16cid:durableId="290601485">
    <w:abstractNumId w:val="10"/>
  </w:num>
  <w:num w:numId="29" w16cid:durableId="386614878">
    <w:abstractNumId w:val="0"/>
  </w:num>
  <w:num w:numId="30" w16cid:durableId="1622346167">
    <w:abstractNumId w:val="8"/>
  </w:num>
  <w:num w:numId="31" w16cid:durableId="1890916346">
    <w:abstractNumId w:val="6"/>
  </w:num>
  <w:num w:numId="32" w16cid:durableId="1250311107">
    <w:abstractNumId w:val="3"/>
  </w:num>
  <w:num w:numId="33" w16cid:durableId="2077819887">
    <w:abstractNumId w:val="11"/>
  </w:num>
  <w:num w:numId="34" w16cid:durableId="892809747">
    <w:abstractNumId w:val="9"/>
  </w:num>
  <w:num w:numId="35" w16cid:durableId="64385189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9ED"/>
    <w:rsid w:val="00005AB9"/>
    <w:rsid w:val="00005EB9"/>
    <w:rsid w:val="00006E24"/>
    <w:rsid w:val="00007A40"/>
    <w:rsid w:val="00010A5C"/>
    <w:rsid w:val="00011D33"/>
    <w:rsid w:val="000145E8"/>
    <w:rsid w:val="00020E6E"/>
    <w:rsid w:val="00031A4B"/>
    <w:rsid w:val="00033913"/>
    <w:rsid w:val="00033E5B"/>
    <w:rsid w:val="000357A8"/>
    <w:rsid w:val="000430A6"/>
    <w:rsid w:val="00044923"/>
    <w:rsid w:val="000512E1"/>
    <w:rsid w:val="0005249C"/>
    <w:rsid w:val="000534A5"/>
    <w:rsid w:val="0005531E"/>
    <w:rsid w:val="0005680D"/>
    <w:rsid w:val="00060B0E"/>
    <w:rsid w:val="00060BD9"/>
    <w:rsid w:val="00063FB4"/>
    <w:rsid w:val="00065561"/>
    <w:rsid w:val="0006793E"/>
    <w:rsid w:val="00072E0F"/>
    <w:rsid w:val="000735E5"/>
    <w:rsid w:val="0007392F"/>
    <w:rsid w:val="000768CF"/>
    <w:rsid w:val="000820D2"/>
    <w:rsid w:val="000855A4"/>
    <w:rsid w:val="00086D0C"/>
    <w:rsid w:val="00087B39"/>
    <w:rsid w:val="00093E74"/>
    <w:rsid w:val="00096502"/>
    <w:rsid w:val="000975C6"/>
    <w:rsid w:val="000A33E2"/>
    <w:rsid w:val="000A49BB"/>
    <w:rsid w:val="000A5889"/>
    <w:rsid w:val="000B4C86"/>
    <w:rsid w:val="000B5EA8"/>
    <w:rsid w:val="000C17C0"/>
    <w:rsid w:val="000C3441"/>
    <w:rsid w:val="000C3644"/>
    <w:rsid w:val="000C3A90"/>
    <w:rsid w:val="000C3E0C"/>
    <w:rsid w:val="000C5106"/>
    <w:rsid w:val="000C6A4E"/>
    <w:rsid w:val="000C7F53"/>
    <w:rsid w:val="000D1F94"/>
    <w:rsid w:val="000D2F8E"/>
    <w:rsid w:val="000E23EE"/>
    <w:rsid w:val="000E771E"/>
    <w:rsid w:val="000F196B"/>
    <w:rsid w:val="00102484"/>
    <w:rsid w:val="001040FB"/>
    <w:rsid w:val="00105361"/>
    <w:rsid w:val="001101F8"/>
    <w:rsid w:val="0011206F"/>
    <w:rsid w:val="001153AC"/>
    <w:rsid w:val="0011656A"/>
    <w:rsid w:val="0012220C"/>
    <w:rsid w:val="00124F12"/>
    <w:rsid w:val="00126367"/>
    <w:rsid w:val="00127A37"/>
    <w:rsid w:val="0013664F"/>
    <w:rsid w:val="00136EA3"/>
    <w:rsid w:val="00137575"/>
    <w:rsid w:val="00143E1B"/>
    <w:rsid w:val="00144231"/>
    <w:rsid w:val="001445BE"/>
    <w:rsid w:val="00145213"/>
    <w:rsid w:val="00150434"/>
    <w:rsid w:val="00153E6A"/>
    <w:rsid w:val="001548CF"/>
    <w:rsid w:val="00155721"/>
    <w:rsid w:val="0015678B"/>
    <w:rsid w:val="00157231"/>
    <w:rsid w:val="00157F62"/>
    <w:rsid w:val="00162854"/>
    <w:rsid w:val="00162FD2"/>
    <w:rsid w:val="00164365"/>
    <w:rsid w:val="0016503F"/>
    <w:rsid w:val="00165D09"/>
    <w:rsid w:val="0016674F"/>
    <w:rsid w:val="00166ACA"/>
    <w:rsid w:val="00167CA0"/>
    <w:rsid w:val="0017120D"/>
    <w:rsid w:val="001714F6"/>
    <w:rsid w:val="0017365D"/>
    <w:rsid w:val="00176168"/>
    <w:rsid w:val="00177158"/>
    <w:rsid w:val="00177F5F"/>
    <w:rsid w:val="001808A5"/>
    <w:rsid w:val="0018306F"/>
    <w:rsid w:val="00184A88"/>
    <w:rsid w:val="00184FD4"/>
    <w:rsid w:val="00186B04"/>
    <w:rsid w:val="00186F1E"/>
    <w:rsid w:val="00187D55"/>
    <w:rsid w:val="00190836"/>
    <w:rsid w:val="00193338"/>
    <w:rsid w:val="00193930"/>
    <w:rsid w:val="001963A5"/>
    <w:rsid w:val="00196F1E"/>
    <w:rsid w:val="00197FCA"/>
    <w:rsid w:val="001A27DB"/>
    <w:rsid w:val="001A649B"/>
    <w:rsid w:val="001A6852"/>
    <w:rsid w:val="001B286A"/>
    <w:rsid w:val="001B2D02"/>
    <w:rsid w:val="001B3647"/>
    <w:rsid w:val="001B517F"/>
    <w:rsid w:val="001B77FA"/>
    <w:rsid w:val="001C0ABE"/>
    <w:rsid w:val="001C0B04"/>
    <w:rsid w:val="001C5852"/>
    <w:rsid w:val="001C63DA"/>
    <w:rsid w:val="001D0B31"/>
    <w:rsid w:val="001D148C"/>
    <w:rsid w:val="001D1F8E"/>
    <w:rsid w:val="001D45F0"/>
    <w:rsid w:val="001D664F"/>
    <w:rsid w:val="001E07B8"/>
    <w:rsid w:val="001E4A33"/>
    <w:rsid w:val="001E519B"/>
    <w:rsid w:val="001E535A"/>
    <w:rsid w:val="001E5C27"/>
    <w:rsid w:val="001E6B30"/>
    <w:rsid w:val="001F602B"/>
    <w:rsid w:val="001F6AC8"/>
    <w:rsid w:val="001F79D5"/>
    <w:rsid w:val="00200928"/>
    <w:rsid w:val="00201084"/>
    <w:rsid w:val="002037D5"/>
    <w:rsid w:val="002055DB"/>
    <w:rsid w:val="00206F90"/>
    <w:rsid w:val="00212B03"/>
    <w:rsid w:val="002131AE"/>
    <w:rsid w:val="00215C10"/>
    <w:rsid w:val="00215C2D"/>
    <w:rsid w:val="002252C4"/>
    <w:rsid w:val="002305FA"/>
    <w:rsid w:val="0023183E"/>
    <w:rsid w:val="00235138"/>
    <w:rsid w:val="00240622"/>
    <w:rsid w:val="00243E36"/>
    <w:rsid w:val="0024540B"/>
    <w:rsid w:val="00245EF4"/>
    <w:rsid w:val="00246753"/>
    <w:rsid w:val="00250586"/>
    <w:rsid w:val="00250E11"/>
    <w:rsid w:val="00251383"/>
    <w:rsid w:val="002520F5"/>
    <w:rsid w:val="002522C9"/>
    <w:rsid w:val="00252A21"/>
    <w:rsid w:val="00253E4F"/>
    <w:rsid w:val="00253E55"/>
    <w:rsid w:val="002542E4"/>
    <w:rsid w:val="00261053"/>
    <w:rsid w:val="00262FDE"/>
    <w:rsid w:val="00263623"/>
    <w:rsid w:val="00263629"/>
    <w:rsid w:val="00265A24"/>
    <w:rsid w:val="00267D34"/>
    <w:rsid w:val="00271C4A"/>
    <w:rsid w:val="00273A11"/>
    <w:rsid w:val="002769BD"/>
    <w:rsid w:val="00276A75"/>
    <w:rsid w:val="002809EA"/>
    <w:rsid w:val="00283334"/>
    <w:rsid w:val="002835B1"/>
    <w:rsid w:val="002840D7"/>
    <w:rsid w:val="00284962"/>
    <w:rsid w:val="00287B0E"/>
    <w:rsid w:val="00291236"/>
    <w:rsid w:val="00292558"/>
    <w:rsid w:val="002953A6"/>
    <w:rsid w:val="002A0B53"/>
    <w:rsid w:val="002A0EEF"/>
    <w:rsid w:val="002A1DD8"/>
    <w:rsid w:val="002A28D8"/>
    <w:rsid w:val="002A4F9B"/>
    <w:rsid w:val="002A76F9"/>
    <w:rsid w:val="002B2DF7"/>
    <w:rsid w:val="002B5653"/>
    <w:rsid w:val="002C1DB1"/>
    <w:rsid w:val="002C2A72"/>
    <w:rsid w:val="002C3BF4"/>
    <w:rsid w:val="002C5C9D"/>
    <w:rsid w:val="002C749F"/>
    <w:rsid w:val="002D0742"/>
    <w:rsid w:val="002D51CB"/>
    <w:rsid w:val="002D7172"/>
    <w:rsid w:val="002E7B33"/>
    <w:rsid w:val="002F059B"/>
    <w:rsid w:val="002F1D63"/>
    <w:rsid w:val="002F3594"/>
    <w:rsid w:val="002F37A4"/>
    <w:rsid w:val="002F5B0B"/>
    <w:rsid w:val="00300924"/>
    <w:rsid w:val="0030371D"/>
    <w:rsid w:val="00303A51"/>
    <w:rsid w:val="00303BDC"/>
    <w:rsid w:val="0030596E"/>
    <w:rsid w:val="003073C3"/>
    <w:rsid w:val="00307EC8"/>
    <w:rsid w:val="003119D8"/>
    <w:rsid w:val="00317D11"/>
    <w:rsid w:val="0032251C"/>
    <w:rsid w:val="00323637"/>
    <w:rsid w:val="003237E8"/>
    <w:rsid w:val="00324E8A"/>
    <w:rsid w:val="00330208"/>
    <w:rsid w:val="00331C93"/>
    <w:rsid w:val="00331D87"/>
    <w:rsid w:val="00332365"/>
    <w:rsid w:val="00332850"/>
    <w:rsid w:val="00334478"/>
    <w:rsid w:val="003346B4"/>
    <w:rsid w:val="00334AE6"/>
    <w:rsid w:val="003365D0"/>
    <w:rsid w:val="003423F2"/>
    <w:rsid w:val="00342D4A"/>
    <w:rsid w:val="003439AB"/>
    <w:rsid w:val="0034599A"/>
    <w:rsid w:val="00347058"/>
    <w:rsid w:val="0035034C"/>
    <w:rsid w:val="00350E04"/>
    <w:rsid w:val="00354695"/>
    <w:rsid w:val="0035549B"/>
    <w:rsid w:val="00355AE9"/>
    <w:rsid w:val="00361CAE"/>
    <w:rsid w:val="00363B69"/>
    <w:rsid w:val="00363CD0"/>
    <w:rsid w:val="00364868"/>
    <w:rsid w:val="00366EFC"/>
    <w:rsid w:val="003703C2"/>
    <w:rsid w:val="00374B45"/>
    <w:rsid w:val="003755C8"/>
    <w:rsid w:val="00375687"/>
    <w:rsid w:val="00380AE0"/>
    <w:rsid w:val="00383324"/>
    <w:rsid w:val="0038425C"/>
    <w:rsid w:val="003854EB"/>
    <w:rsid w:val="003868A9"/>
    <w:rsid w:val="00387A75"/>
    <w:rsid w:val="003904FD"/>
    <w:rsid w:val="003908C2"/>
    <w:rsid w:val="00390920"/>
    <w:rsid w:val="00390CD2"/>
    <w:rsid w:val="003932B3"/>
    <w:rsid w:val="00394254"/>
    <w:rsid w:val="00397D2F"/>
    <w:rsid w:val="003A049F"/>
    <w:rsid w:val="003A7F3F"/>
    <w:rsid w:val="003B0C32"/>
    <w:rsid w:val="003B3451"/>
    <w:rsid w:val="003B3FCD"/>
    <w:rsid w:val="003B5360"/>
    <w:rsid w:val="003C2BFB"/>
    <w:rsid w:val="003C3517"/>
    <w:rsid w:val="003C436B"/>
    <w:rsid w:val="003C5337"/>
    <w:rsid w:val="003C5F92"/>
    <w:rsid w:val="003D0FFD"/>
    <w:rsid w:val="003D172B"/>
    <w:rsid w:val="003D21B5"/>
    <w:rsid w:val="003D7A8C"/>
    <w:rsid w:val="003D7C00"/>
    <w:rsid w:val="003E0475"/>
    <w:rsid w:val="003E192F"/>
    <w:rsid w:val="003E1D35"/>
    <w:rsid w:val="003E2BB1"/>
    <w:rsid w:val="003E56E5"/>
    <w:rsid w:val="003E7E60"/>
    <w:rsid w:val="003F00D4"/>
    <w:rsid w:val="003F0EC0"/>
    <w:rsid w:val="003F2209"/>
    <w:rsid w:val="003F3D39"/>
    <w:rsid w:val="003F55F2"/>
    <w:rsid w:val="003F646A"/>
    <w:rsid w:val="003F6761"/>
    <w:rsid w:val="003F6A0A"/>
    <w:rsid w:val="00401588"/>
    <w:rsid w:val="004024F5"/>
    <w:rsid w:val="00402DE1"/>
    <w:rsid w:val="00403D8B"/>
    <w:rsid w:val="004058D4"/>
    <w:rsid w:val="004058F1"/>
    <w:rsid w:val="00406DC6"/>
    <w:rsid w:val="00407E7D"/>
    <w:rsid w:val="0041283D"/>
    <w:rsid w:val="00413AB4"/>
    <w:rsid w:val="00414148"/>
    <w:rsid w:val="004176F7"/>
    <w:rsid w:val="00420273"/>
    <w:rsid w:val="00421373"/>
    <w:rsid w:val="00421FB7"/>
    <w:rsid w:val="0042763B"/>
    <w:rsid w:val="0043024C"/>
    <w:rsid w:val="004363C0"/>
    <w:rsid w:val="00436706"/>
    <w:rsid w:val="00440F8C"/>
    <w:rsid w:val="00443D38"/>
    <w:rsid w:val="00444F07"/>
    <w:rsid w:val="00445A40"/>
    <w:rsid w:val="004471F3"/>
    <w:rsid w:val="00447929"/>
    <w:rsid w:val="00450E7A"/>
    <w:rsid w:val="004532FE"/>
    <w:rsid w:val="0045671C"/>
    <w:rsid w:val="00456AF8"/>
    <w:rsid w:val="00457F4C"/>
    <w:rsid w:val="00462CD7"/>
    <w:rsid w:val="00463F10"/>
    <w:rsid w:val="00470B15"/>
    <w:rsid w:val="00475869"/>
    <w:rsid w:val="00475A77"/>
    <w:rsid w:val="00477DBE"/>
    <w:rsid w:val="00477F51"/>
    <w:rsid w:val="00480805"/>
    <w:rsid w:val="00482DF1"/>
    <w:rsid w:val="00482F31"/>
    <w:rsid w:val="004841BC"/>
    <w:rsid w:val="00484F5F"/>
    <w:rsid w:val="004866A9"/>
    <w:rsid w:val="00486A6C"/>
    <w:rsid w:val="0048754F"/>
    <w:rsid w:val="00492774"/>
    <w:rsid w:val="00493D37"/>
    <w:rsid w:val="00494592"/>
    <w:rsid w:val="00496266"/>
    <w:rsid w:val="00496D7A"/>
    <w:rsid w:val="00497939"/>
    <w:rsid w:val="004A0FC1"/>
    <w:rsid w:val="004A2B9E"/>
    <w:rsid w:val="004A2C09"/>
    <w:rsid w:val="004A3128"/>
    <w:rsid w:val="004A31BC"/>
    <w:rsid w:val="004A3F1A"/>
    <w:rsid w:val="004A3F45"/>
    <w:rsid w:val="004A48CA"/>
    <w:rsid w:val="004A5738"/>
    <w:rsid w:val="004B1AFA"/>
    <w:rsid w:val="004B2EE2"/>
    <w:rsid w:val="004B3999"/>
    <w:rsid w:val="004B7088"/>
    <w:rsid w:val="004B7F5C"/>
    <w:rsid w:val="004C4D12"/>
    <w:rsid w:val="004C5573"/>
    <w:rsid w:val="004C5B76"/>
    <w:rsid w:val="004D02CD"/>
    <w:rsid w:val="004D0B24"/>
    <w:rsid w:val="004D42EA"/>
    <w:rsid w:val="004D4B90"/>
    <w:rsid w:val="004D5F8F"/>
    <w:rsid w:val="004D672E"/>
    <w:rsid w:val="004D6B95"/>
    <w:rsid w:val="004D6BD6"/>
    <w:rsid w:val="004D7F41"/>
    <w:rsid w:val="004E03A2"/>
    <w:rsid w:val="004E317E"/>
    <w:rsid w:val="004E3954"/>
    <w:rsid w:val="004E5856"/>
    <w:rsid w:val="004E7CC8"/>
    <w:rsid w:val="004F2330"/>
    <w:rsid w:val="004F53C6"/>
    <w:rsid w:val="004F55C6"/>
    <w:rsid w:val="004F69DB"/>
    <w:rsid w:val="004F6B87"/>
    <w:rsid w:val="00501A20"/>
    <w:rsid w:val="00501C2D"/>
    <w:rsid w:val="00502637"/>
    <w:rsid w:val="00505C02"/>
    <w:rsid w:val="005062C5"/>
    <w:rsid w:val="00511140"/>
    <w:rsid w:val="00513CFE"/>
    <w:rsid w:val="00523B6A"/>
    <w:rsid w:val="00524726"/>
    <w:rsid w:val="00525F6C"/>
    <w:rsid w:val="00531D5D"/>
    <w:rsid w:val="00531EAF"/>
    <w:rsid w:val="00533B2F"/>
    <w:rsid w:val="00533C04"/>
    <w:rsid w:val="0054476D"/>
    <w:rsid w:val="00544AD8"/>
    <w:rsid w:val="00546AB4"/>
    <w:rsid w:val="005514E5"/>
    <w:rsid w:val="0055592C"/>
    <w:rsid w:val="00555CFC"/>
    <w:rsid w:val="0055631A"/>
    <w:rsid w:val="00557E41"/>
    <w:rsid w:val="0056289E"/>
    <w:rsid w:val="00563C84"/>
    <w:rsid w:val="00573118"/>
    <w:rsid w:val="005762F6"/>
    <w:rsid w:val="005764B8"/>
    <w:rsid w:val="00576E52"/>
    <w:rsid w:val="0058072F"/>
    <w:rsid w:val="00580D96"/>
    <w:rsid w:val="005838B7"/>
    <w:rsid w:val="00584FBE"/>
    <w:rsid w:val="00585483"/>
    <w:rsid w:val="00587378"/>
    <w:rsid w:val="00587AD1"/>
    <w:rsid w:val="00587C05"/>
    <w:rsid w:val="00590AAB"/>
    <w:rsid w:val="00590C55"/>
    <w:rsid w:val="00593544"/>
    <w:rsid w:val="005938C3"/>
    <w:rsid w:val="005944F7"/>
    <w:rsid w:val="0059468C"/>
    <w:rsid w:val="00595125"/>
    <w:rsid w:val="00596F21"/>
    <w:rsid w:val="005B0A5B"/>
    <w:rsid w:val="005B1CDD"/>
    <w:rsid w:val="005B1E19"/>
    <w:rsid w:val="005B55FC"/>
    <w:rsid w:val="005B725F"/>
    <w:rsid w:val="005C0169"/>
    <w:rsid w:val="005C04FB"/>
    <w:rsid w:val="005C1C41"/>
    <w:rsid w:val="005C2D5E"/>
    <w:rsid w:val="005C3B81"/>
    <w:rsid w:val="005C650C"/>
    <w:rsid w:val="005C6B48"/>
    <w:rsid w:val="005D086C"/>
    <w:rsid w:val="005D0E36"/>
    <w:rsid w:val="005D11D3"/>
    <w:rsid w:val="005D12FD"/>
    <w:rsid w:val="005D34B8"/>
    <w:rsid w:val="005D36EB"/>
    <w:rsid w:val="005D40CC"/>
    <w:rsid w:val="005D4E1F"/>
    <w:rsid w:val="005D4FB3"/>
    <w:rsid w:val="005D7CB3"/>
    <w:rsid w:val="005E1C50"/>
    <w:rsid w:val="005E2F07"/>
    <w:rsid w:val="005E2FEA"/>
    <w:rsid w:val="005F0AE5"/>
    <w:rsid w:val="005F235C"/>
    <w:rsid w:val="005F314B"/>
    <w:rsid w:val="005F6609"/>
    <w:rsid w:val="00601422"/>
    <w:rsid w:val="00601822"/>
    <w:rsid w:val="006019FE"/>
    <w:rsid w:val="0060312A"/>
    <w:rsid w:val="006074FC"/>
    <w:rsid w:val="00611AF2"/>
    <w:rsid w:val="0061212B"/>
    <w:rsid w:val="006127AF"/>
    <w:rsid w:val="00613286"/>
    <w:rsid w:val="00613A98"/>
    <w:rsid w:val="00615FB2"/>
    <w:rsid w:val="00617BD1"/>
    <w:rsid w:val="00617CE8"/>
    <w:rsid w:val="00620F35"/>
    <w:rsid w:val="00621EB2"/>
    <w:rsid w:val="006227E2"/>
    <w:rsid w:val="006248D5"/>
    <w:rsid w:val="006278A0"/>
    <w:rsid w:val="0063095F"/>
    <w:rsid w:val="00630CAE"/>
    <w:rsid w:val="00631CBD"/>
    <w:rsid w:val="006366DE"/>
    <w:rsid w:val="0063704F"/>
    <w:rsid w:val="00642068"/>
    <w:rsid w:val="00646AC2"/>
    <w:rsid w:val="00650390"/>
    <w:rsid w:val="006508AD"/>
    <w:rsid w:val="00654DAB"/>
    <w:rsid w:val="006579DF"/>
    <w:rsid w:val="006612D8"/>
    <w:rsid w:val="0066204A"/>
    <w:rsid w:val="00662666"/>
    <w:rsid w:val="00664D0A"/>
    <w:rsid w:val="00670E3C"/>
    <w:rsid w:val="006714A4"/>
    <w:rsid w:val="0067197B"/>
    <w:rsid w:val="00677F57"/>
    <w:rsid w:val="00681088"/>
    <w:rsid w:val="00681260"/>
    <w:rsid w:val="00694E2E"/>
    <w:rsid w:val="0069577E"/>
    <w:rsid w:val="0069634B"/>
    <w:rsid w:val="00696623"/>
    <w:rsid w:val="006976F2"/>
    <w:rsid w:val="006A04E9"/>
    <w:rsid w:val="006A1223"/>
    <w:rsid w:val="006A25E1"/>
    <w:rsid w:val="006A3BAA"/>
    <w:rsid w:val="006A4A03"/>
    <w:rsid w:val="006A5D8F"/>
    <w:rsid w:val="006A5FCC"/>
    <w:rsid w:val="006A7543"/>
    <w:rsid w:val="006B29DD"/>
    <w:rsid w:val="006B3FB2"/>
    <w:rsid w:val="006B725C"/>
    <w:rsid w:val="006C0CE2"/>
    <w:rsid w:val="006C273D"/>
    <w:rsid w:val="006C3934"/>
    <w:rsid w:val="006C5C4F"/>
    <w:rsid w:val="006C6282"/>
    <w:rsid w:val="006C762A"/>
    <w:rsid w:val="006D1481"/>
    <w:rsid w:val="006D5FF9"/>
    <w:rsid w:val="006E0772"/>
    <w:rsid w:val="006E0C99"/>
    <w:rsid w:val="006E0F86"/>
    <w:rsid w:val="006E481B"/>
    <w:rsid w:val="006E79A7"/>
    <w:rsid w:val="006F0B15"/>
    <w:rsid w:val="006F0DCC"/>
    <w:rsid w:val="006F403D"/>
    <w:rsid w:val="006F4161"/>
    <w:rsid w:val="00700BE7"/>
    <w:rsid w:val="00703DF9"/>
    <w:rsid w:val="007048EB"/>
    <w:rsid w:val="00704FBB"/>
    <w:rsid w:val="00706E61"/>
    <w:rsid w:val="0070726A"/>
    <w:rsid w:val="007110A0"/>
    <w:rsid w:val="0071226B"/>
    <w:rsid w:val="00717040"/>
    <w:rsid w:val="00720B34"/>
    <w:rsid w:val="00722364"/>
    <w:rsid w:val="00723066"/>
    <w:rsid w:val="00724B04"/>
    <w:rsid w:val="00725CF2"/>
    <w:rsid w:val="00725EDA"/>
    <w:rsid w:val="00726A9A"/>
    <w:rsid w:val="007315DE"/>
    <w:rsid w:val="00736A0E"/>
    <w:rsid w:val="007375FF"/>
    <w:rsid w:val="00741377"/>
    <w:rsid w:val="00742D3D"/>
    <w:rsid w:val="0074343D"/>
    <w:rsid w:val="00746E64"/>
    <w:rsid w:val="00751DFB"/>
    <w:rsid w:val="00756599"/>
    <w:rsid w:val="007622A7"/>
    <w:rsid w:val="00766ACA"/>
    <w:rsid w:val="0076754E"/>
    <w:rsid w:val="00770ACA"/>
    <w:rsid w:val="00772E70"/>
    <w:rsid w:val="00773D69"/>
    <w:rsid w:val="007750A2"/>
    <w:rsid w:val="00776DBE"/>
    <w:rsid w:val="007802D5"/>
    <w:rsid w:val="00780B87"/>
    <w:rsid w:val="00780FA4"/>
    <w:rsid w:val="007817D6"/>
    <w:rsid w:val="007817EE"/>
    <w:rsid w:val="00781996"/>
    <w:rsid w:val="00781E1C"/>
    <w:rsid w:val="007827F3"/>
    <w:rsid w:val="007864F0"/>
    <w:rsid w:val="00786824"/>
    <w:rsid w:val="00786BD1"/>
    <w:rsid w:val="00787912"/>
    <w:rsid w:val="0079177A"/>
    <w:rsid w:val="007933A8"/>
    <w:rsid w:val="00794836"/>
    <w:rsid w:val="007948D5"/>
    <w:rsid w:val="0079633F"/>
    <w:rsid w:val="007965B1"/>
    <w:rsid w:val="007A15C9"/>
    <w:rsid w:val="007A1891"/>
    <w:rsid w:val="007A2CCE"/>
    <w:rsid w:val="007A3B83"/>
    <w:rsid w:val="007A3DD7"/>
    <w:rsid w:val="007A4AC7"/>
    <w:rsid w:val="007A6676"/>
    <w:rsid w:val="007A769A"/>
    <w:rsid w:val="007B5C23"/>
    <w:rsid w:val="007B7FF5"/>
    <w:rsid w:val="007C0911"/>
    <w:rsid w:val="007C0F1D"/>
    <w:rsid w:val="007C3FC6"/>
    <w:rsid w:val="007C7935"/>
    <w:rsid w:val="007D0495"/>
    <w:rsid w:val="007D288E"/>
    <w:rsid w:val="007D2CE9"/>
    <w:rsid w:val="007D4FED"/>
    <w:rsid w:val="007D54C2"/>
    <w:rsid w:val="007D69DA"/>
    <w:rsid w:val="007D6A46"/>
    <w:rsid w:val="007D70B1"/>
    <w:rsid w:val="007D7140"/>
    <w:rsid w:val="007E02AF"/>
    <w:rsid w:val="007E1CDB"/>
    <w:rsid w:val="007E21A6"/>
    <w:rsid w:val="007E408C"/>
    <w:rsid w:val="007E422B"/>
    <w:rsid w:val="007E50BF"/>
    <w:rsid w:val="007E7E21"/>
    <w:rsid w:val="007F0460"/>
    <w:rsid w:val="007F0510"/>
    <w:rsid w:val="007F0D15"/>
    <w:rsid w:val="007F0DA2"/>
    <w:rsid w:val="007F39CE"/>
    <w:rsid w:val="007F4429"/>
    <w:rsid w:val="007F5E0D"/>
    <w:rsid w:val="007F66D3"/>
    <w:rsid w:val="007F71C4"/>
    <w:rsid w:val="00801085"/>
    <w:rsid w:val="00801A89"/>
    <w:rsid w:val="00801B61"/>
    <w:rsid w:val="00804457"/>
    <w:rsid w:val="0080566E"/>
    <w:rsid w:val="00805C82"/>
    <w:rsid w:val="00806126"/>
    <w:rsid w:val="00807187"/>
    <w:rsid w:val="00812061"/>
    <w:rsid w:val="00812138"/>
    <w:rsid w:val="008151F2"/>
    <w:rsid w:val="008166D0"/>
    <w:rsid w:val="008171C8"/>
    <w:rsid w:val="0081777A"/>
    <w:rsid w:val="00820691"/>
    <w:rsid w:val="008210E0"/>
    <w:rsid w:val="00824079"/>
    <w:rsid w:val="008258C8"/>
    <w:rsid w:val="00831A7E"/>
    <w:rsid w:val="00831F0A"/>
    <w:rsid w:val="0083340C"/>
    <w:rsid w:val="00833A78"/>
    <w:rsid w:val="00840E84"/>
    <w:rsid w:val="00841E46"/>
    <w:rsid w:val="0084585F"/>
    <w:rsid w:val="00853E53"/>
    <w:rsid w:val="0085512A"/>
    <w:rsid w:val="0085535C"/>
    <w:rsid w:val="00861858"/>
    <w:rsid w:val="00864D76"/>
    <w:rsid w:val="008656C9"/>
    <w:rsid w:val="00866EB6"/>
    <w:rsid w:val="0086711C"/>
    <w:rsid w:val="00867535"/>
    <w:rsid w:val="008705CB"/>
    <w:rsid w:val="00872121"/>
    <w:rsid w:val="00875C5B"/>
    <w:rsid w:val="00877196"/>
    <w:rsid w:val="0088041C"/>
    <w:rsid w:val="00880E26"/>
    <w:rsid w:val="00882D34"/>
    <w:rsid w:val="00883C5F"/>
    <w:rsid w:val="00884459"/>
    <w:rsid w:val="0089102A"/>
    <w:rsid w:val="00891C7D"/>
    <w:rsid w:val="00892FA7"/>
    <w:rsid w:val="00894C58"/>
    <w:rsid w:val="00895DA6"/>
    <w:rsid w:val="00897A51"/>
    <w:rsid w:val="008A1998"/>
    <w:rsid w:val="008A2CD0"/>
    <w:rsid w:val="008A3301"/>
    <w:rsid w:val="008A4DF1"/>
    <w:rsid w:val="008A5636"/>
    <w:rsid w:val="008A611A"/>
    <w:rsid w:val="008A7248"/>
    <w:rsid w:val="008B0EF9"/>
    <w:rsid w:val="008B125E"/>
    <w:rsid w:val="008B241C"/>
    <w:rsid w:val="008B408B"/>
    <w:rsid w:val="008B4F11"/>
    <w:rsid w:val="008B5167"/>
    <w:rsid w:val="008B7C26"/>
    <w:rsid w:val="008C2362"/>
    <w:rsid w:val="008C3049"/>
    <w:rsid w:val="008C3D9C"/>
    <w:rsid w:val="008C516B"/>
    <w:rsid w:val="008C563D"/>
    <w:rsid w:val="008C74D9"/>
    <w:rsid w:val="008D2414"/>
    <w:rsid w:val="008D243E"/>
    <w:rsid w:val="008D2871"/>
    <w:rsid w:val="008D3F9B"/>
    <w:rsid w:val="008D4AE9"/>
    <w:rsid w:val="008D5CF3"/>
    <w:rsid w:val="008D74B2"/>
    <w:rsid w:val="008D7D39"/>
    <w:rsid w:val="008E0E67"/>
    <w:rsid w:val="008E2A7B"/>
    <w:rsid w:val="008E2CD6"/>
    <w:rsid w:val="008E4574"/>
    <w:rsid w:val="008E4B26"/>
    <w:rsid w:val="008E5895"/>
    <w:rsid w:val="008E5D6A"/>
    <w:rsid w:val="008F4016"/>
    <w:rsid w:val="008F42FE"/>
    <w:rsid w:val="008F488C"/>
    <w:rsid w:val="008F4A00"/>
    <w:rsid w:val="008F5402"/>
    <w:rsid w:val="008F573E"/>
    <w:rsid w:val="008F639F"/>
    <w:rsid w:val="008F6B74"/>
    <w:rsid w:val="0090053A"/>
    <w:rsid w:val="0090122F"/>
    <w:rsid w:val="009013D6"/>
    <w:rsid w:val="00901C2A"/>
    <w:rsid w:val="00907168"/>
    <w:rsid w:val="00907358"/>
    <w:rsid w:val="009118C7"/>
    <w:rsid w:val="00912393"/>
    <w:rsid w:val="00915764"/>
    <w:rsid w:val="009167F9"/>
    <w:rsid w:val="00920BA1"/>
    <w:rsid w:val="00920F63"/>
    <w:rsid w:val="009225B6"/>
    <w:rsid w:val="0092272C"/>
    <w:rsid w:val="00925397"/>
    <w:rsid w:val="00933A21"/>
    <w:rsid w:val="00933C85"/>
    <w:rsid w:val="00934C10"/>
    <w:rsid w:val="0093662A"/>
    <w:rsid w:val="00937A52"/>
    <w:rsid w:val="0094060C"/>
    <w:rsid w:val="00942C4B"/>
    <w:rsid w:val="009436F9"/>
    <w:rsid w:val="00944196"/>
    <w:rsid w:val="00951472"/>
    <w:rsid w:val="009516DC"/>
    <w:rsid w:val="009524E2"/>
    <w:rsid w:val="00953168"/>
    <w:rsid w:val="0095619C"/>
    <w:rsid w:val="00957256"/>
    <w:rsid w:val="009606A5"/>
    <w:rsid w:val="00961959"/>
    <w:rsid w:val="00962F1F"/>
    <w:rsid w:val="009630B2"/>
    <w:rsid w:val="00963C15"/>
    <w:rsid w:val="00965304"/>
    <w:rsid w:val="00965C1C"/>
    <w:rsid w:val="0096604A"/>
    <w:rsid w:val="0096702A"/>
    <w:rsid w:val="00971293"/>
    <w:rsid w:val="00973A3B"/>
    <w:rsid w:val="00980065"/>
    <w:rsid w:val="00981AA6"/>
    <w:rsid w:val="00983EAE"/>
    <w:rsid w:val="009855ED"/>
    <w:rsid w:val="0098760B"/>
    <w:rsid w:val="00993394"/>
    <w:rsid w:val="00994CEF"/>
    <w:rsid w:val="009A11DD"/>
    <w:rsid w:val="009A3B66"/>
    <w:rsid w:val="009A7F12"/>
    <w:rsid w:val="009B274A"/>
    <w:rsid w:val="009B30AA"/>
    <w:rsid w:val="009B5217"/>
    <w:rsid w:val="009B6F81"/>
    <w:rsid w:val="009C127F"/>
    <w:rsid w:val="009C3340"/>
    <w:rsid w:val="009C3685"/>
    <w:rsid w:val="009C48DE"/>
    <w:rsid w:val="009D133B"/>
    <w:rsid w:val="009D60D9"/>
    <w:rsid w:val="009E1E1E"/>
    <w:rsid w:val="009E33E3"/>
    <w:rsid w:val="009E7F16"/>
    <w:rsid w:val="009F1E65"/>
    <w:rsid w:val="009F27F8"/>
    <w:rsid w:val="009F5052"/>
    <w:rsid w:val="00A03083"/>
    <w:rsid w:val="00A03F5A"/>
    <w:rsid w:val="00A04C85"/>
    <w:rsid w:val="00A07814"/>
    <w:rsid w:val="00A07ECF"/>
    <w:rsid w:val="00A100F0"/>
    <w:rsid w:val="00A11CA7"/>
    <w:rsid w:val="00A14D27"/>
    <w:rsid w:val="00A156E6"/>
    <w:rsid w:val="00A15D4D"/>
    <w:rsid w:val="00A177C5"/>
    <w:rsid w:val="00A17C5B"/>
    <w:rsid w:val="00A258A3"/>
    <w:rsid w:val="00A27D86"/>
    <w:rsid w:val="00A30A3D"/>
    <w:rsid w:val="00A30D53"/>
    <w:rsid w:val="00A31CAB"/>
    <w:rsid w:val="00A33151"/>
    <w:rsid w:val="00A34C7E"/>
    <w:rsid w:val="00A36970"/>
    <w:rsid w:val="00A3751E"/>
    <w:rsid w:val="00A4177B"/>
    <w:rsid w:val="00A41EB4"/>
    <w:rsid w:val="00A4238F"/>
    <w:rsid w:val="00A42702"/>
    <w:rsid w:val="00A44BFF"/>
    <w:rsid w:val="00A45381"/>
    <w:rsid w:val="00A457B5"/>
    <w:rsid w:val="00A47E12"/>
    <w:rsid w:val="00A500C7"/>
    <w:rsid w:val="00A50164"/>
    <w:rsid w:val="00A501E3"/>
    <w:rsid w:val="00A50F0C"/>
    <w:rsid w:val="00A518FE"/>
    <w:rsid w:val="00A52F47"/>
    <w:rsid w:val="00A54241"/>
    <w:rsid w:val="00A56441"/>
    <w:rsid w:val="00A63D0E"/>
    <w:rsid w:val="00A736DD"/>
    <w:rsid w:val="00A76D17"/>
    <w:rsid w:val="00A82869"/>
    <w:rsid w:val="00A82A66"/>
    <w:rsid w:val="00A86612"/>
    <w:rsid w:val="00A86617"/>
    <w:rsid w:val="00A8758C"/>
    <w:rsid w:val="00A90270"/>
    <w:rsid w:val="00A94D31"/>
    <w:rsid w:val="00AA127E"/>
    <w:rsid w:val="00AA19AE"/>
    <w:rsid w:val="00AA423D"/>
    <w:rsid w:val="00AA6A95"/>
    <w:rsid w:val="00AA77F7"/>
    <w:rsid w:val="00AB01A9"/>
    <w:rsid w:val="00AB10DE"/>
    <w:rsid w:val="00AB358A"/>
    <w:rsid w:val="00AB3668"/>
    <w:rsid w:val="00AB485E"/>
    <w:rsid w:val="00AB5ED7"/>
    <w:rsid w:val="00AC0B4C"/>
    <w:rsid w:val="00AC2680"/>
    <w:rsid w:val="00AD0AEE"/>
    <w:rsid w:val="00AD49E3"/>
    <w:rsid w:val="00AD4B4F"/>
    <w:rsid w:val="00AD6885"/>
    <w:rsid w:val="00AD6AB3"/>
    <w:rsid w:val="00AE4117"/>
    <w:rsid w:val="00AF0616"/>
    <w:rsid w:val="00AF0E28"/>
    <w:rsid w:val="00AF1016"/>
    <w:rsid w:val="00AF29D8"/>
    <w:rsid w:val="00AF46BC"/>
    <w:rsid w:val="00AF52D7"/>
    <w:rsid w:val="00AF6F9B"/>
    <w:rsid w:val="00B01409"/>
    <w:rsid w:val="00B030F4"/>
    <w:rsid w:val="00B043EB"/>
    <w:rsid w:val="00B05F93"/>
    <w:rsid w:val="00B1059C"/>
    <w:rsid w:val="00B10DBD"/>
    <w:rsid w:val="00B11D51"/>
    <w:rsid w:val="00B12018"/>
    <w:rsid w:val="00B12589"/>
    <w:rsid w:val="00B129AB"/>
    <w:rsid w:val="00B15629"/>
    <w:rsid w:val="00B229B8"/>
    <w:rsid w:val="00B2372C"/>
    <w:rsid w:val="00B24879"/>
    <w:rsid w:val="00B26741"/>
    <w:rsid w:val="00B31FFF"/>
    <w:rsid w:val="00B323DE"/>
    <w:rsid w:val="00B32F70"/>
    <w:rsid w:val="00B363D5"/>
    <w:rsid w:val="00B373D0"/>
    <w:rsid w:val="00B41668"/>
    <w:rsid w:val="00B423D8"/>
    <w:rsid w:val="00B43AAA"/>
    <w:rsid w:val="00B450B7"/>
    <w:rsid w:val="00B521EA"/>
    <w:rsid w:val="00B52F41"/>
    <w:rsid w:val="00B53139"/>
    <w:rsid w:val="00B55975"/>
    <w:rsid w:val="00B562CE"/>
    <w:rsid w:val="00B57989"/>
    <w:rsid w:val="00B62DE2"/>
    <w:rsid w:val="00B63E84"/>
    <w:rsid w:val="00B6588D"/>
    <w:rsid w:val="00B67197"/>
    <w:rsid w:val="00B721F2"/>
    <w:rsid w:val="00B74417"/>
    <w:rsid w:val="00B7468E"/>
    <w:rsid w:val="00B74E9A"/>
    <w:rsid w:val="00B77246"/>
    <w:rsid w:val="00B866CD"/>
    <w:rsid w:val="00B8767C"/>
    <w:rsid w:val="00B907EA"/>
    <w:rsid w:val="00B93034"/>
    <w:rsid w:val="00B93A81"/>
    <w:rsid w:val="00B97C5D"/>
    <w:rsid w:val="00BA1290"/>
    <w:rsid w:val="00BA4CB8"/>
    <w:rsid w:val="00BA5730"/>
    <w:rsid w:val="00BA607E"/>
    <w:rsid w:val="00BA7473"/>
    <w:rsid w:val="00BB26DE"/>
    <w:rsid w:val="00BB2792"/>
    <w:rsid w:val="00BB27A9"/>
    <w:rsid w:val="00BB61E1"/>
    <w:rsid w:val="00BB76BF"/>
    <w:rsid w:val="00BC1AD1"/>
    <w:rsid w:val="00BC1D82"/>
    <w:rsid w:val="00BC3895"/>
    <w:rsid w:val="00BC4A58"/>
    <w:rsid w:val="00BC613B"/>
    <w:rsid w:val="00BD01D7"/>
    <w:rsid w:val="00BD51D9"/>
    <w:rsid w:val="00BD57B4"/>
    <w:rsid w:val="00BD64E2"/>
    <w:rsid w:val="00BE4995"/>
    <w:rsid w:val="00BF046F"/>
    <w:rsid w:val="00BF226E"/>
    <w:rsid w:val="00BF292D"/>
    <w:rsid w:val="00BF429A"/>
    <w:rsid w:val="00BF467E"/>
    <w:rsid w:val="00BF4DC9"/>
    <w:rsid w:val="00BF62BE"/>
    <w:rsid w:val="00BF6656"/>
    <w:rsid w:val="00BF7E48"/>
    <w:rsid w:val="00C00BB5"/>
    <w:rsid w:val="00C02A60"/>
    <w:rsid w:val="00C054D6"/>
    <w:rsid w:val="00C07126"/>
    <w:rsid w:val="00C1004D"/>
    <w:rsid w:val="00C12A51"/>
    <w:rsid w:val="00C15A2D"/>
    <w:rsid w:val="00C15B14"/>
    <w:rsid w:val="00C16853"/>
    <w:rsid w:val="00C20578"/>
    <w:rsid w:val="00C263F0"/>
    <w:rsid w:val="00C271EA"/>
    <w:rsid w:val="00C33D41"/>
    <w:rsid w:val="00C356F7"/>
    <w:rsid w:val="00C36E63"/>
    <w:rsid w:val="00C40AFD"/>
    <w:rsid w:val="00C41448"/>
    <w:rsid w:val="00C41E20"/>
    <w:rsid w:val="00C426F2"/>
    <w:rsid w:val="00C42E3E"/>
    <w:rsid w:val="00C4543D"/>
    <w:rsid w:val="00C469E8"/>
    <w:rsid w:val="00C504BB"/>
    <w:rsid w:val="00C51C13"/>
    <w:rsid w:val="00C525A5"/>
    <w:rsid w:val="00C5300F"/>
    <w:rsid w:val="00C53447"/>
    <w:rsid w:val="00C54594"/>
    <w:rsid w:val="00C66CE0"/>
    <w:rsid w:val="00C71BED"/>
    <w:rsid w:val="00C737B2"/>
    <w:rsid w:val="00C742DA"/>
    <w:rsid w:val="00C758A1"/>
    <w:rsid w:val="00C80D27"/>
    <w:rsid w:val="00C81B53"/>
    <w:rsid w:val="00C81B94"/>
    <w:rsid w:val="00C82AD2"/>
    <w:rsid w:val="00C8595D"/>
    <w:rsid w:val="00C87F02"/>
    <w:rsid w:val="00C90FB6"/>
    <w:rsid w:val="00C9142A"/>
    <w:rsid w:val="00C9220E"/>
    <w:rsid w:val="00C932BD"/>
    <w:rsid w:val="00C93429"/>
    <w:rsid w:val="00CA16C5"/>
    <w:rsid w:val="00CA415A"/>
    <w:rsid w:val="00CA7A35"/>
    <w:rsid w:val="00CB01F2"/>
    <w:rsid w:val="00CB131C"/>
    <w:rsid w:val="00CB1536"/>
    <w:rsid w:val="00CB6D94"/>
    <w:rsid w:val="00CB7FB8"/>
    <w:rsid w:val="00CC1412"/>
    <w:rsid w:val="00CC1F71"/>
    <w:rsid w:val="00CC5588"/>
    <w:rsid w:val="00CC5EB3"/>
    <w:rsid w:val="00CC6AAC"/>
    <w:rsid w:val="00CD0E7B"/>
    <w:rsid w:val="00CD228D"/>
    <w:rsid w:val="00CD2ABD"/>
    <w:rsid w:val="00CD4024"/>
    <w:rsid w:val="00CD4617"/>
    <w:rsid w:val="00CD4855"/>
    <w:rsid w:val="00CE3568"/>
    <w:rsid w:val="00CE3B71"/>
    <w:rsid w:val="00CE635A"/>
    <w:rsid w:val="00CE6D43"/>
    <w:rsid w:val="00CE7888"/>
    <w:rsid w:val="00D01255"/>
    <w:rsid w:val="00D03F0D"/>
    <w:rsid w:val="00D0406B"/>
    <w:rsid w:val="00D10D6C"/>
    <w:rsid w:val="00D10E1C"/>
    <w:rsid w:val="00D13833"/>
    <w:rsid w:val="00D15659"/>
    <w:rsid w:val="00D161A3"/>
    <w:rsid w:val="00D2056C"/>
    <w:rsid w:val="00D20CFD"/>
    <w:rsid w:val="00D22E49"/>
    <w:rsid w:val="00D23716"/>
    <w:rsid w:val="00D2434B"/>
    <w:rsid w:val="00D25ED8"/>
    <w:rsid w:val="00D27490"/>
    <w:rsid w:val="00D27F8F"/>
    <w:rsid w:val="00D316B8"/>
    <w:rsid w:val="00D31CFC"/>
    <w:rsid w:val="00D3255D"/>
    <w:rsid w:val="00D33435"/>
    <w:rsid w:val="00D33614"/>
    <w:rsid w:val="00D33D94"/>
    <w:rsid w:val="00D340C3"/>
    <w:rsid w:val="00D3509B"/>
    <w:rsid w:val="00D409CD"/>
    <w:rsid w:val="00D423D4"/>
    <w:rsid w:val="00D42CAF"/>
    <w:rsid w:val="00D450C8"/>
    <w:rsid w:val="00D5294B"/>
    <w:rsid w:val="00D5310F"/>
    <w:rsid w:val="00D5357C"/>
    <w:rsid w:val="00D5696E"/>
    <w:rsid w:val="00D56AA5"/>
    <w:rsid w:val="00D57CFB"/>
    <w:rsid w:val="00D601EF"/>
    <w:rsid w:val="00D61533"/>
    <w:rsid w:val="00D6256F"/>
    <w:rsid w:val="00D63B2F"/>
    <w:rsid w:val="00D70747"/>
    <w:rsid w:val="00D7261D"/>
    <w:rsid w:val="00D755FC"/>
    <w:rsid w:val="00D76B6D"/>
    <w:rsid w:val="00D81427"/>
    <w:rsid w:val="00D84D07"/>
    <w:rsid w:val="00D8526A"/>
    <w:rsid w:val="00D90E91"/>
    <w:rsid w:val="00D91EED"/>
    <w:rsid w:val="00D926FB"/>
    <w:rsid w:val="00D932A2"/>
    <w:rsid w:val="00D953C9"/>
    <w:rsid w:val="00DA127A"/>
    <w:rsid w:val="00DA14EC"/>
    <w:rsid w:val="00DA41D5"/>
    <w:rsid w:val="00DA786D"/>
    <w:rsid w:val="00DB1EFB"/>
    <w:rsid w:val="00DB4713"/>
    <w:rsid w:val="00DB60E1"/>
    <w:rsid w:val="00DB76EB"/>
    <w:rsid w:val="00DC0EA3"/>
    <w:rsid w:val="00DC1347"/>
    <w:rsid w:val="00DC39F1"/>
    <w:rsid w:val="00DD5640"/>
    <w:rsid w:val="00DD6C48"/>
    <w:rsid w:val="00DE4B35"/>
    <w:rsid w:val="00DE57BC"/>
    <w:rsid w:val="00DF0040"/>
    <w:rsid w:val="00DF19C1"/>
    <w:rsid w:val="00DF4F80"/>
    <w:rsid w:val="00DF54CA"/>
    <w:rsid w:val="00DF56C9"/>
    <w:rsid w:val="00DF5B64"/>
    <w:rsid w:val="00DF6DC7"/>
    <w:rsid w:val="00DF724C"/>
    <w:rsid w:val="00DF75A7"/>
    <w:rsid w:val="00E0244A"/>
    <w:rsid w:val="00E02794"/>
    <w:rsid w:val="00E04111"/>
    <w:rsid w:val="00E043E3"/>
    <w:rsid w:val="00E0505B"/>
    <w:rsid w:val="00E07717"/>
    <w:rsid w:val="00E11280"/>
    <w:rsid w:val="00E11384"/>
    <w:rsid w:val="00E1191D"/>
    <w:rsid w:val="00E12359"/>
    <w:rsid w:val="00E152FF"/>
    <w:rsid w:val="00E15330"/>
    <w:rsid w:val="00E16ABB"/>
    <w:rsid w:val="00E16E31"/>
    <w:rsid w:val="00E21C90"/>
    <w:rsid w:val="00E23C5C"/>
    <w:rsid w:val="00E2461B"/>
    <w:rsid w:val="00E24886"/>
    <w:rsid w:val="00E276FB"/>
    <w:rsid w:val="00E27F6F"/>
    <w:rsid w:val="00E31DBF"/>
    <w:rsid w:val="00E32595"/>
    <w:rsid w:val="00E32DC6"/>
    <w:rsid w:val="00E33A74"/>
    <w:rsid w:val="00E35F5A"/>
    <w:rsid w:val="00E37799"/>
    <w:rsid w:val="00E4030B"/>
    <w:rsid w:val="00E41D56"/>
    <w:rsid w:val="00E430AE"/>
    <w:rsid w:val="00E4515E"/>
    <w:rsid w:val="00E457DF"/>
    <w:rsid w:val="00E45A80"/>
    <w:rsid w:val="00E46642"/>
    <w:rsid w:val="00E47186"/>
    <w:rsid w:val="00E5139A"/>
    <w:rsid w:val="00E538A7"/>
    <w:rsid w:val="00E53941"/>
    <w:rsid w:val="00E5413D"/>
    <w:rsid w:val="00E553D4"/>
    <w:rsid w:val="00E57977"/>
    <w:rsid w:val="00E635D7"/>
    <w:rsid w:val="00E64E71"/>
    <w:rsid w:val="00E64FE7"/>
    <w:rsid w:val="00E70576"/>
    <w:rsid w:val="00E71DED"/>
    <w:rsid w:val="00E72288"/>
    <w:rsid w:val="00E831E5"/>
    <w:rsid w:val="00E83954"/>
    <w:rsid w:val="00E848DE"/>
    <w:rsid w:val="00E86506"/>
    <w:rsid w:val="00E86AE0"/>
    <w:rsid w:val="00E86F5E"/>
    <w:rsid w:val="00E91730"/>
    <w:rsid w:val="00E969A3"/>
    <w:rsid w:val="00E96F04"/>
    <w:rsid w:val="00E97AEC"/>
    <w:rsid w:val="00EA0522"/>
    <w:rsid w:val="00EA20FE"/>
    <w:rsid w:val="00EA5AD7"/>
    <w:rsid w:val="00EB491E"/>
    <w:rsid w:val="00EB681B"/>
    <w:rsid w:val="00EB7B02"/>
    <w:rsid w:val="00EC1A13"/>
    <w:rsid w:val="00EC468F"/>
    <w:rsid w:val="00EC4FAD"/>
    <w:rsid w:val="00EC50F3"/>
    <w:rsid w:val="00ED73C7"/>
    <w:rsid w:val="00ED7467"/>
    <w:rsid w:val="00ED77B1"/>
    <w:rsid w:val="00EE3CFA"/>
    <w:rsid w:val="00EE40B0"/>
    <w:rsid w:val="00EE4258"/>
    <w:rsid w:val="00EE5F1F"/>
    <w:rsid w:val="00EE69E4"/>
    <w:rsid w:val="00EF2A7F"/>
    <w:rsid w:val="00EF7E90"/>
    <w:rsid w:val="00F002B6"/>
    <w:rsid w:val="00F10AFE"/>
    <w:rsid w:val="00F15C6C"/>
    <w:rsid w:val="00F17173"/>
    <w:rsid w:val="00F20987"/>
    <w:rsid w:val="00F22339"/>
    <w:rsid w:val="00F224DC"/>
    <w:rsid w:val="00F2492A"/>
    <w:rsid w:val="00F25106"/>
    <w:rsid w:val="00F25D65"/>
    <w:rsid w:val="00F25F88"/>
    <w:rsid w:val="00F2687F"/>
    <w:rsid w:val="00F26A5E"/>
    <w:rsid w:val="00F27F29"/>
    <w:rsid w:val="00F31CD6"/>
    <w:rsid w:val="00F32D54"/>
    <w:rsid w:val="00F35C66"/>
    <w:rsid w:val="00F36C54"/>
    <w:rsid w:val="00F37C8E"/>
    <w:rsid w:val="00F418EA"/>
    <w:rsid w:val="00F41A29"/>
    <w:rsid w:val="00F44C1C"/>
    <w:rsid w:val="00F46CE3"/>
    <w:rsid w:val="00F46DBB"/>
    <w:rsid w:val="00F518DF"/>
    <w:rsid w:val="00F544DB"/>
    <w:rsid w:val="00F55BB6"/>
    <w:rsid w:val="00F602C7"/>
    <w:rsid w:val="00F605F0"/>
    <w:rsid w:val="00F641D9"/>
    <w:rsid w:val="00F648EA"/>
    <w:rsid w:val="00F6502E"/>
    <w:rsid w:val="00F65663"/>
    <w:rsid w:val="00F75147"/>
    <w:rsid w:val="00F756C0"/>
    <w:rsid w:val="00F75A40"/>
    <w:rsid w:val="00F77637"/>
    <w:rsid w:val="00F8435D"/>
    <w:rsid w:val="00F862E5"/>
    <w:rsid w:val="00F87DD0"/>
    <w:rsid w:val="00F92630"/>
    <w:rsid w:val="00F93360"/>
    <w:rsid w:val="00F9339F"/>
    <w:rsid w:val="00F93881"/>
    <w:rsid w:val="00F93FE4"/>
    <w:rsid w:val="00F94544"/>
    <w:rsid w:val="00F95866"/>
    <w:rsid w:val="00F958B5"/>
    <w:rsid w:val="00F96712"/>
    <w:rsid w:val="00F97E4E"/>
    <w:rsid w:val="00FA1A40"/>
    <w:rsid w:val="00FA1EE7"/>
    <w:rsid w:val="00FA217B"/>
    <w:rsid w:val="00FB064A"/>
    <w:rsid w:val="00FB0BC5"/>
    <w:rsid w:val="00FB0BCC"/>
    <w:rsid w:val="00FB1270"/>
    <w:rsid w:val="00FB3EA7"/>
    <w:rsid w:val="00FB4996"/>
    <w:rsid w:val="00FC0FE5"/>
    <w:rsid w:val="00FC1313"/>
    <w:rsid w:val="00FD127A"/>
    <w:rsid w:val="00FD1ABC"/>
    <w:rsid w:val="00FD368A"/>
    <w:rsid w:val="00FD4D34"/>
    <w:rsid w:val="00FD7DDF"/>
    <w:rsid w:val="00FE2091"/>
    <w:rsid w:val="00FE3000"/>
    <w:rsid w:val="00FE4C92"/>
    <w:rsid w:val="00FE5641"/>
    <w:rsid w:val="00FE6A78"/>
    <w:rsid w:val="00FE7898"/>
    <w:rsid w:val="00FF0FAA"/>
    <w:rsid w:val="00FF142F"/>
    <w:rsid w:val="00FF3759"/>
    <w:rsid w:val="00FF4396"/>
    <w:rsid w:val="00FF650A"/>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r-FR"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78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4325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espon.eu/publications/chanebo-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VP3JK3XSEPRV-2087481956-9870</_dlc_DocId>
    <_dlc_DocIdUrl xmlns="7d640e6d-779c-472f-a269-6b546787f1c9">
      <Url>http://dm/eesc/2026/_layouts/15/DocIdRedir.aspx?ID=VP3JK3XSEPRV-2087481956-9870</Url>
      <Description>VP3JK3XSEPRV-2087481956-9870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2026-06-04T12:00:00+00:00</ProductionDate>
    <DocumentNumber xmlns="a95533f8-59af-4217-bc7a-c1167744adb0">699</DocumentNumber>
    <FicheYear xmlns="7d640e6d-779c-472f-a269-6b546787f1c9" xsi:nil="true"/>
    <DossierNumber xmlns="7d640e6d-779c-472f-a269-6b546787f1c9">697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66</Value>
      <Value>60</Value>
      <Value>59</Value>
      <Value>55</Value>
      <Value>53</Value>
      <Value>51</Value>
      <Value>46</Value>
      <Value>45</Value>
      <Value>44</Value>
      <Value>43</Value>
      <Value>37</Value>
      <Value>36</Value>
      <Value>34</Value>
      <Value>122</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7d640e6d-779c-472f-a269-6b546787f1c9">ZARIŅA &amp; 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303850</FicheNumber>
    <OriginalSender xmlns="7d640e6d-779c-472f-a269-6b546787f1c9">
      <UserInfo>
        <DisplayName>Lacroix Grégory</DisplayName>
        <AccountId>1351</AccountId>
        <AccountType/>
      </UserInfo>
    </OriginalSender>
    <DocumentPart xmlns="7d640e6d-779c-472f-a269-6b546787f1c9">0</DocumentPart>
    <AdoptionDate xmlns="7d640e6d-779c-472f-a269-6b546787f1c9" xsi:nil="true"/>
    <RequestingService xmlns="7d640e6d-779c-472f-a269-6b546787f1c9">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43C4CC0D-4C4D-4FEB-97B5-30BBC5D5C390}"/>
</file>

<file path=customXml/itemProps2.xml><?xml version="1.0" encoding="utf-8"?>
<ds:datastoreItem xmlns:ds="http://schemas.openxmlformats.org/officeDocument/2006/customXml" ds:itemID="{FC86F8F1-F7CA-4FB7-8CEA-E22DFF0E7E52}">
  <ds:schemaRefs>
    <ds:schemaRef ds:uri="http://schemas.microsoft.com/sharepoint/events"/>
  </ds:schemaRefs>
</ds:datastoreItem>
</file>

<file path=customXml/itemProps3.xml><?xml version="1.0" encoding="utf-8"?>
<ds:datastoreItem xmlns:ds="http://schemas.openxmlformats.org/officeDocument/2006/customXml" ds:itemID="{B0F51833-9437-4EBB-BB64-0A599014995B}">
  <ds:schemaRefs>
    <ds:schemaRef ds:uri="http://schemas.microsoft.com/sharepoint/v3/contenttype/forms"/>
  </ds:schemaRefs>
</ds:datastoreItem>
</file>

<file path=customXml/itemProps4.xml><?xml version="1.0" encoding="utf-8"?>
<ds:datastoreItem xmlns:ds="http://schemas.openxmlformats.org/officeDocument/2006/customXml" ds:itemID="{ED70C365-3CCB-4391-ADCA-6D8CF1D050B5}">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4321</Words>
  <Characters>25539</Characters>
  <Application>Microsoft Office Word</Application>
  <DocSecurity>0</DocSecurity>
  <Lines>456</Lines>
  <Paragraphs>111</Paragraphs>
  <ScaleCrop>false</ScaleCrop>
  <HeadingPairs>
    <vt:vector size="6" baseType="variant">
      <vt:variant>
        <vt:lpstr>Title</vt:lpstr>
      </vt:variant>
      <vt:variant>
        <vt:i4>1</vt:i4>
      </vt:variant>
      <vt:variant>
        <vt:lpstr>Název</vt:lpstr>
      </vt:variant>
      <vt:variant>
        <vt:i4>1</vt:i4>
      </vt:variant>
      <vt:variant>
        <vt:lpstr>Titolo</vt:lpstr>
      </vt:variant>
      <vt:variant>
        <vt:i4>1</vt:i4>
      </vt:variant>
    </vt:vector>
  </HeadingPairs>
  <TitlesOfParts>
    <vt:vector size="3" baseType="lpstr">
      <vt:lpstr>Strategy for Eastern border regions</vt:lpstr>
      <vt:lpstr>European Fund for Regional Development including for Interreg and the Cohesion Fund</vt:lpstr>
      <vt:lpstr>EESC DT - Model</vt:lpstr>
    </vt:vector>
  </TitlesOfParts>
  <Manager/>
  <Company/>
  <LinksUpToDate>false</LinksUpToDate>
  <CharactersWithSpaces>29749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Stratégie pour les régions frontalières orientales</dc:title>
  <dc:subject>Draft opinion</dc:subject>
  <dc:creator/>
  <cp:keywords>EESC-2026-00699-00-00-PA-TRA-EN</cp:keywords>
  <dc:description>Rapporteur: - ZARIŅA &amp; SIBIAN Original language: - EN Date of document: - 22/05/2026 Date of meeting: - 04/06/2026 External documents: - COM(2026)82- final Administrator responsible: -  MELEAS Georgios</dc:description>
  <cp:lastModifiedBy/>
  <cp:revision>11</cp:revision>
  <cp:lastPrinted>2025-01-05T21:33:00Z</cp:lastPrinted>
  <dcterms:created xsi:type="dcterms:W3CDTF">2026-06-04T14:08:00Z</dcterms:created>
  <dcterms:modified xsi:type="dcterms:W3CDTF">2026-06-04T15:14:00Z</dcterms:modified>
  <cp:category>ECO/697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04/06/2026, 22/05/2026, 08/05/2026, 13/04/2026, 15/01/2026, 05/11/2025, 09/01/2025, 12/04/2024, 17/05/2022, 04/11/2015, 27/10/2015, 19/10/2015, 09/10/2015, 05/10/2015, 05/10/2015, 26/08/2015, 26/08/2015, 25/08/2015</vt:lpwstr>
  </property>
  <property fmtid="{D5CDD505-2E9C-101B-9397-08002B2CF9AE}" pid="4" name="Pref_Time">
    <vt:lpwstr>16:08:11, 15:21:13, 08:31:50, 17:17:47, 16:12:52, 08:39:38, 15:24:19, 12:08:09, 12:59:17, 12:10:07, 14:44:02, 16:04:16, 14:09:30, 16:24:55, 16:04:02, 08:56:14, 07:27:56, 17:31:53</vt:lpwstr>
  </property>
  <property fmtid="{D5CDD505-2E9C-101B-9397-08002B2CF9AE}" pid="5" name="Pref_User">
    <vt:lpwstr>amett, amett, pacup, pacup, nnas, pacup, jhvi, enied, enied, ssex, enied, amett, tvoc, mreg, mreg, amett, enied, ssex</vt:lpwstr>
  </property>
  <property fmtid="{D5CDD505-2E9C-101B-9397-08002B2CF9AE}" pid="6" name="Pref_FileName">
    <vt:lpwstr>EESC-2026-00699-00-00-AS-TRA-EN-CRR.docx, EESC-2026-00699-00-00-PA-ORI.docx, EESC-2026-00699-00-00-APA-ORI.docx, EESC-2026-00699-00-00-DT-ORI.docx, EESC-2025-04288-00-00-DT-ORI.docx, EESC-2025-03305-00-00-DT-ORI.docx, EESC-2024-04551-00-00-DT-ORI.docx, CO</vt:lpwstr>
  </property>
  <property fmtid="{D5CDD505-2E9C-101B-9397-08002B2CF9AE}" pid="7" name="ContentTypeId">
    <vt:lpwstr>0x010100EA97B91038054C99906057A708A1480A0042CFDF3EA65A64469BBC042F89C9AB74</vt:lpwstr>
  </property>
  <property fmtid="{D5CDD505-2E9C-101B-9397-08002B2CF9AE}" pid="8" name="_dlc_DocIdItemGuid">
    <vt:lpwstr>d3023b3f-e53c-4cad-9c2b-c7fa287971f9</vt:lpwstr>
  </property>
  <property fmtid="{D5CDD505-2E9C-101B-9397-08002B2CF9AE}" pid="9" name="AvailableTranslations">
    <vt:lpwstr>51;#LV|46f7e311-5d9f-4663-b433-18aeccb7ace7;#25;#FI|87606a43-d45f-42d6-b8c9-e1a3457db5b7;#31;#SL|98a412ae-eb01-49e9-ae3d-585a81724cfc;#32;#PL|1e03da61-4678-4e07-b136-b5024ca9197b;#34;#HR|2f555653-ed1a-4fe6-8362-9082d95989e5;#37;#HU|6b229040-c589-4408-b4c1-4285663d20a8;#28;#PT|50ccc04a-eadd-42ae-a0cb-acaf45f812ba;#29;#CS|72f9705b-0217-4fd3-bea2-cbc7ed80e26e;#45;#SV|c2ed69e7-a339-43d7-8f22-d93680a92aa0;#4;#EN|f2175f21-25d7-44a3-96da-d6a61b075e1b;#46;#DA|5d49c027-8956-412b-aa16-e85a0f96ad0e;#43;#BG|1a1b3951-7821-4e6a-85f5-5673fc08bd2c;#13;#IT|0774613c-01ed-4e5d-a25d-11d2388de825;#66;#GA|762d2456-c427-4ecb-b312-af3dad8e258c;#12;#ES|e7a6b05b-ae16-40c8-add9-68b64b03aeba;#30;#SK|46d9fce0-ef79-4f71-b89b-cd6aa82426b8;#36;#NL|55c6556c-b4f4-441d-9acf-c498d4f838bd;#27;#ET|ff6c3f4c-b02c-4c3c-ab07-2c37995a7a0a;#23;#FR|d2afafd3-4c81-4f60-8f52-ee33f2f54ff3;#11;#DE|f6b31e5a-26fa-4935-b661-318e46daf27e;#60;#EL|6d4f4d51-af9b-4650-94b4-4276bee85c91;#53;#MT|7df99101-6854-4a26-b53a-b88c0da02c26;#55;#RO|feb747a2-64cd-4299-af12-4833ddc30497;#44;#LT|a7ff5ce7-6123-4f68-865a-a57c31810414</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699</vt:i4>
  </property>
  <property fmtid="{D5CDD505-2E9C-101B-9397-08002B2CF9AE}" pid="15" name="FicheYear">
    <vt:i4>2026</vt:i4>
  </property>
  <property fmtid="{D5CDD505-2E9C-101B-9397-08002B2CF9AE}" pid="16" name="DocumentVersion">
    <vt:i4>0</vt:i4>
  </property>
  <property fmtid="{D5CDD505-2E9C-101B-9397-08002B2CF9AE}" pid="17" name="DossierNumber">
    <vt:i4>697</vt:i4>
  </property>
  <property fmtid="{D5CDD505-2E9C-101B-9397-08002B2CF9AE}" pid="18" name="DocumentStatus">
    <vt:lpwstr>9;#TRA|150d2a88-1431-44e6-a8ca-0bb753ab8672</vt:lpwstr>
  </property>
  <property fmtid="{D5CDD505-2E9C-101B-9397-08002B2CF9AE}" pid="19" name="DossierName">
    <vt:lpwstr>122;#ECO|8df351f5-c957-404c-8cf3-8ffb22c9cba2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FI|87606a43-d45f-42d6-b8c9-e1a3457db5b7;EN|f2175f21-25d7-44a3-96da-d6a61b075e1b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132;#AS|c7a748eb-f6f2-4d9d-8b5a-af0cafebc224;#9;#TRA|150d2a88-1431-44e6-a8ca-0bb753ab8672;#59;#SPL-CES|32d8cb1f-c9ec-4365-95c7-8385a18618ac;#7;#Final|ea5e6674-7b27-4bac-b091-73adbb394efe;#25;#FI|87606a43-d45f-42d6-b8c9-e1a3457db5b7;#4;#EN|f2175f21-25d7-44a3-96da-d6a61b075e1b;#122;#ECO|8df351f5-c957-404c-8cf3-8ffb22c9cba2;#19;#Unrestricted|826e22d7-d029-4ec0-a450-0c28ff673572;#1;#EESC|422833ec-8d7e-4e65-8e4e-8bed07ffb729</vt:lpwstr>
  </property>
  <property fmtid="{D5CDD505-2E9C-101B-9397-08002B2CF9AE}" pid="31" name="Rapporteur">
    <vt:lpwstr>ZARIŅA &amp; SIBIAN</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303850</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23;#FR|d2afafd3-4c81-4f60-8f52-ee33f2f54ff3</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