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E56A" w14:textId="3B0D12C5" w:rsidR="00646AC2" w:rsidRPr="00634649" w:rsidRDefault="00921904" w:rsidP="00BB5134">
      <w:pPr>
        <w:jc w:val="center"/>
      </w:pPr>
      <w:r w:rsidRPr="00634649">
        <w:drawing>
          <wp:inline distT="0" distB="0" distL="0" distR="0" wp14:anchorId="18DE2F5A" wp14:editId="262A2D00">
            <wp:extent cx="1792605" cy="1239520"/>
            <wp:effectExtent l="0" t="0" r="0" b="0"/>
            <wp:docPr id="1389421077" name="Picture 2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21077" name="Picture 2" title="EESCLogo_P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4D9" w:rsidRPr="00634649"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31133D6" wp14:editId="7F95EB2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60660" w14:textId="77777777" w:rsidR="002C1DB1" w:rsidRPr="00634649" w:rsidRDefault="002C1D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634649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133D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5060660" w14:textId="77777777" w:rsidR="002C1DB1" w:rsidRPr="00634649" w:rsidRDefault="002C1D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634649"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7A16AD" w14:textId="77777777" w:rsidR="008C74D9" w:rsidRPr="00634649" w:rsidRDefault="008C74D9" w:rsidP="00BB5134"/>
    <w:p w14:paraId="5B3BE56B" w14:textId="2BF26AC5" w:rsidR="00646AC2" w:rsidRPr="00634649" w:rsidRDefault="000F2DF2" w:rsidP="00BB5134">
      <w:pPr>
        <w:jc w:val="right"/>
      </w:pPr>
      <w:r w:rsidRPr="00634649">
        <w:rPr>
          <w:b/>
        </w:rPr>
        <w:t>NAT/986</w:t>
      </w:r>
    </w:p>
    <w:p w14:paraId="5B3BE56C" w14:textId="633EA927" w:rsidR="00563C84" w:rsidRPr="00634649" w:rsidRDefault="006A4FEC" w:rsidP="00BB5134">
      <w:pPr>
        <w:jc w:val="right"/>
        <w:rPr>
          <w:b/>
          <w:bCs/>
        </w:rPr>
      </w:pPr>
      <w:r w:rsidRPr="00634649">
        <w:rPr>
          <w:b/>
        </w:rPr>
        <w:t>Akt w sprawie gospodarki o obiegu zamkniętym</w:t>
      </w:r>
    </w:p>
    <w:p w14:paraId="5B3BE56D" w14:textId="77777777" w:rsidR="009B30AA" w:rsidRPr="00634649" w:rsidRDefault="009B30AA" w:rsidP="00BB5134">
      <w:pPr>
        <w:rPr>
          <w:b/>
          <w:bCs/>
        </w:rPr>
      </w:pPr>
    </w:p>
    <w:p w14:paraId="5B3BE56E" w14:textId="77777777" w:rsidR="009B30AA" w:rsidRPr="00634649" w:rsidRDefault="009B30AA" w:rsidP="00BB5134"/>
    <w:p w14:paraId="3C09B2EE" w14:textId="0DECC1CB" w:rsidR="0048754F" w:rsidRPr="00634649" w:rsidRDefault="00CD1790" w:rsidP="00BB5134">
      <w:pPr>
        <w:jc w:val="center"/>
        <w:rPr>
          <w:b/>
          <w:bCs/>
          <w:sz w:val="28"/>
          <w:szCs w:val="28"/>
        </w:rPr>
      </w:pPr>
      <w:r w:rsidRPr="00634649">
        <w:rPr>
          <w:b/>
          <w:sz w:val="28"/>
        </w:rPr>
        <w:t>OPINIA</w:t>
      </w:r>
    </w:p>
    <w:p w14:paraId="34368F6A" w14:textId="77777777" w:rsidR="0048754F" w:rsidRPr="00634649" w:rsidRDefault="0048754F" w:rsidP="00BB5134">
      <w:pPr>
        <w:jc w:val="center"/>
      </w:pPr>
    </w:p>
    <w:p w14:paraId="7D40B1DD" w14:textId="6B537310" w:rsidR="0048754F" w:rsidRPr="00634649" w:rsidRDefault="03385EDC" w:rsidP="00BB5134">
      <w:pPr>
        <w:jc w:val="center"/>
      </w:pPr>
      <w:r w:rsidRPr="00634649">
        <w:t>Sekcja Rolnictwa, Rozwoju Wsi i Środowiska Naturalnego</w:t>
      </w:r>
    </w:p>
    <w:p w14:paraId="046C48E8" w14:textId="77777777" w:rsidR="0048754F" w:rsidRPr="00634649" w:rsidRDefault="0048754F" w:rsidP="00BB5134">
      <w:pPr>
        <w:jc w:val="center"/>
      </w:pPr>
    </w:p>
    <w:p w14:paraId="0BCC1C42" w14:textId="11427547" w:rsidR="00A95069" w:rsidRPr="00634649" w:rsidRDefault="000F1982" w:rsidP="00BB5134">
      <w:pPr>
        <w:jc w:val="center"/>
        <w:rPr>
          <w:b/>
          <w:bCs/>
        </w:rPr>
      </w:pPr>
      <w:r w:rsidRPr="00634649">
        <w:rPr>
          <w:b/>
        </w:rPr>
        <w:t>Akt w sprawie gospodarki o obiegu zamkniętym</w:t>
      </w:r>
    </w:p>
    <w:p w14:paraId="5B3BE56F" w14:textId="770B691B" w:rsidR="00F72296" w:rsidRPr="00634649" w:rsidRDefault="000F1982" w:rsidP="00BB5134">
      <w:pPr>
        <w:jc w:val="center"/>
        <w:rPr>
          <w:b/>
          <w:bCs/>
        </w:rPr>
      </w:pPr>
      <w:r w:rsidRPr="00634649">
        <w:rPr>
          <w:b/>
        </w:rPr>
        <w:t>Gospodarka o obiegu zamkniętym i odpowiedzialna eksploatacja zasobów z uwzględnieniem ograniczeń planety</w:t>
      </w:r>
    </w:p>
    <w:p w14:paraId="616A7717" w14:textId="77977FEB" w:rsidR="00646AC2" w:rsidRPr="00634649" w:rsidRDefault="00BB5134" w:rsidP="00BB5134">
      <w:pPr>
        <w:jc w:val="center"/>
      </w:pPr>
      <w:r w:rsidRPr="00634649">
        <w:t>(opinia rozpoznawcza na wniosek Komisji Europejskiej)</w:t>
      </w:r>
    </w:p>
    <w:p w14:paraId="5B3BE570" w14:textId="77777777" w:rsidR="009B30AA" w:rsidRPr="00634649" w:rsidRDefault="009B30AA" w:rsidP="00BB5134">
      <w:pPr>
        <w:jc w:val="center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FF3759" w:rsidRPr="00634649" w14:paraId="5B3BE57A" w14:textId="77777777" w:rsidTr="006A2847">
        <w:tc>
          <w:tcPr>
            <w:tcW w:w="3085" w:type="dxa"/>
          </w:tcPr>
          <w:p w14:paraId="5B3BE578" w14:textId="77777777" w:rsidR="00FF3759" w:rsidRPr="00634649" w:rsidRDefault="03385EDC" w:rsidP="00BB5134">
            <w:pPr>
              <w:jc w:val="left"/>
            </w:pPr>
            <w:r w:rsidRPr="00634649">
              <w:t>Kontakt</w:t>
            </w:r>
          </w:p>
        </w:tc>
        <w:tc>
          <w:tcPr>
            <w:tcW w:w="6204" w:type="dxa"/>
          </w:tcPr>
          <w:p w14:paraId="5B3BE579" w14:textId="7B9AE83F" w:rsidR="00FF3759" w:rsidRPr="00634649" w:rsidRDefault="00CF2981" w:rsidP="00BB5134">
            <w:pPr>
              <w:jc w:val="left"/>
            </w:pPr>
            <w:hyperlink r:id="rId12" w:history="1">
              <w:r w:rsidRPr="00634649">
                <w:rPr>
                  <w:rStyle w:val="Hyperlink"/>
                  <w:color w:val="auto"/>
                </w:rPr>
                <w:t>nat@eesc.europa.eu</w:t>
              </w:r>
            </w:hyperlink>
          </w:p>
        </w:tc>
      </w:tr>
      <w:tr w:rsidR="00FF3759" w:rsidRPr="00634649" w14:paraId="5B3BE57D" w14:textId="77777777" w:rsidTr="006A2847">
        <w:tc>
          <w:tcPr>
            <w:tcW w:w="3085" w:type="dxa"/>
          </w:tcPr>
          <w:p w14:paraId="5B3BE57B" w14:textId="7045F654" w:rsidR="00FF3759" w:rsidRPr="00634649" w:rsidRDefault="03385EDC" w:rsidP="00BB5134">
            <w:pPr>
              <w:jc w:val="left"/>
            </w:pPr>
            <w:r w:rsidRPr="00634649">
              <w:t>Administratorki</w:t>
            </w:r>
          </w:p>
        </w:tc>
        <w:tc>
          <w:tcPr>
            <w:tcW w:w="6204" w:type="dxa"/>
          </w:tcPr>
          <w:p w14:paraId="5B3BE57C" w14:textId="0095EC01" w:rsidR="00FF3759" w:rsidRPr="00634649" w:rsidRDefault="004454F8" w:rsidP="00BB5134">
            <w:pPr>
              <w:jc w:val="left"/>
            </w:pPr>
            <w:r w:rsidRPr="00634649">
              <w:t>Anna Cameron, Alice Senga</w:t>
            </w:r>
          </w:p>
        </w:tc>
      </w:tr>
      <w:tr w:rsidR="00FF3759" w:rsidRPr="00634649" w14:paraId="5B3BE580" w14:textId="77777777" w:rsidTr="006A2847">
        <w:tc>
          <w:tcPr>
            <w:tcW w:w="3085" w:type="dxa"/>
          </w:tcPr>
          <w:p w14:paraId="5B3BE57E" w14:textId="77777777" w:rsidR="00FF3759" w:rsidRPr="00634649" w:rsidRDefault="03385EDC" w:rsidP="00BB5134">
            <w:pPr>
              <w:jc w:val="left"/>
            </w:pPr>
            <w:r w:rsidRPr="00634649">
              <w:t>Data dokumentu</w:t>
            </w:r>
          </w:p>
        </w:tc>
        <w:tc>
          <w:tcPr>
            <w:tcW w:w="6204" w:type="dxa"/>
          </w:tcPr>
          <w:p w14:paraId="5B3BE57F" w14:textId="6D267AD2" w:rsidR="00FF3759" w:rsidRPr="00634649" w:rsidRDefault="009C6C70" w:rsidP="00BB5134">
            <w:pPr>
              <w:jc w:val="left"/>
            </w:pPr>
            <w:r w:rsidRPr="00634649">
              <w:t>26/5/2026</w:t>
            </w:r>
          </w:p>
        </w:tc>
      </w:tr>
    </w:tbl>
    <w:p w14:paraId="5B3BE583" w14:textId="321CB83E" w:rsidR="00E32DC6" w:rsidRPr="00634649" w:rsidRDefault="03385EDC" w:rsidP="00BB5134">
      <w:pPr>
        <w:jc w:val="center"/>
        <w:rPr>
          <w:bCs/>
        </w:rPr>
      </w:pPr>
      <w:r w:rsidRPr="00634649">
        <w:t xml:space="preserve">Sprawozdawca: </w:t>
      </w:r>
      <w:r w:rsidRPr="00634649">
        <w:rPr>
          <w:b/>
        </w:rPr>
        <w:t>Cillian LOHAN</w:t>
      </w:r>
    </w:p>
    <w:p w14:paraId="5B3BE584" w14:textId="77777777" w:rsidR="00E32DC6" w:rsidRPr="00634649" w:rsidRDefault="00E32DC6" w:rsidP="00BB5134">
      <w:pPr>
        <w:sectPr w:rsidR="00E32DC6" w:rsidRPr="00634649" w:rsidSect="00BB5134">
          <w:footerReference w:type="default" r:id="rId13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="00DD5640" w:rsidRPr="00634649" w14:paraId="24249E85" w14:textId="77777777" w:rsidTr="00C356F7">
        <w:trPr>
          <w:trHeight w:val="251"/>
        </w:trPr>
        <w:tc>
          <w:tcPr>
            <w:tcW w:w="3055" w:type="dxa"/>
          </w:tcPr>
          <w:p w14:paraId="1225BDD1" w14:textId="00300DC2" w:rsidR="00DD5640" w:rsidRPr="00634649" w:rsidRDefault="00DD5640" w:rsidP="00BB5134">
            <w:pPr>
              <w:jc w:val="left"/>
            </w:pPr>
            <w:r w:rsidRPr="00634649">
              <w:lastRenderedPageBreak/>
              <w:t>Doradczynie i doradcy</w:t>
            </w:r>
          </w:p>
        </w:tc>
        <w:tc>
          <w:tcPr>
            <w:tcW w:w="6018" w:type="dxa"/>
          </w:tcPr>
          <w:p w14:paraId="4CEFBCA3" w14:textId="3B4FD988" w:rsidR="00DD5640" w:rsidRPr="00634649" w:rsidRDefault="009F399A" w:rsidP="00BB5134">
            <w:pPr>
              <w:jc w:val="left"/>
            </w:pPr>
            <w:r w:rsidRPr="00634649">
              <w:t>Ladeja GODINA KOŠIR</w:t>
            </w:r>
          </w:p>
        </w:tc>
      </w:tr>
      <w:tr w:rsidR="00DD5640" w:rsidRPr="00634649" w14:paraId="35E60D09" w14:textId="77777777" w:rsidTr="00C356F7">
        <w:trPr>
          <w:trHeight w:val="251"/>
        </w:trPr>
        <w:tc>
          <w:tcPr>
            <w:tcW w:w="3055" w:type="dxa"/>
          </w:tcPr>
          <w:p w14:paraId="2CCD6979" w14:textId="77777777" w:rsidR="00DD5640" w:rsidRPr="00634649" w:rsidRDefault="00DD5640" w:rsidP="00BB5134">
            <w:pPr>
              <w:jc w:val="left"/>
            </w:pPr>
          </w:p>
        </w:tc>
        <w:tc>
          <w:tcPr>
            <w:tcW w:w="6018" w:type="dxa"/>
          </w:tcPr>
          <w:p w14:paraId="5F5408E4" w14:textId="77777777" w:rsidR="00DD5640" w:rsidRPr="00634649" w:rsidRDefault="00DD5640" w:rsidP="00BB5134">
            <w:pPr>
              <w:jc w:val="left"/>
            </w:pPr>
          </w:p>
        </w:tc>
      </w:tr>
      <w:tr w:rsidR="0013664F" w:rsidRPr="00634649" w14:paraId="659CFC45" w14:textId="77777777" w:rsidTr="00C356F7">
        <w:tc>
          <w:tcPr>
            <w:tcW w:w="3055" w:type="dxa"/>
          </w:tcPr>
          <w:p w14:paraId="5D2E214C" w14:textId="10DD26E9" w:rsidR="0013664F" w:rsidRPr="00634649" w:rsidRDefault="0013664F" w:rsidP="00BB5134">
            <w:pPr>
              <w:jc w:val="left"/>
            </w:pPr>
            <w:r w:rsidRPr="00634649">
              <w:t>Wniosek o konsultację</w:t>
            </w:r>
          </w:p>
        </w:tc>
        <w:tc>
          <w:tcPr>
            <w:tcW w:w="6018" w:type="dxa"/>
          </w:tcPr>
          <w:p w14:paraId="4DC04ED4" w14:textId="161A01D5" w:rsidR="0013664F" w:rsidRPr="00634649" w:rsidRDefault="00384EC8" w:rsidP="00BB5134">
            <w:pPr>
              <w:jc w:val="left"/>
            </w:pPr>
            <w:r w:rsidRPr="00634649">
              <w:t>Komisja Europejska, 11/2/2026</w:t>
            </w:r>
          </w:p>
        </w:tc>
      </w:tr>
      <w:tr w:rsidR="00C356F7" w:rsidRPr="00634649" w14:paraId="5AE3E96C" w14:textId="77777777" w:rsidTr="003B0C32">
        <w:tc>
          <w:tcPr>
            <w:tcW w:w="3055" w:type="dxa"/>
          </w:tcPr>
          <w:p w14:paraId="18AEBE3E" w14:textId="75572D9D" w:rsidR="00C356F7" w:rsidRPr="00634649" w:rsidRDefault="00C356F7" w:rsidP="00BB5134">
            <w:pPr>
              <w:jc w:val="left"/>
            </w:pPr>
            <w:r w:rsidRPr="00634649">
              <w:t>Podstawa prawna</w:t>
            </w:r>
          </w:p>
        </w:tc>
        <w:tc>
          <w:tcPr>
            <w:tcW w:w="6018" w:type="dxa"/>
          </w:tcPr>
          <w:p w14:paraId="02C501D5" w14:textId="0A3E254A" w:rsidR="00C356F7" w:rsidRPr="00634649" w:rsidRDefault="0013664F" w:rsidP="00BB5134">
            <w:pPr>
              <w:jc w:val="left"/>
            </w:pPr>
            <w:r w:rsidRPr="00634649">
              <w:t>Art. 304 Traktatu o funkcjonowaniu Unii Europejskiej</w:t>
            </w:r>
          </w:p>
        </w:tc>
      </w:tr>
      <w:tr w:rsidR="00DF5B64" w:rsidRPr="00634649" w14:paraId="5B3BE5C4" w14:textId="77777777" w:rsidTr="003B0C32">
        <w:tc>
          <w:tcPr>
            <w:tcW w:w="3055" w:type="dxa"/>
          </w:tcPr>
          <w:p w14:paraId="5B3BE5C2" w14:textId="77777777" w:rsidR="00DF5B64" w:rsidRPr="00634649" w:rsidRDefault="03385EDC" w:rsidP="00BB5134">
            <w:pPr>
              <w:jc w:val="left"/>
            </w:pPr>
            <w:r w:rsidRPr="00634649">
              <w:t>Sekcja odpowiedzialna</w:t>
            </w:r>
          </w:p>
        </w:tc>
        <w:tc>
          <w:tcPr>
            <w:tcW w:w="6018" w:type="dxa"/>
          </w:tcPr>
          <w:p w14:paraId="5B3BE5C3" w14:textId="0557B892" w:rsidR="00DF5B64" w:rsidRPr="00634649" w:rsidRDefault="00384EC8" w:rsidP="00BB5134">
            <w:pPr>
              <w:jc w:val="left"/>
            </w:pPr>
            <w:r w:rsidRPr="00634649">
              <w:t>Sekcja Rolnictwa, Rozwoju Wsi i Środowiska Naturalnego</w:t>
            </w:r>
          </w:p>
        </w:tc>
      </w:tr>
      <w:tr w:rsidR="00A156E6" w:rsidRPr="00634649" w14:paraId="5B3BE5C7" w14:textId="77777777" w:rsidTr="003B0C32">
        <w:tc>
          <w:tcPr>
            <w:tcW w:w="3055" w:type="dxa"/>
          </w:tcPr>
          <w:p w14:paraId="5B3BE5C5" w14:textId="6F862EC0" w:rsidR="00A156E6" w:rsidRPr="00634649" w:rsidRDefault="03385EDC" w:rsidP="00BB5134">
            <w:pPr>
              <w:jc w:val="left"/>
            </w:pPr>
            <w:r w:rsidRPr="00634649">
              <w:t>Data przyjęcia przez sekcję</w:t>
            </w:r>
          </w:p>
        </w:tc>
        <w:tc>
          <w:tcPr>
            <w:tcW w:w="6018" w:type="dxa"/>
          </w:tcPr>
          <w:p w14:paraId="5B3BE5C6" w14:textId="5360CA31" w:rsidR="00A156E6" w:rsidRPr="00634649" w:rsidRDefault="007A6DC8" w:rsidP="00BB5134">
            <w:pPr>
              <w:jc w:val="left"/>
            </w:pPr>
            <w:r w:rsidRPr="00634649">
              <w:t>21/5/2026</w:t>
            </w:r>
          </w:p>
        </w:tc>
      </w:tr>
      <w:tr w:rsidR="00E64E71" w:rsidRPr="00634649" w14:paraId="76673220" w14:textId="77777777" w:rsidTr="003B0C32">
        <w:tc>
          <w:tcPr>
            <w:tcW w:w="3055" w:type="dxa"/>
          </w:tcPr>
          <w:p w14:paraId="3C0899C8" w14:textId="0995A3EA" w:rsidR="00E64E71" w:rsidRPr="00634649" w:rsidRDefault="03385EDC" w:rsidP="00BB5134">
            <w:pPr>
              <w:jc w:val="left"/>
            </w:pPr>
            <w:r w:rsidRPr="00634649">
              <w:t>Wynik głosowania</w:t>
            </w:r>
            <w:r w:rsidRPr="00634649">
              <w:br/>
              <w:t>(za/przeciw/wstrzymało się)</w:t>
            </w:r>
          </w:p>
        </w:tc>
        <w:tc>
          <w:tcPr>
            <w:tcW w:w="6018" w:type="dxa"/>
            <w:vAlign w:val="bottom"/>
          </w:tcPr>
          <w:p w14:paraId="31005FC7" w14:textId="4A25AF8C" w:rsidR="00E64E71" w:rsidRPr="00634649" w:rsidRDefault="00C31C9C" w:rsidP="00BB5134">
            <w:pPr>
              <w:jc w:val="left"/>
            </w:pPr>
            <w:r w:rsidRPr="00634649">
              <w:t>75/0/0</w:t>
            </w:r>
          </w:p>
        </w:tc>
      </w:tr>
      <w:tr w:rsidR="00A156E6" w:rsidRPr="00634649" w14:paraId="5B3BE5CA" w14:textId="77777777" w:rsidTr="003B0C32">
        <w:tc>
          <w:tcPr>
            <w:tcW w:w="3055" w:type="dxa"/>
          </w:tcPr>
          <w:p w14:paraId="5B3BE5C8" w14:textId="261924E9" w:rsidR="00A156E6" w:rsidRPr="00634649" w:rsidRDefault="03385EDC" w:rsidP="00BB5134">
            <w:pPr>
              <w:jc w:val="left"/>
            </w:pPr>
            <w:r w:rsidRPr="00634649">
              <w:t>Data przyjęcia na sesji plenarnej</w:t>
            </w:r>
          </w:p>
        </w:tc>
        <w:tc>
          <w:tcPr>
            <w:tcW w:w="6018" w:type="dxa"/>
          </w:tcPr>
          <w:p w14:paraId="5B3BE5C9" w14:textId="5FDDD67E" w:rsidR="00A156E6" w:rsidRPr="00634649" w:rsidRDefault="03385EDC" w:rsidP="00BB5134">
            <w:pPr>
              <w:jc w:val="left"/>
            </w:pPr>
            <w:r w:rsidRPr="00634649">
              <w:t>D/M/YYYY</w:t>
            </w:r>
          </w:p>
        </w:tc>
      </w:tr>
      <w:tr w:rsidR="00BA1290" w:rsidRPr="00634649" w14:paraId="5B3BE5CD" w14:textId="77777777" w:rsidTr="003B0C32">
        <w:tc>
          <w:tcPr>
            <w:tcW w:w="3055" w:type="dxa"/>
          </w:tcPr>
          <w:p w14:paraId="5B3BE5CB" w14:textId="77777777" w:rsidR="00BA1290" w:rsidRPr="00634649" w:rsidRDefault="03385EDC" w:rsidP="00BB5134">
            <w:pPr>
              <w:jc w:val="left"/>
            </w:pPr>
            <w:r w:rsidRPr="00634649">
              <w:t>Sesja plenarna nr</w:t>
            </w:r>
          </w:p>
        </w:tc>
        <w:tc>
          <w:tcPr>
            <w:tcW w:w="6018" w:type="dxa"/>
          </w:tcPr>
          <w:p w14:paraId="5B3BE5CC" w14:textId="77777777" w:rsidR="00BA1290" w:rsidRPr="00634649" w:rsidRDefault="03385EDC" w:rsidP="00BB5134">
            <w:pPr>
              <w:jc w:val="left"/>
            </w:pPr>
            <w:r w:rsidRPr="00634649">
              <w:t>…</w:t>
            </w:r>
          </w:p>
        </w:tc>
      </w:tr>
      <w:tr w:rsidR="00A156E6" w:rsidRPr="00634649" w14:paraId="5B3BE5D0" w14:textId="77777777" w:rsidTr="003B0C32">
        <w:tc>
          <w:tcPr>
            <w:tcW w:w="3055" w:type="dxa"/>
          </w:tcPr>
          <w:p w14:paraId="5B3BE5CE" w14:textId="0ED6183D" w:rsidR="00D423D4" w:rsidRPr="00634649" w:rsidRDefault="03385EDC" w:rsidP="00BB5134">
            <w:pPr>
              <w:jc w:val="left"/>
            </w:pPr>
            <w:r w:rsidRPr="00634649">
              <w:t>Wynik głosowania</w:t>
            </w:r>
            <w:r w:rsidRPr="00634649">
              <w:br/>
              <w:t>(za/przeciw/wstrzymało się)</w:t>
            </w:r>
          </w:p>
        </w:tc>
        <w:tc>
          <w:tcPr>
            <w:tcW w:w="6018" w:type="dxa"/>
            <w:vAlign w:val="bottom"/>
          </w:tcPr>
          <w:p w14:paraId="5B3BE5CF" w14:textId="77777777" w:rsidR="00A156E6" w:rsidRPr="00634649" w:rsidRDefault="03385EDC" w:rsidP="00BB5134">
            <w:pPr>
              <w:jc w:val="left"/>
            </w:pPr>
            <w:r w:rsidRPr="00634649">
              <w:t>…/…/…</w:t>
            </w:r>
          </w:p>
        </w:tc>
      </w:tr>
    </w:tbl>
    <w:p w14:paraId="5B3BE5D2" w14:textId="77777777" w:rsidR="00646AC2" w:rsidRPr="00634649" w:rsidRDefault="00646AC2" w:rsidP="00BB5134">
      <w:r w:rsidRPr="00634649">
        <w:br w:type="page"/>
      </w:r>
    </w:p>
    <w:p w14:paraId="5B3BE5D3" w14:textId="77777777" w:rsidR="00011D33" w:rsidRPr="00634649" w:rsidRDefault="03385EDC" w:rsidP="00BB5134">
      <w:pPr>
        <w:pStyle w:val="Heading1"/>
        <w:rPr>
          <w:b/>
          <w:bCs/>
        </w:rPr>
      </w:pPr>
      <w:r w:rsidRPr="00634649">
        <w:rPr>
          <w:b/>
        </w:rPr>
        <w:lastRenderedPageBreak/>
        <w:t>Wnioski i zalecenia</w:t>
      </w:r>
    </w:p>
    <w:p w14:paraId="5B3BE5D4" w14:textId="77777777" w:rsidR="00011D33" w:rsidRPr="00634649" w:rsidRDefault="00011D33" w:rsidP="00BB5134"/>
    <w:p w14:paraId="3924EBAD" w14:textId="68DAFB9E" w:rsidR="00567040" w:rsidRPr="00634649" w:rsidRDefault="00567040" w:rsidP="00BB5134">
      <w:pPr>
        <w:pStyle w:val="Heading2"/>
      </w:pPr>
      <w:r w:rsidRPr="00634649">
        <w:t>Wniosek Komisji z pewnością powinien mieć formę aktu prawnego, ponieważ byłby to jasny i</w:t>
      </w:r>
      <w:r w:rsidR="00541133">
        <w:t> </w:t>
      </w:r>
      <w:r w:rsidRPr="00634649">
        <w:t>zdecydowany sygnał dla wszystkich sektorów, że UE nadal dąży do osiągnięcia pozycji światowego lidera systemowej transformacji ku gospodarce o obiegu zamkniętym. Osiągnięcie tego ambitnego celu wymaga pilnych działań.</w:t>
      </w:r>
    </w:p>
    <w:p w14:paraId="4BEE1638" w14:textId="77777777" w:rsidR="00567040" w:rsidRPr="00634649" w:rsidRDefault="00567040" w:rsidP="00BB5134"/>
    <w:p w14:paraId="5B3BE5D5" w14:textId="59132A5F" w:rsidR="00011D33" w:rsidRPr="00634649" w:rsidRDefault="00567040" w:rsidP="00BB5134">
      <w:pPr>
        <w:pStyle w:val="Heading2"/>
      </w:pPr>
      <w:r w:rsidRPr="00634649">
        <w:t>Aktowi temu musi towarzyszyć przejrzyste zestawienie wszystkich wzajemnie powiązanych przepisów, regulacji, planów działania i strategii, które tworzą ramy prawne transformacji ku gospodarce o obiegu zamkniętym.</w:t>
      </w:r>
    </w:p>
    <w:p w14:paraId="1B58F049" w14:textId="77777777" w:rsidR="00567040" w:rsidRPr="00634649" w:rsidRDefault="00567040" w:rsidP="00BB5134"/>
    <w:p w14:paraId="1FADFE62" w14:textId="64DE70BB" w:rsidR="00567040" w:rsidRPr="00634649" w:rsidRDefault="00567040" w:rsidP="00BB5134">
      <w:pPr>
        <w:pStyle w:val="Heading2"/>
      </w:pPr>
      <w:r w:rsidRPr="00634649">
        <w:t>W akcie należy skupić się na zachętach na rzecz silnego, dobrze funkcjonującego rynku surowców wtórnych i modeli biznesowych o obiegu zamkniętym, w tym na działaniach związanych z ponownym użyciem, naprawą i regeneracją.</w:t>
      </w:r>
    </w:p>
    <w:p w14:paraId="54387229" w14:textId="77777777" w:rsidR="00567040" w:rsidRPr="00634649" w:rsidRDefault="00567040" w:rsidP="00BB5134"/>
    <w:p w14:paraId="7114128A" w14:textId="2A2CB69B" w:rsidR="00933C85" w:rsidRPr="00634649" w:rsidRDefault="00567040" w:rsidP="00BB5134">
      <w:pPr>
        <w:pStyle w:val="Heading2"/>
      </w:pPr>
      <w:r w:rsidRPr="00634649">
        <w:t>Akt powinien przyczynić się do postępów w kluczowych kwestiach, takich jak: wykorzystanie zamówień publicznych, harmonizacja rozszerzonej odpowiedzialności producenta i zarządzanie nią, przejrzystość i identyfikowalność w odniesieniu do wszystkich wykorzystywanych materiałów, zwiększenie skali ekoprojektu, wyjście poza ramy recyklingu, rola regeneracji produktów oraz nacisk na dobre warunki pracy we wszystkich obszarach transformacji w</w:t>
      </w:r>
      <w:r w:rsidR="00541133">
        <w:t> </w:t>
      </w:r>
      <w:r w:rsidRPr="00634649">
        <w:t>kierunku gospodarki o obiegu zamkniętym. Rozszerzona odpowiedzialność producenta powinna zostać przeprojektowana w taki sposób, aby wspierać modele biznesowe o obiegu zamkniętym wykraczające poza recykling, w tym poprzez ekomodulowane struktury opłat lub specjalne fundusze wsparcia. Zasadnicze znaczenie mają godne warunki zapewniające bezpieczeństwo i higienę pracy.</w:t>
      </w:r>
    </w:p>
    <w:p w14:paraId="01B22AA8" w14:textId="77777777" w:rsidR="007E2598" w:rsidRPr="00634649" w:rsidRDefault="007E2598" w:rsidP="000A71A8"/>
    <w:p w14:paraId="617FD6E8" w14:textId="5EF47BF1" w:rsidR="00550070" w:rsidRPr="00634649" w:rsidRDefault="00550070" w:rsidP="00BB5134">
      <w:pPr>
        <w:pStyle w:val="Heading2"/>
      </w:pPr>
      <w:r w:rsidRPr="00634649">
        <w:t>Do aktu należy załączyć repozytorium wyselekcjonowanych dobrych praktyk w zakresie gospodarki o obiegu zamkniętym, na podstawie przykładów zebranych przez europejską platformę zainteresowanych stron gospodarki o obiegu zamkniętym (ECEPS). Zainteresowane strony wskazały, że identyfikowalność, certyfikacja, zharmonizowane etykietowanie i normy techniczne to podstawowe elementy budowania zaufania inwestorów do rynku surowców wtórnych. Aspekty te ułatwiłyby wdrażanie, dzięki sprawdzonym rozwiązaniom, które można by powielać i skalować w całej UE. Repozytorium powinno pełnić rolę dynamicznego, regularnie aktualizowanego zasobu i być powiązane ze wskaźnikami i ramami monitorowania. Byłoby narzędziem pomocnym w śledzeniu postępów i kształtowaniu polityki opartej na dowodach.</w:t>
      </w:r>
    </w:p>
    <w:p w14:paraId="17294533" w14:textId="77777777" w:rsidR="004D0699" w:rsidRPr="00634649" w:rsidRDefault="004D0699" w:rsidP="000A71A8"/>
    <w:p w14:paraId="0371BE60" w14:textId="39F5409E" w:rsidR="0006409F" w:rsidRPr="00634649" w:rsidRDefault="0063497E" w:rsidP="00BB5134">
      <w:pPr>
        <w:pStyle w:val="Heading2"/>
      </w:pPr>
      <w:r w:rsidRPr="00634649">
        <w:t>Kluczowym zawodem wspomagającym rozwój obiegu zamkniętego byliby agenci transformacji. W akcie w sprawie gospodarki o obiegu zamkniętym trzeba formalnie uznać i</w:t>
      </w:r>
      <w:r w:rsidR="00541133">
        <w:t> </w:t>
      </w:r>
      <w:r w:rsidRPr="00634649">
        <w:t>sprofesjonalizować tę funkcję oraz przeznaczyć na nią zasoby, aby agenci transformacji faktycznie pełnili swoją rolę w łańcuchach wartości.</w:t>
      </w:r>
    </w:p>
    <w:p w14:paraId="4EEC6AAD" w14:textId="77777777" w:rsidR="002E6156" w:rsidRPr="00634649" w:rsidRDefault="002E6156" w:rsidP="00BB5134"/>
    <w:p w14:paraId="51077B69" w14:textId="79819C07" w:rsidR="00550070" w:rsidRPr="00634649" w:rsidRDefault="00550070" w:rsidP="00BB5134">
      <w:pPr>
        <w:pStyle w:val="Heading2"/>
      </w:pPr>
      <w:r w:rsidRPr="00634649">
        <w:t>Społeczeństwo obywatelskie i gospodarkę społeczną należy traktować jako aktywne podmioty współkształtujące przejście na gospodarkę o obiegu zamkniętym, a nie tylko jako jej beneficjentów. Sprawiedliwa transformacja powinna być podstawową zasadą aktu. Produkty i</w:t>
      </w:r>
      <w:r w:rsidR="00541133">
        <w:t> </w:t>
      </w:r>
      <w:r w:rsidRPr="00634649">
        <w:t xml:space="preserve">usługi o obiegu zamkniętym muszą pozostać przystępne cenowo i przyczyniać się do spójności </w:t>
      </w:r>
      <w:r w:rsidRPr="00634649">
        <w:lastRenderedPageBreak/>
        <w:t>społecznej, a nie tylko konkurencyjności. Obywatele, społeczności, spółdzielnie i</w:t>
      </w:r>
      <w:r w:rsidR="00541133">
        <w:t> </w:t>
      </w:r>
      <w:r w:rsidRPr="00634649">
        <w:t>przedsiębiorstwa społeczne powinny odgrywać znaczącą rolę w łańcuchach wartości o obiegu zamkniętym, otrzymując wsparcie poprzez zachęty i uproszczone ścieżki uczestnictwa.</w:t>
      </w:r>
    </w:p>
    <w:p w14:paraId="4FBC3F2B" w14:textId="77777777" w:rsidR="00032025" w:rsidRPr="00634649" w:rsidRDefault="00032025" w:rsidP="00BB5134"/>
    <w:p w14:paraId="33BA4392" w14:textId="7FBC0BFA" w:rsidR="001B4D1D" w:rsidRPr="00634649" w:rsidRDefault="001B4D1D" w:rsidP="00BB5134">
      <w:pPr>
        <w:pStyle w:val="Heading2"/>
      </w:pPr>
      <w:r w:rsidRPr="00634649">
        <w:t>Platformę ECEPS należy wykorzystywać do testowania nowych wskaźników i przekazywania uporządkowanych informacji zwrotnych na temat sukcesów i przeszkód związanych z</w:t>
      </w:r>
      <w:r w:rsidR="00541133">
        <w:t> </w:t>
      </w:r>
      <w:r w:rsidRPr="00634649">
        <w:t>praktycznym wdrażaniem. Owa platforma zainteresowanych stron powinna być strategicznym partnerem łączącym odpowiednie podmioty, aby wspólnie dostosowały priorytety, wskazały przeszkody dla wdrażania gospodarki o obiegu zamkniętym i przyspieszyły transformację.</w:t>
      </w:r>
    </w:p>
    <w:p w14:paraId="5B3BE5D7" w14:textId="7C8C7D15" w:rsidR="00011D33" w:rsidRPr="00634649" w:rsidRDefault="00011D33" w:rsidP="000A71A8"/>
    <w:p w14:paraId="5B3BE5DB" w14:textId="4C2567C7" w:rsidR="00011D33" w:rsidRPr="00634649" w:rsidRDefault="03385EDC" w:rsidP="00BB5134">
      <w:pPr>
        <w:pStyle w:val="Heading1"/>
        <w:keepNext/>
        <w:keepLines/>
        <w:rPr>
          <w:b/>
          <w:bCs/>
        </w:rPr>
      </w:pPr>
      <w:r w:rsidRPr="00634649">
        <w:rPr>
          <w:b/>
        </w:rPr>
        <w:t>Uwagi ogólne</w:t>
      </w:r>
    </w:p>
    <w:p w14:paraId="5B3BE5DC" w14:textId="77777777" w:rsidR="00011D33" w:rsidRPr="00634649" w:rsidRDefault="00011D33" w:rsidP="00BB5134">
      <w:pPr>
        <w:keepNext/>
        <w:keepLines/>
      </w:pPr>
    </w:p>
    <w:p w14:paraId="58316547" w14:textId="191260F4" w:rsidR="00930EFC" w:rsidRPr="00634649" w:rsidRDefault="00930EFC" w:rsidP="00BB5134">
      <w:pPr>
        <w:pStyle w:val="Heading2"/>
      </w:pPr>
      <w:r w:rsidRPr="00634649">
        <w:t>Akt w sprawie gospodarki o obiegu zamkniętym nie powinien zastępować planu działania UE dotyczącego gospodarki o obiegu zamkniętym. Warto jednak wykorzystać ten akt jako okazję do połączenia różnych środków ustawodawczych i politycznych w ramach Paktu dla czystego przemysłu, co umożliwi odpowiednie interweniowanie w rynek w celu zamknięcia obiegu.</w:t>
      </w:r>
    </w:p>
    <w:p w14:paraId="02B103E5" w14:textId="77777777" w:rsidR="00930EFC" w:rsidRPr="00634649" w:rsidRDefault="00930EFC" w:rsidP="00BB5134"/>
    <w:p w14:paraId="3484581C" w14:textId="5B60F338" w:rsidR="00550070" w:rsidRPr="00634649" w:rsidRDefault="001523A1" w:rsidP="00BB5134">
      <w:pPr>
        <w:pStyle w:val="Heading2"/>
      </w:pPr>
      <w:r w:rsidRPr="00634649">
        <w:t>Jest to decydujący moment, aby pobudzić transformację w kierunku gospodarki o obiegu zamkniętym i – poprzez przyjęcie aktu w sprawie gospodarki o obiegu zamkniętym – zapewnić spójność wielu istniejących inicjatyw w tym zakresie. Dostęp do zasobów nie jest już jedynie kwestią środowiskową lub gospodarczą, lecz coraz częściej także geopolityczną. W obliczu nasilającej się globalnej rywalizacji o materiały, zakłóceń w łańcuchu dostaw i rosnącego zapotrzebowania na zasoby akt w sprawie gospodarki o obiegu zamkniętym powinien stać się strategicznym instrumentem na rzecz europejskiej odporności, konkurencyjności i otwartej strategicznej autonomii. W sektorze gospodarki o obiegu zamkniętym istnieje wynosząca 82</w:t>
      </w:r>
      <w:r w:rsidR="00541133">
        <w:t> </w:t>
      </w:r>
      <w:r w:rsidRPr="00634649">
        <w:t>mld EUR luka inwestycyjna</w:t>
      </w:r>
      <w:r w:rsidRPr="00634649">
        <w:rPr>
          <w:rStyle w:val="FootnoteReference"/>
        </w:rPr>
        <w:footnoteReference w:id="2"/>
      </w:r>
      <w:r w:rsidRPr="00634649">
        <w:t xml:space="preserve"> między obecnym poziomem inwestycji a kwotą niezbędną do zwiększenia skali rozwiązań opartych na obiegu zamkniętym w całej UE – lukę tę należy wypełnić poprzez pobudzenie inwestycji i innowacji. Należy skupić się na zarządzaniu zasobami w bardziej strategiczny i przemyślany sposób, odchodząc od wąskiego spojrzenia na rynki surowców wtórnych na rzecz sieci wartości i systemowego zarządzania zasobami. To wymaga: (1) wypracowania przy pomocy narzędzi cyfrowych dogłębnego zrozumienia przepływów materiałów, (2) rozwiązania problemu braku danych na temat zapasów i</w:t>
      </w:r>
      <w:r w:rsidR="00541133">
        <w:t> </w:t>
      </w:r>
      <w:r w:rsidRPr="00634649">
        <w:t>przepływów materiałów, (3) danych oraz powstających technologii, takich jak sztuczna inteligencja, które umożliwią podejmowanie trafniejszych decyzji na każdym etapie cyklu życia materiałów. Kluczowymi zasadami są przejrzystość i identyfikowalność.</w:t>
      </w:r>
    </w:p>
    <w:p w14:paraId="62C8E92B" w14:textId="77777777" w:rsidR="00923CD5" w:rsidRPr="00634649" w:rsidRDefault="00923CD5" w:rsidP="00BB5134"/>
    <w:p w14:paraId="7D00D90C" w14:textId="3AB89466" w:rsidR="009E15D4" w:rsidRPr="00634649" w:rsidRDefault="00605216" w:rsidP="00BB5134">
      <w:pPr>
        <w:pStyle w:val="Heading2"/>
      </w:pPr>
      <w:r w:rsidRPr="00634649">
        <w:t>Należy zmapować przebieg działań na rzecz obiegu zamkniętego, które podejmowano od 2015</w:t>
      </w:r>
      <w:r w:rsidR="00541133">
        <w:t> </w:t>
      </w:r>
      <w:r w:rsidRPr="00634649">
        <w:t xml:space="preserve">r., aby móc określić postępy oraz obszary (sektory i regiony) wymagające większego wsparcia. W ostatnim dziesięcioleciu wskaźnik obiegu zamkniętego wzrósł o 1,5 %, a obecnie dążymy do jego zwiększenia o 100 % (z 12,2 % do 24 % do 2030 r.). Mapowaniem należy objąć także otoczenie regulacyjne w UE. Trzeba nie tylko uwydatnić postępy, lecz także wskazać wąskie gardła, bariery strukturalne i obszary, w których istnieją rozwiązania, ale nie są one wdrażane na większą skalę. Należy określić wykorzystanie materiałów, jeżeli takie istnieje. </w:t>
      </w:r>
      <w:r w:rsidRPr="00634649">
        <w:lastRenderedPageBreak/>
        <w:t xml:space="preserve">Potrzeba skutecznej strategii zarządzania opartej na tych danych i obejmującej cele, które są nadal wymagane. Chodzi o przejście od wydajności do wystarczalności. </w:t>
      </w:r>
    </w:p>
    <w:p w14:paraId="3F1CB3D6" w14:textId="77777777" w:rsidR="00605216" w:rsidRPr="00634649" w:rsidRDefault="00605216" w:rsidP="00BB5134"/>
    <w:p w14:paraId="14620799" w14:textId="35A52BD7" w:rsidR="00FE1327" w:rsidRPr="00634649" w:rsidRDefault="00605216" w:rsidP="00BB5134">
      <w:pPr>
        <w:pStyle w:val="Heading2"/>
      </w:pPr>
      <w:r w:rsidRPr="00634649">
        <w:t>Trzeba ograniczyć zużywanie materiałów. Zapobieganie powstawaniu odpadów musi być absolutnym priorytetem w hierarchii obiegu zamkniętego. Obejmuje to kwestie długiej żywotności produktu, ograniczonego wykorzystania materiałów oraz rozwoju nowych modeli biznesowych i konsumpcyjnych, które pomagają oddzielić tworzenie wartości ekonomicznej od wykorzystania materiałów</w:t>
      </w:r>
      <w:r w:rsidR="00F617B8" w:rsidRPr="00634649">
        <w:rPr>
          <w:rStyle w:val="FootnoteReference"/>
        </w:rPr>
        <w:footnoteReference w:id="3"/>
      </w:r>
      <w:r w:rsidRPr="00634649">
        <w:t>.</w:t>
      </w:r>
    </w:p>
    <w:p w14:paraId="6D03B275" w14:textId="77777777" w:rsidR="00605216" w:rsidRPr="00634649" w:rsidRDefault="00605216" w:rsidP="00BB5134"/>
    <w:p w14:paraId="41E22A2A" w14:textId="6D41F542" w:rsidR="00605216" w:rsidRPr="00634649" w:rsidRDefault="00605216" w:rsidP="00BB5134">
      <w:pPr>
        <w:pStyle w:val="Heading2"/>
      </w:pPr>
      <w:r w:rsidRPr="00634649">
        <w:t>Do tego niezbędne jest zrozumienie łańcuchów wartości. Platforma ECESP</w:t>
      </w:r>
      <w:r w:rsidR="00B35804" w:rsidRPr="00634649">
        <w:rPr>
          <w:rStyle w:val="FootnoteReference"/>
        </w:rPr>
        <w:footnoteReference w:id="4"/>
      </w:r>
      <w:r w:rsidRPr="00634649">
        <w:t xml:space="preserve"> prowadzi prace nad sieciami wartości oraz prezentuje studia przypadków i najlepsze praktyki. Aby umożliwić pozyskiwanie materiałów wysokiej jakości, trzeba z jednej strony zrozumieć, jak dokonuje się przepływ materiałów w tych sieciach wartości, a z drugiej strony – wspierać innowacje. Sieci te mają kluczowe znaczenie dla zamknięcia obiegu materiałów, wspierania symbiozy przemysłowej i zwiększania skali rozwiązań opartych na obiegu zamkniętym. Skuteczne zarządzanie będzie wymagało lepszej koordynacji i wprowadzenia ról wspomagających, takich jak agenci transformacji, którzy będą pośredniczyć między zainteresowanymi stronami i</w:t>
      </w:r>
      <w:r w:rsidR="00541133">
        <w:t> </w:t>
      </w:r>
      <w:r w:rsidRPr="00634649">
        <w:t>wspierać wdrażanie w sieciach wartości.</w:t>
      </w:r>
    </w:p>
    <w:p w14:paraId="0E058FAB" w14:textId="77777777" w:rsidR="00605216" w:rsidRPr="00634649" w:rsidRDefault="00605216" w:rsidP="00BB5134"/>
    <w:p w14:paraId="05BC6D0B" w14:textId="1BD5FF42" w:rsidR="004A1089" w:rsidRPr="00634649" w:rsidRDefault="004A1089" w:rsidP="00BB5134">
      <w:pPr>
        <w:pStyle w:val="Heading2"/>
      </w:pPr>
      <w:r w:rsidRPr="00634649">
        <w:t>Obieg zamknięty musi teraz wykraczać poza recykling i przejść do systemowego zarządzania zasobami w całym cyklu życia materiałów, w tym do większej przejrzystości i</w:t>
      </w:r>
      <w:r w:rsidR="00541133">
        <w:t> </w:t>
      </w:r>
      <w:r w:rsidRPr="00634649">
        <w:t>identyfikowalności chemikaliów i substancji potencjalnie niebezpiecznych w całym cyklu życia produktów. Powinien obejmować m.in. regenerację produktów, wysokiej jakości surowce wtórne, ekoprojekt i dobrze funkcjonujący przemysł naprawczy. Jednocześnie dodatkowe wymogi sprawozdawcze muszą pozostać proporcjonalne i wykonalne dla przedsiębiorstw.</w:t>
      </w:r>
    </w:p>
    <w:p w14:paraId="03C85ACD" w14:textId="77777777" w:rsidR="004A1089" w:rsidRPr="00634649" w:rsidRDefault="004A1089" w:rsidP="00BB5134"/>
    <w:p w14:paraId="78093D46" w14:textId="51747DAA" w:rsidR="00F617B8" w:rsidRPr="00634649" w:rsidRDefault="004A1089" w:rsidP="00BB5134">
      <w:pPr>
        <w:pStyle w:val="Heading2"/>
      </w:pPr>
      <w:r w:rsidRPr="00634649">
        <w:t>Priorytetem powinno być zwiększenie skali istniejących rozwiązań opartych na obiegu zamkniętym. Istnieje już wiele udanych projektów pilotażowych i najlepszych praktyk, ale niekiedy brak mechanizmów upowszechniania ich w różnych regionach i sektorach. W akcie należy skupić się na umożliwieniu powielania i zwiększania skali. Jest to niezbędne dla zapewnienia optymalnego wykorzystania środków w inwestycjach.</w:t>
      </w:r>
    </w:p>
    <w:p w14:paraId="36658F2C" w14:textId="77777777" w:rsidR="00605216" w:rsidRPr="00634649" w:rsidRDefault="00605216" w:rsidP="00BB5134"/>
    <w:p w14:paraId="7B966A1F" w14:textId="65A66A14" w:rsidR="004A1089" w:rsidRPr="00634649" w:rsidRDefault="002E2910" w:rsidP="00BB5134">
      <w:pPr>
        <w:pStyle w:val="Heading2"/>
      </w:pPr>
      <w:r w:rsidRPr="00634649">
        <w:t>Nakazywanie i zachęcanie do ponownego użycia</w:t>
      </w:r>
      <w:r w:rsidR="004A1089" w:rsidRPr="00634649">
        <w:rPr>
          <w:rStyle w:val="FootnoteReference"/>
        </w:rPr>
        <w:footnoteReference w:id="5"/>
      </w:r>
      <w:r w:rsidRPr="00634649">
        <w:t xml:space="preserve"> w oparciu o ocenę cyklu życia i</w:t>
      </w:r>
      <w:r w:rsidR="00541133">
        <w:t> </w:t>
      </w:r>
      <w:r w:rsidRPr="00634649">
        <w:t>przekształcanie modeli biznesowych są motorem napędzającym gospodarkę o obiegu zamkniętym. Modele te mają zasadnicze znaczenie dla oddzielenia tworzenia wartości od wykorzystania materiałów. Z kolei głównym czynnikiem napędzającym popyt powinny być zamówienia publiczne. Poza stawianiem minimalnych kryteriów powinny one stymulować innowacje, wspierać lokalne ekosystemy o obiegu zamkniętym oraz sygnalizować długoterminowe trendy rynkowe.</w:t>
      </w:r>
    </w:p>
    <w:p w14:paraId="7C5CC2E8" w14:textId="77777777" w:rsidR="004A1089" w:rsidRPr="00634649" w:rsidRDefault="004A1089" w:rsidP="00BB5134"/>
    <w:p w14:paraId="5DBE6E35" w14:textId="7D05D4CC" w:rsidR="00FE7EA1" w:rsidRPr="00634649" w:rsidRDefault="00032025" w:rsidP="00BB5134">
      <w:pPr>
        <w:pStyle w:val="Heading2"/>
      </w:pPr>
      <w:r w:rsidRPr="00634649">
        <w:lastRenderedPageBreak/>
        <w:t>Podstawową zasadą obiegu zamkniętego są krótkie cykle materiałów i obszaru. Zasada ta podkreśla powiązanie biogospodarki z gospodarką o obiegu zamkniętym</w:t>
      </w:r>
      <w:r w:rsidR="00AA5D5E" w:rsidRPr="00634649">
        <w:rPr>
          <w:rStyle w:val="FootnoteReference"/>
        </w:rPr>
        <w:footnoteReference w:id="6"/>
      </w:r>
      <w:r w:rsidRPr="00634649">
        <w:t>.</w:t>
      </w:r>
    </w:p>
    <w:p w14:paraId="354AA017" w14:textId="77777777" w:rsidR="00605216" w:rsidRPr="00634649" w:rsidRDefault="00605216" w:rsidP="00BB5134"/>
    <w:p w14:paraId="066CC2AC" w14:textId="019607DC" w:rsidR="004A1089" w:rsidRPr="00634649" w:rsidRDefault="004E17B8" w:rsidP="00BB5134">
      <w:pPr>
        <w:pStyle w:val="Heading2"/>
      </w:pPr>
      <w:r w:rsidRPr="00634649">
        <w:t>Gospodarka o obiegu zamkniętym musi być powiązana ze sprawiedliwą i uczciwą transformacją. Należy wzmocnić społeczny wymiar obiegu zamkniętego. Dziesięć lat temu rozważano rozwój obszarów oddalonych i wiejskich w ramach reindustrializacji Europy, ale wizja ta nie została zrealizowana. Produkty i usługi gospodarki o obiegu zamkniętym muszą stać się konkurencyjne, dostępne i przystępne cenowo. Obieg zamknięty powinien przyczyniać się do poprawy dobrostanu, jakości życia i spójności społecznej, a nie tylko do zwiększania konkurencyjności.</w:t>
      </w:r>
    </w:p>
    <w:p w14:paraId="61207B93" w14:textId="77777777" w:rsidR="004A1089" w:rsidRPr="00634649" w:rsidRDefault="004A1089" w:rsidP="00BB5134"/>
    <w:p w14:paraId="1F729F7B" w14:textId="77777777" w:rsidR="00032025" w:rsidRPr="00634649" w:rsidRDefault="00032025" w:rsidP="00BB5134">
      <w:pPr>
        <w:pStyle w:val="Heading2"/>
      </w:pPr>
      <w:r w:rsidRPr="00634649">
        <w:t>Zapewnienie godnych warunków pracy oraz najwyższych standardów zdrowia i bezpieczeństwa ma zasadnicze znaczenie. Należy wziąć pod uwagę wymiar nietoksyczności</w:t>
      </w:r>
      <w:r w:rsidRPr="00634649">
        <w:rPr>
          <w:rStyle w:val="FootnoteReference"/>
        </w:rPr>
        <w:footnoteReference w:id="7"/>
      </w:r>
      <w:r w:rsidRPr="00634649">
        <w:t>.</w:t>
      </w:r>
    </w:p>
    <w:p w14:paraId="2C12329C" w14:textId="77777777" w:rsidR="00605216" w:rsidRPr="00634649" w:rsidRDefault="00605216" w:rsidP="00BB5134"/>
    <w:p w14:paraId="2532EF9B" w14:textId="44039264" w:rsidR="00605216" w:rsidRPr="00634649" w:rsidRDefault="00605216" w:rsidP="00BB5134">
      <w:pPr>
        <w:pStyle w:val="Heading2"/>
      </w:pPr>
      <w:r w:rsidRPr="00634649">
        <w:t>Społeczności można zachęcać do przechodzenia na gospodarkę o obiegu zamkniętym za pomocą łatwo dostępnych zachęt, infrastruktury wspomagającej i informacji na poziomie miast i regionów. Środkom po stronie popytu musi towarzyszyć większe zaangażowanie społeczne. Obywatele, konsumenci i społeczności odgrywają pierwszoplanową rolę w kształtowaniu systemów o obiegu zamkniętym. Zachęty, jasno określone zakresy odpowiedzialności, informacje i dostępne rozwiązania oparte na obiegu zamkniętym są niezbędnym bodźcem do zmiany zachowań i długoterminowego oddziaływania.</w:t>
      </w:r>
    </w:p>
    <w:p w14:paraId="67DE196F" w14:textId="77777777" w:rsidR="00605216" w:rsidRPr="00634649" w:rsidRDefault="00605216" w:rsidP="00BB5134"/>
    <w:p w14:paraId="714EBD38" w14:textId="600D6160" w:rsidR="00605216" w:rsidRPr="00634649" w:rsidRDefault="00040647" w:rsidP="00BB5134">
      <w:pPr>
        <w:pStyle w:val="Heading2"/>
      </w:pPr>
      <w:r w:rsidRPr="00634649">
        <w:t>Należy przypomnieć, że kluczem do przejścia na gospodarkę o obiegu zamkniętym jest podstawowa zasada decentralizacji. Obejmuje to ulepszenie regionalnych i lokalnych centrów obiegu zamkniętego, umożliwienie współpracy transgranicznej oraz wspieranie mniejszych i</w:t>
      </w:r>
      <w:r w:rsidR="00541133">
        <w:t> </w:t>
      </w:r>
      <w:r w:rsidRPr="00634649">
        <w:t>słabiej rozwiniętych regionów w budowaniu zdolności w zakresie obiegu zamkniętego. Podejście to może przyczynić się do powstania lokalnych ekosystemów opartych na obiegu zamkniętym, wzmocnić odporność regionów oraz wspierać bardziej zrównoważony rozwój terytorialny w całej UE.</w:t>
      </w:r>
    </w:p>
    <w:p w14:paraId="4511EE5D" w14:textId="77777777" w:rsidR="00605216" w:rsidRPr="00634649" w:rsidRDefault="00605216" w:rsidP="00BB5134"/>
    <w:p w14:paraId="5B3BE5DD" w14:textId="308B379B" w:rsidR="00011D33" w:rsidRPr="00634649" w:rsidRDefault="00605216" w:rsidP="00BB5134">
      <w:pPr>
        <w:pStyle w:val="Heading2"/>
      </w:pPr>
      <w:r w:rsidRPr="00634649">
        <w:t>Platforma ECESP odgrywa zasadniczą rolę w napędzaniu zmian, angażując zainteresowane strony i działając jako „sieć sieci”. Jest to unikalna platforma wymiany dobrych praktyk, umożliwiająca dialog i wspierająca upowszechnianie rozwiązań opartych na obiegu zamkniętym w całej Europie (i poza nią).</w:t>
      </w:r>
    </w:p>
    <w:p w14:paraId="7021F78D" w14:textId="77777777" w:rsidR="00567040" w:rsidRPr="00634649" w:rsidRDefault="00567040" w:rsidP="00BB5134"/>
    <w:p w14:paraId="44D9B465" w14:textId="132FB4D4" w:rsidR="00567040" w:rsidRPr="00634649" w:rsidRDefault="00567040" w:rsidP="00BB5134">
      <w:pPr>
        <w:pStyle w:val="Heading1"/>
        <w:keepNext/>
        <w:keepLines/>
      </w:pPr>
      <w:r w:rsidRPr="00634649">
        <w:rPr>
          <w:b/>
        </w:rPr>
        <w:t>Wymogi aktu w sprawie gospodarki o obiegu zamkniętym</w:t>
      </w:r>
    </w:p>
    <w:p w14:paraId="57771AD1" w14:textId="77777777" w:rsidR="00567040" w:rsidRPr="00634649" w:rsidRDefault="00567040" w:rsidP="00BB5134">
      <w:pPr>
        <w:keepNext/>
        <w:keepLines/>
      </w:pPr>
    </w:p>
    <w:p w14:paraId="152BF34C" w14:textId="39FC7924" w:rsidR="00567040" w:rsidRPr="00634649" w:rsidRDefault="00567040" w:rsidP="00BB5134">
      <w:pPr>
        <w:pStyle w:val="Heading2"/>
      </w:pPr>
      <w:r w:rsidRPr="00634649">
        <w:t xml:space="preserve">Należy dalej opracowywać nowe wskaźniki i udoskonalać kluczowe wskaźniki efektywności dotyczące powtórnego wykorzystania materiałów. Platforma ECESP – jako ośrodek </w:t>
      </w:r>
      <w:r w:rsidRPr="00634649">
        <w:lastRenderedPageBreak/>
        <w:t>ukierunkowanej międzysektorowej wiedzy fachowej – powinna służyć zapewnieniu jasności, adekwatności i skuteczności tych wskaźników.</w:t>
      </w:r>
    </w:p>
    <w:p w14:paraId="2F853736" w14:textId="77777777" w:rsidR="00567040" w:rsidRPr="00634649" w:rsidRDefault="00567040" w:rsidP="00BB5134"/>
    <w:p w14:paraId="75D76D9A" w14:textId="03BAFCB0" w:rsidR="00567040" w:rsidRPr="00634649" w:rsidRDefault="00567040" w:rsidP="00BB5134">
      <w:pPr>
        <w:pStyle w:val="Heading2"/>
      </w:pPr>
      <w:r w:rsidRPr="00634649">
        <w:t>Obieg zamknięty należy uznać za strategiczne narzędzie nie tylko dla miast, ale także dla regionów wiejskich i oddalonych, wspierające rewitalizację i zwiększające odporność na szczeblu lokalnym, regionalnym, krajowym i unijnym. Społeczeństwo obywatelskie i podmioty gospodarki społecznej powinny być beneficjentami gospodarki o obiegu zamkniętym, dlatego należy traktować je jako aktywnych uczestników współkształtujących tę transformację. Sprawiedliwa transformacja powinna być podstawową zasadą aktu. Produkty i usługi o obiegu zamkniętym muszą pozostać przystępne cenowo i przyczyniać się do spójności społecznej, a nie tylko konkurencyjności. Obywatele, społeczności, spółdzielnie i przedsiębiorstwa społeczne powinny odgrywać znaczącą rolę w łańcuchach wartości o obiegu zamkniętym, otrzymując wsparcie poprzez zachęty i uproszczone ścieżki uczestnictwa.</w:t>
      </w:r>
    </w:p>
    <w:p w14:paraId="6494A581" w14:textId="77777777" w:rsidR="00567040" w:rsidRPr="00634649" w:rsidRDefault="00567040" w:rsidP="00BB5134"/>
    <w:p w14:paraId="359E29BE" w14:textId="28EAF4F7" w:rsidR="00567040" w:rsidRPr="00634649" w:rsidRDefault="00567040" w:rsidP="00BB5134">
      <w:pPr>
        <w:pStyle w:val="Heading2"/>
      </w:pPr>
      <w:r w:rsidRPr="00634649">
        <w:t>EKES wskazuje na swoje wcześniejsze opinie w sprawie środków wykraczających poza PKB</w:t>
      </w:r>
      <w:r w:rsidR="008C0137" w:rsidRPr="00634649">
        <w:rPr>
          <w:rStyle w:val="FootnoteReference"/>
        </w:rPr>
        <w:footnoteReference w:id="8"/>
      </w:r>
      <w:r w:rsidRPr="00634649">
        <w:t xml:space="preserve"> i</w:t>
      </w:r>
      <w:r w:rsidR="00541133">
        <w:t> </w:t>
      </w:r>
      <w:r w:rsidRPr="00634649">
        <w:t>tworzenia gospodarki dobrobytu</w:t>
      </w:r>
      <w:r w:rsidR="00037AEE" w:rsidRPr="00634649">
        <w:rPr>
          <w:rStyle w:val="FootnoteReference"/>
        </w:rPr>
        <w:footnoteReference w:id="9"/>
      </w:r>
      <w:r w:rsidRPr="00634649">
        <w:t xml:space="preserve"> jako na podstawę do opracowania nowych metod pomiaru sprawiedliwej transformacji w kierunku gospodarki nieliniowej.</w:t>
      </w:r>
    </w:p>
    <w:p w14:paraId="0FB43CBC" w14:textId="77777777" w:rsidR="00567040" w:rsidRPr="00634649" w:rsidRDefault="00567040" w:rsidP="00BB5134"/>
    <w:p w14:paraId="108AC28E" w14:textId="7D43A69A" w:rsidR="00567040" w:rsidRPr="00634649" w:rsidRDefault="00567040" w:rsidP="00BB5134">
      <w:pPr>
        <w:pStyle w:val="Heading2"/>
      </w:pPr>
      <w:r w:rsidRPr="00634649">
        <w:t>Akt w sprawie gospodarki o obiegu zamkniętym powinien wysłać sektorowi prywatnemu jasny i wiarygodny sygnał, że inwestycje mające na celu wypełnienie luki w obiegu zamkniętym są rentowne i bezpieczne, a tym samym powinien sprzyjać zwiększaniu skali rozwiązań opartych na obiegu zamkniętym. Obejmuje to zapewnienie długoterminowej pewności polityki, zmniejszenie fragmentacji regulacyjnej i rynkowej oraz dostosowanie zachęt finansowych do celów związanych z obiegiem zamkniętym.</w:t>
      </w:r>
    </w:p>
    <w:p w14:paraId="1A7814CD" w14:textId="61E63197" w:rsidR="00567040" w:rsidRPr="00634649" w:rsidRDefault="00567040" w:rsidP="00BB5134"/>
    <w:p w14:paraId="3F0C25CC" w14:textId="02C03157" w:rsidR="00567040" w:rsidRPr="00634649" w:rsidRDefault="00567040" w:rsidP="00BB5134">
      <w:pPr>
        <w:pStyle w:val="Heading2"/>
      </w:pPr>
      <w:r w:rsidRPr="00634649">
        <w:t>Obieg zamknięty powinien być wyraźnie powiązany z ograniczeniem zależności od importu surowców krytycznych do UE, zwiększeniem wystarczalności, z celami klimatycznymi, ze zmniejszeniem śladu ekologicznego oraz z ograniczeniem zależności od paliw kopalnych. W</w:t>
      </w:r>
      <w:r w:rsidR="00541133">
        <w:t> </w:t>
      </w:r>
      <w:r w:rsidRPr="00634649">
        <w:t>obliczu nasilającej się globalnej rywalizacji o zasoby ten strategiczny wymiar nabiera jeszcze większego znaczenia.</w:t>
      </w:r>
    </w:p>
    <w:p w14:paraId="5012DADA" w14:textId="77777777" w:rsidR="00567040" w:rsidRPr="00634649" w:rsidRDefault="00567040" w:rsidP="00BB5134"/>
    <w:p w14:paraId="1E5F056C" w14:textId="7C21142F" w:rsidR="00BD4166" w:rsidRPr="00634649" w:rsidRDefault="00BD4166" w:rsidP="00BB5134">
      <w:pPr>
        <w:pStyle w:val="Heading2"/>
        <w:rPr>
          <w:rFonts w:eastAsia="Aptos"/>
        </w:rPr>
      </w:pPr>
      <w:r w:rsidRPr="00634649">
        <w:t>Dobrze wyważone środki fiskalne, np. obniżone stawki VAT, uproszczone procedury marży lub podobne środki dostosowane do produktów o wyższej wydajności w zakresie obiegu zamkniętego, mogą jeszcze bardziej poprawić konkurencyjność rozwiązań opartych na obiegu zamkniętym. Dobór tych środków powinien opierać się na obiektywnych kryteriach.</w:t>
      </w:r>
    </w:p>
    <w:p w14:paraId="43869430" w14:textId="77777777" w:rsidR="00BD4166" w:rsidRPr="00634649" w:rsidRDefault="00BD4166" w:rsidP="00BB5134"/>
    <w:p w14:paraId="6052ACEA" w14:textId="1F993C94" w:rsidR="00F1008D" w:rsidRPr="00634649" w:rsidRDefault="00F1008D" w:rsidP="00BB5134">
      <w:pPr>
        <w:pStyle w:val="Heading2"/>
      </w:pPr>
      <w:r w:rsidRPr="00634649">
        <w:t>Ukierunkowane środki fiskalne, w tym opodatkowanie, mogą być kluczowym czynnikiem umożliwiającym przejście na gospodarkę o obiegu zamkniętym. Warto zbadać możliwość zwolnienia surowców wtórnych z VAT. Bodźce podatkowe powinny być adresowane do przedsiębiorstw inwestujących w naprawę, ponowne użycie, odzysk i wykorzystanie surowców wtórnych.</w:t>
      </w:r>
    </w:p>
    <w:p w14:paraId="63A00BC2" w14:textId="77777777" w:rsidR="00F1008D" w:rsidRPr="00634649" w:rsidRDefault="00F1008D" w:rsidP="00BB5134"/>
    <w:p w14:paraId="76DAA97B" w14:textId="0CA826D4" w:rsidR="00742256" w:rsidRPr="00634649" w:rsidRDefault="00F1008D" w:rsidP="00BB5134">
      <w:pPr>
        <w:pStyle w:val="Heading2"/>
      </w:pPr>
      <w:r w:rsidRPr="00634649">
        <w:lastRenderedPageBreak/>
        <w:t>Aby umożliwić inwestowanie w obieg zamknięty, trzeba zapewnić jego mierzalność. Poprzez znormalizowane wskaźniki, ramy sprawozdawczości i systemy certyfikacji zmniejszy się niepewność inwestycji i zyska zaufanie inwestorów. Obecne ramy gospodarcze są nadal strukturalnie nastawione na modele liniowe. Dlatego wskaźniki muszą być zaprojektowane tak, by odzwierciedlać i korygować tę stronniczość, a nie tylko rejestrować przepływy materiałów. Ułatwi to sprawne funkcjonowanie jednolitego rynku i większe wykorzystanie instrumentów inwestycyjnych.</w:t>
      </w:r>
    </w:p>
    <w:p w14:paraId="2A5CD9BB" w14:textId="77777777" w:rsidR="00567040" w:rsidRPr="00634649" w:rsidRDefault="00567040" w:rsidP="00BB5134"/>
    <w:p w14:paraId="47199EBE" w14:textId="5B4482DD" w:rsidR="00567040" w:rsidRPr="00634649" w:rsidRDefault="00567040" w:rsidP="00BB5134">
      <w:pPr>
        <w:pStyle w:val="Heading2"/>
      </w:pPr>
      <w:r w:rsidRPr="00634649">
        <w:t>Należy zająć się kwestią przystępności cenowej produktów i usług o zamkniętym cyklu życia. Potrzebne są zachęty, aby skłonić społeczeństwo do zmiany postaw, a rynek – do stworzenia warunków sprzyjających dokonywaniu przez konsumentów wyborów zgodnych z zasadami gospodarki o obiegu zamkniętym.</w:t>
      </w:r>
    </w:p>
    <w:p w14:paraId="3CEBC7A0" w14:textId="77777777" w:rsidR="00567040" w:rsidRPr="00634649" w:rsidRDefault="00567040" w:rsidP="00BB5134"/>
    <w:p w14:paraId="35E0672E" w14:textId="238E6485" w:rsidR="00567040" w:rsidRPr="00634649" w:rsidRDefault="00D36020" w:rsidP="00BB5134">
      <w:pPr>
        <w:pStyle w:val="Heading2"/>
      </w:pPr>
      <w:r w:rsidRPr="00634649">
        <w:t>Akt w sprawie gospodarki o obiegu zamkniętym musi być oparty na dowodach, proporcjonalny i skupiać się na:</w:t>
      </w:r>
    </w:p>
    <w:p w14:paraId="32DA8406" w14:textId="77777777" w:rsidR="000235ED" w:rsidRPr="00634649" w:rsidRDefault="000235ED" w:rsidP="00BB5134"/>
    <w:p w14:paraId="7CE3316A" w14:textId="61125EBC" w:rsidR="00567040" w:rsidRPr="00634649" w:rsidRDefault="00567040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  <w:rPr>
          <w:szCs w:val="24"/>
        </w:rPr>
      </w:pPr>
      <w:r w:rsidRPr="00634649">
        <w:t>wzmocnieniu jednolitego rynku, zmniejszeniu fragmentacji i zapewnieniu pewności prawa w</w:t>
      </w:r>
      <w:r w:rsidR="00541133">
        <w:t> </w:t>
      </w:r>
      <w:r w:rsidRPr="00634649">
        <w:t>odniesieniu do inwestycji w łańcuchy wartości o obiegu zamkniętym;</w:t>
      </w:r>
    </w:p>
    <w:p w14:paraId="32EBAA51" w14:textId="53642AE1" w:rsidR="00567040" w:rsidRPr="00634649" w:rsidRDefault="00567040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  <w:rPr>
          <w:szCs w:val="24"/>
        </w:rPr>
      </w:pPr>
      <w:r w:rsidRPr="00634649">
        <w:t>wspieraniu rozwoju dobrze funkcjonujących rynków oraz, w stosownych przypadkach, popytu na surowce wtórne;</w:t>
      </w:r>
    </w:p>
    <w:p w14:paraId="15F1B42E" w14:textId="29E63902" w:rsidR="00567040" w:rsidRPr="00634649" w:rsidRDefault="00567040" w:rsidP="00BB5134">
      <w:pPr>
        <w:pStyle w:val="Header"/>
        <w:numPr>
          <w:ilvl w:val="0"/>
          <w:numId w:val="74"/>
        </w:numPr>
        <w:ind w:left="851" w:right="-1" w:hanging="284"/>
        <w:rPr>
          <w:b/>
          <w:bCs/>
          <w:szCs w:val="24"/>
        </w:rPr>
      </w:pPr>
      <w:r w:rsidRPr="00634649">
        <w:t>zapewnieniu skutecznego egzekwowania przepisów i równych warunków działania na całym świecie.</w:t>
      </w:r>
    </w:p>
    <w:p w14:paraId="6832E4CA" w14:textId="522495E6" w:rsidR="00A45BC2" w:rsidRPr="00634649" w:rsidRDefault="00A45BC2" w:rsidP="00BB5134">
      <w:pPr>
        <w:pStyle w:val="Header"/>
        <w:numPr>
          <w:ilvl w:val="0"/>
          <w:numId w:val="74"/>
        </w:numPr>
        <w:ind w:left="851" w:right="-1" w:hanging="284"/>
        <w:rPr>
          <w:iCs/>
          <w:szCs w:val="24"/>
        </w:rPr>
      </w:pPr>
      <w:r w:rsidRPr="00634649">
        <w:t>zapobieganiu wytwarzaniu odpadów i jego ograniczaniu oraz na zapewnieniu wysokiej jakości odzysku materiałów ze strumieni odpadów.</w:t>
      </w:r>
    </w:p>
    <w:p w14:paraId="51DFB572" w14:textId="5E3F9116" w:rsidR="00567040" w:rsidRPr="00634649" w:rsidRDefault="00CE6234" w:rsidP="00BB5134">
      <w:pPr>
        <w:pStyle w:val="Header"/>
        <w:numPr>
          <w:ilvl w:val="0"/>
          <w:numId w:val="74"/>
        </w:numPr>
        <w:ind w:left="851" w:right="-1" w:hanging="284"/>
      </w:pPr>
      <w:r w:rsidRPr="00634649">
        <w:t>zharmonizowanych definicjach odpadów, kryteriach zniesienia statusu odpadu na szczeblu UE oraz na wspólnych zasadach dotyczących transgranicznych przepływów materiałów.</w:t>
      </w:r>
    </w:p>
    <w:p w14:paraId="36637C11" w14:textId="77777777" w:rsidR="00742256" w:rsidRPr="00634649" w:rsidRDefault="00742256" w:rsidP="00BB5134"/>
    <w:p w14:paraId="02361176" w14:textId="29A36AA0" w:rsidR="00AA5D5E" w:rsidRPr="00634649" w:rsidRDefault="001A1D75" w:rsidP="00BB5134">
      <w:pPr>
        <w:pStyle w:val="Heading2"/>
        <w:rPr>
          <w:rFonts w:eastAsia="Aptos"/>
        </w:rPr>
      </w:pPr>
      <w:r w:rsidRPr="00634649">
        <w:t>Należy zachęcać do działań o obiegu zamkniętym wraz z ukierunkowanymi i proporcjonalnymi czynnikami zniechęcającymi, w stosownych przypadkach, w celu wspierania zapobiegania powstawaniu odpadów i odzysku o wyższej wartości. EKES popiera zharmonizowane opłaty i</w:t>
      </w:r>
      <w:r w:rsidR="00541133">
        <w:t> </w:t>
      </w:r>
      <w:r w:rsidRPr="00634649">
        <w:t>należności za składowanie oraz, w przypadku gdy istnieją niezbędne definicje infrastruktury i</w:t>
      </w:r>
      <w:r w:rsidR="00541133">
        <w:t> </w:t>
      </w:r>
      <w:r w:rsidRPr="00634649">
        <w:t>zdolności do recyklingu, za spalanie odpadów nadających się do recyklingu.</w:t>
      </w:r>
    </w:p>
    <w:p w14:paraId="3F90B96E" w14:textId="77777777" w:rsidR="00AA5D5E" w:rsidRPr="00634649" w:rsidRDefault="00AA5D5E" w:rsidP="00BB5134">
      <w:pPr>
        <w:rPr>
          <w:rFonts w:eastAsia="Aptos"/>
        </w:rPr>
      </w:pPr>
    </w:p>
    <w:p w14:paraId="0DFFB2B3" w14:textId="5B2CD9A2" w:rsidR="00567040" w:rsidRPr="00634649" w:rsidRDefault="00567040" w:rsidP="00BB5134">
      <w:pPr>
        <w:pStyle w:val="Heading2"/>
        <w:rPr>
          <w:rFonts w:eastAsia="Aptos"/>
        </w:rPr>
      </w:pPr>
      <w:r w:rsidRPr="00634649">
        <w:t>Należy zająć się problemem nieuczciwej konkurencji ze strony internetowych sprzedawców detalicznych spoza UE. Internetowe platformy handlowe skierowane do odbiorców na rynku europejskim i prowadzące na nim sprzedaż powinny ponosić odpowiedzialność za produkty, które sprzedają na rynku UE, m.in. poprzez przyjęcie na siebie obowiązków dla sprzedawców z</w:t>
      </w:r>
      <w:r w:rsidR="00541133">
        <w:t> </w:t>
      </w:r>
      <w:r w:rsidRPr="00634649">
        <w:t>państw trzecich z tytułu rozszerzonej odpowiedzialności producenta.</w:t>
      </w:r>
    </w:p>
    <w:p w14:paraId="25772F3B" w14:textId="77777777" w:rsidR="00567040" w:rsidRPr="00634649" w:rsidRDefault="00567040" w:rsidP="00BB5134"/>
    <w:p w14:paraId="7DA7A2AB" w14:textId="17B1EC3B" w:rsidR="00567040" w:rsidRPr="00634649" w:rsidRDefault="00567040" w:rsidP="00BB5134">
      <w:pPr>
        <w:pStyle w:val="Heading2"/>
      </w:pPr>
      <w:r w:rsidRPr="00634649">
        <w:t>Należy wykorzystać zamówienia publiczne. Kryteria powinny wykraczać poza sam udział materiałów z recyklingu i odzwierciedlać szersze aspekty obiegu zamkniętego, takie jak: trwałość, możliwość naprawy, możliwość modernizacji, modułowość, zdolność do recyklingu i</w:t>
      </w:r>
      <w:r w:rsidR="00541133">
        <w:t> </w:t>
      </w:r>
      <w:r w:rsidRPr="00634649">
        <w:t>wyniki pod względem emisji dwutlenku węgla. Niezbędne są przejrzyste szkolenia dla zamawiających.</w:t>
      </w:r>
    </w:p>
    <w:p w14:paraId="231881BE" w14:textId="77777777" w:rsidR="00567040" w:rsidRPr="00634649" w:rsidRDefault="00567040" w:rsidP="00BB5134"/>
    <w:p w14:paraId="7E36272B" w14:textId="7327CAD0" w:rsidR="00567040" w:rsidRPr="00634649" w:rsidRDefault="004B6A24" w:rsidP="00BB5134">
      <w:pPr>
        <w:pStyle w:val="Heading2"/>
      </w:pPr>
      <w:r w:rsidRPr="00634649">
        <w:lastRenderedPageBreak/>
        <w:t>Akt w sprawie gospodarki o obiegu zamkniętym musi prowadzić do skutecznej harmonizacji struktury rozszerzonej odpowiedzialności producenta w odniesieniu do istniejących i przyszłych strumieni produktów i odpadów objętych prawodawstwem UE. Obecne systemy krajowe nakładają zbędne obciążenia finansowe i administracyjne, co ogranicza korzyści skali, nieodzowne w przypadku specjalistycznych operacji recyklingu. Transgraniczne przepływy materiałów w UE mają zasadnicze znaczenie dla dopasowania podaży i popytu. Jest to konieczne dla stworzenia bardziej zintegrowanego i wydajnego europejskiego rynku surowców wtórnych, w tym surowców organicznych.</w:t>
      </w:r>
    </w:p>
    <w:p w14:paraId="7E8991F5" w14:textId="77777777" w:rsidR="00567040" w:rsidRPr="00634649" w:rsidRDefault="00567040" w:rsidP="00BB5134">
      <w:pPr>
        <w:rPr>
          <w:rFonts w:cs="Arial"/>
        </w:rPr>
      </w:pPr>
    </w:p>
    <w:p w14:paraId="75A16A0B" w14:textId="2D64B637" w:rsidR="00567040" w:rsidRPr="00634649" w:rsidRDefault="00567040" w:rsidP="00BB5134">
      <w:pPr>
        <w:pStyle w:val="Heading2"/>
      </w:pPr>
      <w:r w:rsidRPr="00634649">
        <w:t>Należy określić najlepsze praktyki krajowe w zakresie wdrażania rozszerzonej odpowiedzialności producenta, wymieniać się nimi i propagować je w całej UE. Pomoże to w</w:t>
      </w:r>
      <w:r w:rsidR="00541133">
        <w:t> </w:t>
      </w:r>
      <w:r w:rsidRPr="00634649">
        <w:t>transferze wiedzy i umożliwi powielenie skutecznych rozwiązań we wszystkich państwach członkowskich. W tym celu warto zapewnić platformie ECESP odpowiednie zasoby.</w:t>
      </w:r>
    </w:p>
    <w:p w14:paraId="4C6E29B2" w14:textId="77777777" w:rsidR="00567040" w:rsidRPr="00634649" w:rsidRDefault="00567040" w:rsidP="00BB5134"/>
    <w:p w14:paraId="39427BB0" w14:textId="5AF2D37F" w:rsidR="00567040" w:rsidRPr="00634649" w:rsidRDefault="00C03633" w:rsidP="00BB5134">
      <w:pPr>
        <w:pStyle w:val="Heading2"/>
      </w:pPr>
      <w:r w:rsidRPr="00634649">
        <w:t xml:space="preserve"> Na niektóre materiały rośnie popyt konkurencyjny spoza UE. Zapobieganie wyciekowi strategicznych zasobów pozwoli funkcjonować rynkom materiałów wtórnych i będzie sprzyjać realizacji celów w zakresie rozszerzonej odpowiedzialności producenta. Poprawi to dostępność i</w:t>
      </w:r>
      <w:r w:rsidR="00541133">
        <w:t> </w:t>
      </w:r>
      <w:r w:rsidRPr="00634649">
        <w:t xml:space="preserve">przystępność cenową wysokiej jakości recyklatów i innych materiałów. </w:t>
      </w:r>
    </w:p>
    <w:p w14:paraId="6ED90FC2" w14:textId="77777777" w:rsidR="00742256" w:rsidRPr="00634649" w:rsidRDefault="00742256" w:rsidP="00BB5134"/>
    <w:p w14:paraId="1A018A8B" w14:textId="7E6814F2" w:rsidR="00567040" w:rsidRPr="00634649" w:rsidRDefault="00567040" w:rsidP="00BB5134">
      <w:pPr>
        <w:pStyle w:val="Heading2"/>
      </w:pPr>
      <w:r w:rsidRPr="00634649">
        <w:t>W europejskich ramach prawnych należy zapewnić skuteczne wdrażanie obowiązującego prawodawstwa i eliminować wszelkie luki, aby:</w:t>
      </w:r>
    </w:p>
    <w:p w14:paraId="482CC8EB" w14:textId="77777777" w:rsidR="00567040" w:rsidRPr="00634649" w:rsidRDefault="00567040" w:rsidP="00BB5134"/>
    <w:p w14:paraId="7924B1B7" w14:textId="47B10424" w:rsidR="00567040" w:rsidRPr="00634649" w:rsidRDefault="005372D5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</w:pPr>
      <w:r w:rsidRPr="00634649">
        <w:t>na nowo przemyśleć projekt produktu w celu zwiększenia jego trwałości i ułatwienia naprawy poprzez systematyczne stosowanie zasad ekoprojektu;</w:t>
      </w:r>
    </w:p>
    <w:p w14:paraId="0FC2AB3A" w14:textId="42DB4105" w:rsidR="00567040" w:rsidRPr="00634649" w:rsidRDefault="00567040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</w:pPr>
      <w:r w:rsidRPr="00634649">
        <w:t>przeciwdziałać celowemu postarzaniu produktów;</w:t>
      </w:r>
    </w:p>
    <w:p w14:paraId="3A2F795B" w14:textId="715585CD" w:rsidR="00567040" w:rsidRPr="00634649" w:rsidRDefault="00172C8F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</w:pPr>
      <w:r w:rsidRPr="00634649">
        <w:t>wspierać krótsze i bardziej odporne łańcuchy dostaw;</w:t>
      </w:r>
    </w:p>
    <w:p w14:paraId="1E3077B6" w14:textId="16F21132" w:rsidR="00742256" w:rsidRPr="00634649" w:rsidRDefault="00526A80" w:rsidP="00BB5134">
      <w:pPr>
        <w:pStyle w:val="Header"/>
        <w:numPr>
          <w:ilvl w:val="0"/>
          <w:numId w:val="74"/>
        </w:numPr>
        <w:tabs>
          <w:tab w:val="center" w:pos="4536"/>
          <w:tab w:val="right" w:pos="9072"/>
        </w:tabs>
        <w:ind w:left="851" w:right="-1" w:hanging="284"/>
      </w:pPr>
      <w:r w:rsidRPr="00634649">
        <w:t>opracować skuteczne systemy naprawy i odnawiania, tworząc lokalne miejsca pracy we wszystkich regionach.</w:t>
      </w:r>
    </w:p>
    <w:p w14:paraId="67C3F407" w14:textId="77777777" w:rsidR="00750EC2" w:rsidRPr="00634649" w:rsidRDefault="00750EC2" w:rsidP="00BB5134">
      <w:pPr>
        <w:tabs>
          <w:tab w:val="left" w:pos="1687"/>
        </w:tabs>
      </w:pPr>
    </w:p>
    <w:p w14:paraId="39E8CA60" w14:textId="72E7FB4E" w:rsidR="000A09E4" w:rsidRPr="00634649" w:rsidRDefault="000A09E4" w:rsidP="00BB5134">
      <w:r w:rsidRPr="00634649">
        <w:t>Bruksela, dnia 21 maja 2026 r.</w:t>
      </w:r>
    </w:p>
    <w:p w14:paraId="32A8A59C" w14:textId="77777777" w:rsidR="000A09E4" w:rsidRPr="00634649" w:rsidRDefault="000A09E4" w:rsidP="00BB5134"/>
    <w:p w14:paraId="0AE61842" w14:textId="77777777" w:rsidR="000A09E4" w:rsidRPr="00634649" w:rsidRDefault="000A09E4" w:rsidP="00BB5134"/>
    <w:p w14:paraId="77EDA797" w14:textId="168591B6" w:rsidR="00E575E8" w:rsidRPr="00634649" w:rsidRDefault="00E575E8" w:rsidP="00BB5134">
      <w:r w:rsidRPr="00634649">
        <w:t>Stojan CZUKANOW</w:t>
      </w:r>
    </w:p>
    <w:p w14:paraId="39AC5BDD" w14:textId="58BE6131" w:rsidR="00E575E8" w:rsidRPr="00634649" w:rsidRDefault="000A09E4" w:rsidP="00BB5134">
      <w:pPr>
        <w:tabs>
          <w:tab w:val="left" w:pos="1687"/>
        </w:tabs>
        <w:rPr>
          <w:i/>
          <w:iCs/>
        </w:rPr>
      </w:pPr>
      <w:r w:rsidRPr="00634649">
        <w:rPr>
          <w:i/>
        </w:rPr>
        <w:t>Przewodniczący Sekcji Rolnictwa, Rozwoju Wsi i Środowiska Naturalnego</w:t>
      </w:r>
    </w:p>
    <w:p w14:paraId="2CFCF442" w14:textId="4592B36E" w:rsidR="00F617B8" w:rsidRPr="00634649" w:rsidRDefault="03385EDC" w:rsidP="00BB5134">
      <w:pPr>
        <w:jc w:val="center"/>
      </w:pPr>
      <w:r w:rsidRPr="00634649">
        <w:t>_____________</w:t>
      </w:r>
    </w:p>
    <w:sectPr w:rsidR="00F617B8" w:rsidRPr="00634649" w:rsidSect="006346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4859" w14:textId="77777777" w:rsidR="008038B6" w:rsidRPr="00C357B9" w:rsidRDefault="008038B6">
      <w:r w:rsidRPr="00C357B9">
        <w:separator/>
      </w:r>
    </w:p>
  </w:endnote>
  <w:endnote w:type="continuationSeparator" w:id="0">
    <w:p w14:paraId="588AD5A5" w14:textId="77777777" w:rsidR="008038B6" w:rsidRPr="00C357B9" w:rsidRDefault="008038B6">
      <w:r w:rsidRPr="00C357B9">
        <w:continuationSeparator/>
      </w:r>
    </w:p>
  </w:endnote>
  <w:endnote w:type="continuationNotice" w:id="1">
    <w:p w14:paraId="7D9A2F28" w14:textId="77777777" w:rsidR="008038B6" w:rsidRPr="00C357B9" w:rsidRDefault="00803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E5EE" w14:textId="274AD497" w:rsidR="00E32DC6" w:rsidRPr="00BB5134" w:rsidRDefault="00BB5134" w:rsidP="00BB5134">
    <w:pPr>
      <w:pStyle w:val="Footer"/>
    </w:pPr>
    <w:r>
      <w:t xml:space="preserve">NAT/986 – EESC-2026-00688-00-01-AS-TRA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34EF9">
      <w:t>1</w:t>
    </w:r>
    <w:r>
      <w:fldChar w:fldCharType="end"/>
    </w:r>
    <w:r>
      <w:t>/</w:t>
    </w:r>
    <w:fldSimple w:instr=" NUMPAGES ">
      <w:r w:rsidR="00534EF9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0CBA" w14:textId="77777777" w:rsidR="00B82740" w:rsidRPr="00BB5134" w:rsidRDefault="00B82740" w:rsidP="00BB5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C589" w14:textId="3817BE2D" w:rsidR="00B82740" w:rsidRPr="00BB5134" w:rsidRDefault="00BB5134" w:rsidP="00BB5134">
    <w:pPr>
      <w:pStyle w:val="Footer"/>
    </w:pPr>
    <w:r>
      <w:t xml:space="preserve">NAT/986 – EESC-2026-00688-00-01-AS-TRA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2C19" w14:textId="77777777" w:rsidR="00B82740" w:rsidRPr="00BB5134" w:rsidRDefault="00B82740" w:rsidP="00BB5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FB8D" w14:textId="77777777" w:rsidR="008038B6" w:rsidRPr="00C357B9" w:rsidRDefault="008038B6">
      <w:r w:rsidRPr="00C357B9">
        <w:separator/>
      </w:r>
    </w:p>
  </w:footnote>
  <w:footnote w:type="continuationSeparator" w:id="0">
    <w:p w14:paraId="677B66DC" w14:textId="77777777" w:rsidR="008038B6" w:rsidRPr="00C357B9" w:rsidRDefault="008038B6">
      <w:r w:rsidRPr="00C357B9">
        <w:continuationSeparator/>
      </w:r>
    </w:p>
  </w:footnote>
  <w:footnote w:type="continuationNotice" w:id="1">
    <w:p w14:paraId="3F02AB1D" w14:textId="77777777" w:rsidR="008038B6" w:rsidRPr="00C357B9" w:rsidRDefault="008038B6">
      <w:pPr>
        <w:spacing w:line="240" w:lineRule="auto"/>
      </w:pPr>
    </w:p>
  </w:footnote>
  <w:footnote w:id="2">
    <w:p w14:paraId="28B5CBB6" w14:textId="47AF0712" w:rsidR="001523A1" w:rsidRPr="00634649" w:rsidRDefault="001523A1" w:rsidP="001523A1">
      <w:pPr>
        <w:pStyle w:val="FootnoteText"/>
      </w:pPr>
      <w:r w:rsidRPr="00634649">
        <w:rPr>
          <w:rStyle w:val="FootnoteReference"/>
        </w:rPr>
        <w:footnoteRef/>
      </w:r>
      <w:r w:rsidRPr="00634649">
        <w:rPr>
          <w:sz w:val="24"/>
          <w:vertAlign w:val="superscript"/>
        </w:rPr>
        <w:t xml:space="preserve"> </w:t>
      </w:r>
      <w:r w:rsidRPr="00634649">
        <w:tab/>
      </w:r>
      <w:hyperlink r:id="rId1" w:history="1">
        <w:r w:rsidRPr="00634649">
          <w:rPr>
            <w:rStyle w:val="Hyperlink"/>
            <w:color w:val="auto"/>
          </w:rPr>
          <w:t>Transitioning to a circular economy - Closing the investment gap in Europe</w:t>
        </w:r>
      </w:hyperlink>
      <w:r w:rsidRPr="00634649">
        <w:t>.</w:t>
      </w:r>
    </w:p>
  </w:footnote>
  <w:footnote w:id="3">
    <w:p w14:paraId="1E124EFD" w14:textId="76D07081" w:rsidR="00F617B8" w:rsidRPr="00634649" w:rsidRDefault="00F617B8">
      <w:pPr>
        <w:pStyle w:val="FootnoteText"/>
      </w:pPr>
      <w:r w:rsidRPr="00634649">
        <w:rPr>
          <w:rStyle w:val="FootnoteReference"/>
        </w:rPr>
        <w:footnoteRef/>
      </w:r>
      <w:r w:rsidRPr="00634649">
        <w:tab/>
        <w:t xml:space="preserve">Komunikat Komisji do Parlamentu Europejskiego, Rady, Europejskiego Komitetu Ekonomiczno-Społecznego i Komitetu Regionów: </w:t>
      </w:r>
      <w:hyperlink r:id="rId2" w:history="1">
        <w:r w:rsidRPr="00634649">
          <w:rPr>
            <w:rStyle w:val="Hyperlink"/>
            <w:color w:val="auto"/>
          </w:rPr>
          <w:t>Pakt dla czystego przemysłu: wspólny plan działania na rzecz konkurencyjności i dekarbonizacji</w:t>
        </w:r>
      </w:hyperlink>
      <w:r w:rsidRPr="00634649">
        <w:t xml:space="preserve"> – COM(2025) 85 final.</w:t>
      </w:r>
    </w:p>
  </w:footnote>
  <w:footnote w:id="4">
    <w:p w14:paraId="61045C8C" w14:textId="3C406FA3" w:rsidR="00B35804" w:rsidRPr="00634649" w:rsidRDefault="00B35804">
      <w:pPr>
        <w:pStyle w:val="FootnoteText"/>
      </w:pPr>
      <w:r w:rsidRPr="00634649">
        <w:rPr>
          <w:rStyle w:val="FootnoteReference"/>
        </w:rPr>
        <w:footnoteRef/>
      </w:r>
      <w:r w:rsidRPr="00634649">
        <w:rPr>
          <w:sz w:val="24"/>
          <w:vertAlign w:val="superscript"/>
        </w:rPr>
        <w:t xml:space="preserve"> </w:t>
      </w:r>
      <w:r w:rsidRPr="00634649">
        <w:tab/>
      </w:r>
      <w:hyperlink r:id="rId3" w:history="1">
        <w:r w:rsidRPr="00634649">
          <w:rPr>
            <w:rStyle w:val="Hyperlink"/>
            <w:color w:val="auto"/>
          </w:rPr>
          <w:t>circulareconomy.europa.eu</w:t>
        </w:r>
      </w:hyperlink>
    </w:p>
  </w:footnote>
  <w:footnote w:id="5">
    <w:p w14:paraId="6CED11D6" w14:textId="0738631A" w:rsidR="004A1089" w:rsidRPr="00634649" w:rsidRDefault="004A1089" w:rsidP="004A1089">
      <w:pPr>
        <w:pStyle w:val="FootnoteText"/>
      </w:pPr>
      <w:r w:rsidRPr="00634649">
        <w:rPr>
          <w:rStyle w:val="FootnoteReference"/>
        </w:rPr>
        <w:footnoteRef/>
      </w:r>
      <w:r w:rsidRPr="00634649">
        <w:tab/>
      </w:r>
      <w:hyperlink r:id="rId4" w:history="1">
        <w:r w:rsidRPr="00634649">
          <w:rPr>
            <w:rStyle w:val="Hyperlink"/>
            <w:color w:val="auto"/>
          </w:rPr>
          <w:t>Badanie Ellen MacArthur Foundation</w:t>
        </w:r>
      </w:hyperlink>
      <w:r w:rsidRPr="00634649">
        <w:t>.</w:t>
      </w:r>
    </w:p>
  </w:footnote>
  <w:footnote w:id="6">
    <w:p w14:paraId="3F919C93" w14:textId="638EFAA3" w:rsidR="00AA5D5E" w:rsidRPr="00634649" w:rsidRDefault="00AA5D5E">
      <w:pPr>
        <w:pStyle w:val="FootnoteText"/>
      </w:pPr>
      <w:r w:rsidRPr="00634649">
        <w:rPr>
          <w:rStyle w:val="FootnoteReference"/>
        </w:rPr>
        <w:footnoteRef/>
      </w:r>
      <w:r w:rsidRPr="00634649">
        <w:tab/>
        <w:t xml:space="preserve">Opinia EKES-u </w:t>
      </w:r>
      <w:hyperlink r:id="rId5" w:history="1">
        <w:r w:rsidRPr="00634649">
          <w:rPr>
            <w:rStyle w:val="Hyperlink"/>
            <w:color w:val="auto"/>
          </w:rPr>
          <w:t>„Unijna strategia dotycząca biogospodarki – W kierunku regeneracyjnej i konkurencyjnej biogospodarki opartej na obiegu zamkniętym”</w:t>
        </w:r>
      </w:hyperlink>
      <w:r w:rsidRPr="00634649">
        <w:t xml:space="preserve"> (jeszcze nieopublikowana w Dz.U.); opinia EKES-u „Kompleksowa strategia dotycząca materiałów ulegających biodegradacji opartych na zasobach przyrody w celu wspierania obiegu zamkniętego i efektywnego gospodarowania zasobami, wzmocnienia sektora rolno-spożywczego i zwiększenia skali biogospodarki UE” (jeszcze nieopublikowana w Dz.U.); Dz.U. C, C/2025/109, 10.1.2025, ELI: </w:t>
      </w:r>
      <w:hyperlink r:id="rId6" w:tgtFrame="_blank" w:tooltip="Dostęp do dokumentu poprzez identyfikator URI w systemie ELI." w:history="1">
        <w:r w:rsidRPr="00634649">
          <w:rPr>
            <w:rStyle w:val="Hyperlink"/>
            <w:color w:val="auto"/>
          </w:rPr>
          <w:t>http://data.europa.eu/eli/C/2025/109/oj</w:t>
        </w:r>
      </w:hyperlink>
      <w:r w:rsidRPr="00634649">
        <w:t>.</w:t>
      </w:r>
    </w:p>
  </w:footnote>
  <w:footnote w:id="7">
    <w:p w14:paraId="0B5CFEDD" w14:textId="0CA3D8E1" w:rsidR="00032025" w:rsidRPr="00634649" w:rsidRDefault="00032025" w:rsidP="00032025">
      <w:pPr>
        <w:pStyle w:val="FootnoteText"/>
      </w:pPr>
      <w:r w:rsidRPr="00634649">
        <w:rPr>
          <w:rStyle w:val="FootnoteReference"/>
        </w:rPr>
        <w:footnoteRef/>
      </w:r>
      <w:r w:rsidRPr="00634649">
        <w:tab/>
        <w:t>Dz.U.C, C/2026/73, 30.1.2026, ELI: </w:t>
      </w:r>
      <w:hyperlink r:id="rId7" w:tgtFrame="_blank" w:tooltip="Dostęp do dokumentu poprzez identyfikator URI w systemie ELI." w:history="1">
        <w:r w:rsidRPr="00634649">
          <w:rPr>
            <w:rStyle w:val="Hyperlink"/>
            <w:color w:val="auto"/>
          </w:rPr>
          <w:t>http://data.europa.eu/eli/C/2026/73/oj;</w:t>
        </w:r>
      </w:hyperlink>
      <w:r w:rsidRPr="00634649">
        <w:t xml:space="preserve"> Dz.U. C, C/2024/1591, 5.3.2024, ELI: </w:t>
      </w:r>
      <w:hyperlink r:id="rId8" w:tgtFrame="_blank" w:tooltip="Dostęp do dokumentu poprzez identyfikator URI w systemie ELI." w:history="1">
        <w:r w:rsidRPr="00634649">
          <w:rPr>
            <w:rStyle w:val="Hyperlink"/>
            <w:color w:val="auto"/>
          </w:rPr>
          <w:t>http://data.europa.eu/eli/C/2024/1591/oj;</w:t>
        </w:r>
      </w:hyperlink>
      <w:r w:rsidRPr="00634649">
        <w:t xml:space="preserve"> </w:t>
      </w:r>
      <w:hyperlink r:id="rId9" w:history="1">
        <w:r w:rsidRPr="00634649">
          <w:rPr>
            <w:rStyle w:val="Hyperlink"/>
            <w:color w:val="auto"/>
          </w:rPr>
          <w:t>Dz.U. C 194, 12.5.2022, s. 50.</w:t>
        </w:r>
      </w:hyperlink>
    </w:p>
  </w:footnote>
  <w:footnote w:id="8">
    <w:p w14:paraId="39EB7E2C" w14:textId="6C210D6E" w:rsidR="008C0137" w:rsidRPr="00634649" w:rsidRDefault="008C0137">
      <w:pPr>
        <w:pStyle w:val="FootnoteText"/>
      </w:pPr>
      <w:r w:rsidRPr="00634649">
        <w:rPr>
          <w:rStyle w:val="FootnoteReference"/>
        </w:rPr>
        <w:footnoteRef/>
      </w:r>
      <w:r w:rsidRPr="00634649">
        <w:rPr>
          <w:sz w:val="24"/>
          <w:vertAlign w:val="superscript"/>
        </w:rPr>
        <w:t xml:space="preserve"> </w:t>
      </w:r>
      <w:r w:rsidRPr="00634649">
        <w:tab/>
      </w:r>
      <w:hyperlink r:id="rId10" w:history="1">
        <w:r w:rsidRPr="00634649">
          <w:rPr>
            <w:rStyle w:val="Hyperlink"/>
            <w:color w:val="auto"/>
          </w:rPr>
          <w:t>Dz.U. C 152 z 6.4.2022, s. 7</w:t>
        </w:r>
      </w:hyperlink>
      <w:r w:rsidRPr="00634649">
        <w:t>.</w:t>
      </w:r>
    </w:p>
  </w:footnote>
  <w:footnote w:id="9">
    <w:p w14:paraId="58E8B931" w14:textId="54F9BB36" w:rsidR="00037AEE" w:rsidRPr="00634649" w:rsidRDefault="00037AEE">
      <w:pPr>
        <w:pStyle w:val="FootnoteText"/>
      </w:pPr>
      <w:r w:rsidRPr="00634649">
        <w:rPr>
          <w:rStyle w:val="FootnoteReference"/>
        </w:rPr>
        <w:footnoteRef/>
      </w:r>
      <w:r w:rsidRPr="00634649">
        <w:rPr>
          <w:sz w:val="24"/>
          <w:vertAlign w:val="superscript"/>
        </w:rPr>
        <w:t xml:space="preserve"> </w:t>
      </w:r>
      <w:r w:rsidRPr="00634649">
        <w:tab/>
        <w:t xml:space="preserve">Dz.U. C, C/2024/6879, 28.11.2024, ELI: </w:t>
      </w:r>
      <w:hyperlink r:id="rId11" w:history="1">
        <w:r w:rsidRPr="00634649">
          <w:rPr>
            <w:rStyle w:val="Hyperlink"/>
            <w:color w:val="auto"/>
          </w:rPr>
          <w:t>http://data.europa.eu/eli/C/2024/6879/oj</w:t>
        </w:r>
      </w:hyperlink>
      <w:r w:rsidRPr="0063464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EDC3" w14:textId="77777777" w:rsidR="00B82740" w:rsidRPr="00BB5134" w:rsidRDefault="00B82740" w:rsidP="00BB5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E47F" w14:textId="17672499" w:rsidR="00B82740" w:rsidRPr="00BB5134" w:rsidRDefault="00B82740" w:rsidP="00BB5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FDD2" w14:textId="77777777" w:rsidR="00B82740" w:rsidRPr="00BB5134" w:rsidRDefault="00B82740" w:rsidP="00BB5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1FC19F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02D0411"/>
    <w:multiLevelType w:val="hybridMultilevel"/>
    <w:tmpl w:val="9FAAB798"/>
    <w:lvl w:ilvl="0" w:tplc="9C54CC40">
      <w:start w:val="1"/>
      <w:numFmt w:val="bullet"/>
      <w:lvlText w:val="-"/>
      <w:lvlJc w:val="left"/>
      <w:pPr>
        <w:ind w:left="1287" w:hanging="360"/>
      </w:pPr>
      <w:rPr>
        <w:rFonts w:ascii="Arial" w:eastAsia="Times" w:hAnsi="Arial" w:cs="Arial" w:hint="default"/>
      </w:rPr>
    </w:lvl>
    <w:lvl w:ilvl="1" w:tplc="9C54CC40">
      <w:start w:val="1"/>
      <w:numFmt w:val="bullet"/>
      <w:lvlText w:val="-"/>
      <w:lvlJc w:val="left"/>
      <w:pPr>
        <w:ind w:left="927" w:hanging="360"/>
      </w:pPr>
      <w:rPr>
        <w:rFonts w:ascii="Arial" w:eastAsia="Times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B49326D"/>
    <w:multiLevelType w:val="hybridMultilevel"/>
    <w:tmpl w:val="8AD6A7B6"/>
    <w:lvl w:ilvl="0" w:tplc="E0B41C9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C3E6C97A">
      <w:numFmt w:val="bullet"/>
      <w:lvlText w:val="•"/>
      <w:lvlJc w:val="left"/>
      <w:pPr>
        <w:ind w:left="1851" w:hanging="564"/>
      </w:pPr>
      <w:rPr>
        <w:rFonts w:ascii="Times New Roman" w:eastAsia="Times New Roman" w:hAnsi="Times New Roman" w:cs="Times New Roman" w:hint="default"/>
      </w:rPr>
    </w:lvl>
    <w:lvl w:ilvl="2" w:tplc="0C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003106"/>
    <w:multiLevelType w:val="hybridMultilevel"/>
    <w:tmpl w:val="CB4A79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6CE7"/>
    <w:multiLevelType w:val="hybridMultilevel"/>
    <w:tmpl w:val="032C2AC2"/>
    <w:lvl w:ilvl="0" w:tplc="9C54CC40">
      <w:start w:val="1"/>
      <w:numFmt w:val="bullet"/>
      <w:lvlText w:val="-"/>
      <w:lvlJc w:val="left"/>
      <w:pPr>
        <w:ind w:left="927" w:hanging="360"/>
      </w:pPr>
      <w:rPr>
        <w:rFonts w:ascii="Arial" w:eastAsia="Times" w:hAnsi="Arial" w:cs="Arial" w:hint="default"/>
      </w:rPr>
    </w:lvl>
    <w:lvl w:ilvl="1" w:tplc="C3E6C97A">
      <w:numFmt w:val="bullet"/>
      <w:lvlText w:val="•"/>
      <w:lvlJc w:val="left"/>
      <w:pPr>
        <w:ind w:left="1851" w:hanging="564"/>
      </w:pPr>
      <w:rPr>
        <w:rFonts w:ascii="Times New Roman" w:eastAsia="Times New Roman" w:hAnsi="Times New Roman" w:cs="Times New Roman" w:hint="default"/>
      </w:rPr>
    </w:lvl>
    <w:lvl w:ilvl="2" w:tplc="0C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828516212">
    <w:abstractNumId w:val="0"/>
  </w:num>
  <w:num w:numId="2" w16cid:durableId="16740714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 w16cid:durableId="7693941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 w16cid:durableId="146893337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 w16cid:durableId="21196396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 w16cid:durableId="19681952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 w16cid:durableId="14275738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 w16cid:durableId="87014957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 w16cid:durableId="188529217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 w16cid:durableId="26353519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 w16cid:durableId="207781959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 w16cid:durableId="5062099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 w16cid:durableId="11330172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 w16cid:durableId="160468036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 w16cid:durableId="1185729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 w16cid:durableId="173384227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 w16cid:durableId="213316219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 w16cid:durableId="15580118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 w16cid:durableId="3687984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 w16cid:durableId="156895859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 w16cid:durableId="4949969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 w16cid:durableId="16091933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 w16cid:durableId="88306088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 w16cid:durableId="166424087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 w16cid:durableId="45718588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 w16cid:durableId="80458690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 w16cid:durableId="76515777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 w16cid:durableId="163305199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 w16cid:durableId="82971098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 w16cid:durableId="156652637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 w16cid:durableId="134913787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 w16cid:durableId="156075119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 w16cid:durableId="115880927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 w16cid:durableId="49152957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 w16cid:durableId="12289149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 w16cid:durableId="13663654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 w16cid:durableId="93671659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 w16cid:durableId="17592118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 w16cid:durableId="77525448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 w16cid:durableId="52320526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 w16cid:durableId="1018067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 w16cid:durableId="121242629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 w16cid:durableId="20509072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 w16cid:durableId="7785268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 w16cid:durableId="13681369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 w16cid:durableId="15624441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 w16cid:durableId="2996506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 w16cid:durableId="194190940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 w16cid:durableId="198334507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 w16cid:durableId="6336802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 w16cid:durableId="9120133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 w16cid:durableId="58530599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 w16cid:durableId="189361350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 w16cid:durableId="15306040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 w16cid:durableId="8496450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 w16cid:durableId="39775459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 w16cid:durableId="176823486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 w16cid:durableId="172409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 w16cid:durableId="2182507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 w16cid:durableId="8416975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 w16cid:durableId="17687685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 w16cid:durableId="9301897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 w16cid:durableId="75474200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 w16cid:durableId="118864517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 w16cid:durableId="441195997">
    <w:abstractNumId w:val="2"/>
  </w:num>
  <w:num w:numId="66" w16cid:durableId="725419506">
    <w:abstractNumId w:val="0"/>
  </w:num>
  <w:num w:numId="67" w16cid:durableId="867841346">
    <w:abstractNumId w:val="0"/>
  </w:num>
  <w:num w:numId="68" w16cid:durableId="206070025">
    <w:abstractNumId w:val="0"/>
  </w:num>
  <w:num w:numId="69" w16cid:durableId="1679188347">
    <w:abstractNumId w:val="0"/>
  </w:num>
  <w:num w:numId="70" w16cid:durableId="1992978964">
    <w:abstractNumId w:val="0"/>
  </w:num>
  <w:num w:numId="71" w16cid:durableId="1655525238">
    <w:abstractNumId w:val="6"/>
  </w:num>
  <w:num w:numId="72" w16cid:durableId="293877606">
    <w:abstractNumId w:val="5"/>
  </w:num>
  <w:num w:numId="73" w16cid:durableId="1065681740">
    <w:abstractNumId w:val="1"/>
  </w:num>
  <w:num w:numId="74" w16cid:durableId="315885329">
    <w:abstractNumId w:val="3"/>
  </w:num>
  <w:num w:numId="75" w16cid:durableId="847334446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8F"/>
    <w:rsid w:val="00005AB9"/>
    <w:rsid w:val="00005EB9"/>
    <w:rsid w:val="00006E24"/>
    <w:rsid w:val="00007A40"/>
    <w:rsid w:val="00011404"/>
    <w:rsid w:val="00011D33"/>
    <w:rsid w:val="000142FE"/>
    <w:rsid w:val="00016BB7"/>
    <w:rsid w:val="00020E6E"/>
    <w:rsid w:val="000235ED"/>
    <w:rsid w:val="00031A4B"/>
    <w:rsid w:val="00032025"/>
    <w:rsid w:val="00033913"/>
    <w:rsid w:val="00033E5B"/>
    <w:rsid w:val="000353CB"/>
    <w:rsid w:val="000357A8"/>
    <w:rsid w:val="00037AEE"/>
    <w:rsid w:val="00040647"/>
    <w:rsid w:val="000430A6"/>
    <w:rsid w:val="00044923"/>
    <w:rsid w:val="000462D5"/>
    <w:rsid w:val="000513FB"/>
    <w:rsid w:val="0005249C"/>
    <w:rsid w:val="000534A5"/>
    <w:rsid w:val="0005680D"/>
    <w:rsid w:val="00063FB4"/>
    <w:rsid w:val="0006409F"/>
    <w:rsid w:val="00064A8E"/>
    <w:rsid w:val="0006793E"/>
    <w:rsid w:val="0007255F"/>
    <w:rsid w:val="00072E0F"/>
    <w:rsid w:val="000735E5"/>
    <w:rsid w:val="0007392F"/>
    <w:rsid w:val="00077853"/>
    <w:rsid w:val="00087B39"/>
    <w:rsid w:val="0009095A"/>
    <w:rsid w:val="00094CDC"/>
    <w:rsid w:val="00096502"/>
    <w:rsid w:val="000A09E4"/>
    <w:rsid w:val="000A49BB"/>
    <w:rsid w:val="000A71A8"/>
    <w:rsid w:val="000B4307"/>
    <w:rsid w:val="000C3441"/>
    <w:rsid w:val="000C7F53"/>
    <w:rsid w:val="000D2F8E"/>
    <w:rsid w:val="000E0CC0"/>
    <w:rsid w:val="000E1341"/>
    <w:rsid w:val="000E13B2"/>
    <w:rsid w:val="000E1AD1"/>
    <w:rsid w:val="000E4F95"/>
    <w:rsid w:val="000F196B"/>
    <w:rsid w:val="000F1982"/>
    <w:rsid w:val="000F2DF2"/>
    <w:rsid w:val="001039AD"/>
    <w:rsid w:val="00105361"/>
    <w:rsid w:val="0010556D"/>
    <w:rsid w:val="001101F8"/>
    <w:rsid w:val="00110397"/>
    <w:rsid w:val="0011206F"/>
    <w:rsid w:val="0011656A"/>
    <w:rsid w:val="00121516"/>
    <w:rsid w:val="0012220C"/>
    <w:rsid w:val="00122EB0"/>
    <w:rsid w:val="00131223"/>
    <w:rsid w:val="00131DB9"/>
    <w:rsid w:val="0013664F"/>
    <w:rsid w:val="00136EA3"/>
    <w:rsid w:val="00137575"/>
    <w:rsid w:val="001432FD"/>
    <w:rsid w:val="00144231"/>
    <w:rsid w:val="00150434"/>
    <w:rsid w:val="001523A1"/>
    <w:rsid w:val="001539A4"/>
    <w:rsid w:val="00155721"/>
    <w:rsid w:val="001557CA"/>
    <w:rsid w:val="0015678B"/>
    <w:rsid w:val="001646C0"/>
    <w:rsid w:val="0016503F"/>
    <w:rsid w:val="0016674F"/>
    <w:rsid w:val="00167CA0"/>
    <w:rsid w:val="0017120D"/>
    <w:rsid w:val="00171464"/>
    <w:rsid w:val="001714F6"/>
    <w:rsid w:val="00171A37"/>
    <w:rsid w:val="00172C8F"/>
    <w:rsid w:val="00174060"/>
    <w:rsid w:val="00176168"/>
    <w:rsid w:val="00177158"/>
    <w:rsid w:val="001808A5"/>
    <w:rsid w:val="0018183D"/>
    <w:rsid w:val="00184572"/>
    <w:rsid w:val="00184FD4"/>
    <w:rsid w:val="00186B04"/>
    <w:rsid w:val="00186E7A"/>
    <w:rsid w:val="00186F1E"/>
    <w:rsid w:val="00190836"/>
    <w:rsid w:val="00193930"/>
    <w:rsid w:val="00194635"/>
    <w:rsid w:val="001963A5"/>
    <w:rsid w:val="00196F1E"/>
    <w:rsid w:val="00197FCA"/>
    <w:rsid w:val="001A1D75"/>
    <w:rsid w:val="001A27DB"/>
    <w:rsid w:val="001A30D6"/>
    <w:rsid w:val="001A4EBA"/>
    <w:rsid w:val="001A558F"/>
    <w:rsid w:val="001A6852"/>
    <w:rsid w:val="001B286A"/>
    <w:rsid w:val="001B2D02"/>
    <w:rsid w:val="001B3647"/>
    <w:rsid w:val="001B4D1D"/>
    <w:rsid w:val="001B77FA"/>
    <w:rsid w:val="001C0ABE"/>
    <w:rsid w:val="001C5852"/>
    <w:rsid w:val="001D0E43"/>
    <w:rsid w:val="001D2ADC"/>
    <w:rsid w:val="001D39FE"/>
    <w:rsid w:val="001D45F0"/>
    <w:rsid w:val="001D5F76"/>
    <w:rsid w:val="001E0C8B"/>
    <w:rsid w:val="001E4A33"/>
    <w:rsid w:val="001E5C27"/>
    <w:rsid w:val="001E5CFB"/>
    <w:rsid w:val="001F0FD2"/>
    <w:rsid w:val="001F13FB"/>
    <w:rsid w:val="001F5EC5"/>
    <w:rsid w:val="001F602B"/>
    <w:rsid w:val="001F6AC8"/>
    <w:rsid w:val="001F7245"/>
    <w:rsid w:val="00200508"/>
    <w:rsid w:val="002037D5"/>
    <w:rsid w:val="00206A99"/>
    <w:rsid w:val="00206F90"/>
    <w:rsid w:val="00210FED"/>
    <w:rsid w:val="00212B03"/>
    <w:rsid w:val="002131AE"/>
    <w:rsid w:val="00213A94"/>
    <w:rsid w:val="00215C10"/>
    <w:rsid w:val="00215C2D"/>
    <w:rsid w:val="002206EC"/>
    <w:rsid w:val="00222099"/>
    <w:rsid w:val="002252C4"/>
    <w:rsid w:val="0023183E"/>
    <w:rsid w:val="002339C5"/>
    <w:rsid w:val="00235138"/>
    <w:rsid w:val="00240622"/>
    <w:rsid w:val="00240994"/>
    <w:rsid w:val="00242388"/>
    <w:rsid w:val="00243E36"/>
    <w:rsid w:val="0024540B"/>
    <w:rsid w:val="00245EF4"/>
    <w:rsid w:val="00250E11"/>
    <w:rsid w:val="00251383"/>
    <w:rsid w:val="002522C9"/>
    <w:rsid w:val="00252A21"/>
    <w:rsid w:val="00253E4F"/>
    <w:rsid w:val="002542E4"/>
    <w:rsid w:val="00254A4A"/>
    <w:rsid w:val="00261053"/>
    <w:rsid w:val="00261F62"/>
    <w:rsid w:val="00262FDE"/>
    <w:rsid w:val="00263629"/>
    <w:rsid w:val="00275AA7"/>
    <w:rsid w:val="002769BD"/>
    <w:rsid w:val="00276A75"/>
    <w:rsid w:val="00276B95"/>
    <w:rsid w:val="00277A8A"/>
    <w:rsid w:val="002809EA"/>
    <w:rsid w:val="00281A81"/>
    <w:rsid w:val="00282DA8"/>
    <w:rsid w:val="00284962"/>
    <w:rsid w:val="00284CA6"/>
    <w:rsid w:val="002851BC"/>
    <w:rsid w:val="00287B0E"/>
    <w:rsid w:val="00287B48"/>
    <w:rsid w:val="00294D85"/>
    <w:rsid w:val="002A0B53"/>
    <w:rsid w:val="002A0EEF"/>
    <w:rsid w:val="002A2028"/>
    <w:rsid w:val="002A55EE"/>
    <w:rsid w:val="002A76F9"/>
    <w:rsid w:val="002B2DF7"/>
    <w:rsid w:val="002B41E0"/>
    <w:rsid w:val="002C135C"/>
    <w:rsid w:val="002C1DB1"/>
    <w:rsid w:val="002C3BF4"/>
    <w:rsid w:val="002C63E6"/>
    <w:rsid w:val="002C749F"/>
    <w:rsid w:val="002C78C7"/>
    <w:rsid w:val="002D0742"/>
    <w:rsid w:val="002D5FCD"/>
    <w:rsid w:val="002D6716"/>
    <w:rsid w:val="002D70A6"/>
    <w:rsid w:val="002E08BB"/>
    <w:rsid w:val="002E230E"/>
    <w:rsid w:val="002E2910"/>
    <w:rsid w:val="002E2DB2"/>
    <w:rsid w:val="002E6156"/>
    <w:rsid w:val="002E7B33"/>
    <w:rsid w:val="002F059B"/>
    <w:rsid w:val="002F10D9"/>
    <w:rsid w:val="002F359B"/>
    <w:rsid w:val="002F5B0B"/>
    <w:rsid w:val="00300924"/>
    <w:rsid w:val="0030596E"/>
    <w:rsid w:val="003073C3"/>
    <w:rsid w:val="00310051"/>
    <w:rsid w:val="00311CD9"/>
    <w:rsid w:val="00312299"/>
    <w:rsid w:val="00316957"/>
    <w:rsid w:val="00321782"/>
    <w:rsid w:val="003233A6"/>
    <w:rsid w:val="00323637"/>
    <w:rsid w:val="00324E8A"/>
    <w:rsid w:val="00330EB4"/>
    <w:rsid w:val="00331D87"/>
    <w:rsid w:val="00332850"/>
    <w:rsid w:val="00333CBE"/>
    <w:rsid w:val="00334478"/>
    <w:rsid w:val="003346B4"/>
    <w:rsid w:val="00334AE6"/>
    <w:rsid w:val="003355C5"/>
    <w:rsid w:val="003365D0"/>
    <w:rsid w:val="003405D9"/>
    <w:rsid w:val="003421FF"/>
    <w:rsid w:val="003423F2"/>
    <w:rsid w:val="00342D4A"/>
    <w:rsid w:val="00342D92"/>
    <w:rsid w:val="003439AB"/>
    <w:rsid w:val="003453EB"/>
    <w:rsid w:val="003468E7"/>
    <w:rsid w:val="00347A33"/>
    <w:rsid w:val="0035034C"/>
    <w:rsid w:val="003516A3"/>
    <w:rsid w:val="0035358B"/>
    <w:rsid w:val="00354695"/>
    <w:rsid w:val="0035549B"/>
    <w:rsid w:val="00357179"/>
    <w:rsid w:val="00362115"/>
    <w:rsid w:val="00363CD0"/>
    <w:rsid w:val="00366492"/>
    <w:rsid w:val="00372F0D"/>
    <w:rsid w:val="003755C8"/>
    <w:rsid w:val="00375687"/>
    <w:rsid w:val="00380AE0"/>
    <w:rsid w:val="00380FFD"/>
    <w:rsid w:val="00383324"/>
    <w:rsid w:val="00384EC8"/>
    <w:rsid w:val="00385E5B"/>
    <w:rsid w:val="00387A75"/>
    <w:rsid w:val="003904FD"/>
    <w:rsid w:val="00394254"/>
    <w:rsid w:val="003A049B"/>
    <w:rsid w:val="003A37F7"/>
    <w:rsid w:val="003A7F3F"/>
    <w:rsid w:val="003B0C32"/>
    <w:rsid w:val="003B3451"/>
    <w:rsid w:val="003C2BFB"/>
    <w:rsid w:val="003C3825"/>
    <w:rsid w:val="003C436B"/>
    <w:rsid w:val="003C5337"/>
    <w:rsid w:val="003C5F92"/>
    <w:rsid w:val="003C6112"/>
    <w:rsid w:val="003D0DB9"/>
    <w:rsid w:val="003D46AD"/>
    <w:rsid w:val="003D7A8C"/>
    <w:rsid w:val="003D7C00"/>
    <w:rsid w:val="003E2983"/>
    <w:rsid w:val="003E3CDE"/>
    <w:rsid w:val="003E56E5"/>
    <w:rsid w:val="003E7E60"/>
    <w:rsid w:val="003F00D4"/>
    <w:rsid w:val="003F2209"/>
    <w:rsid w:val="003F3D39"/>
    <w:rsid w:val="003F4253"/>
    <w:rsid w:val="003F646A"/>
    <w:rsid w:val="003F6761"/>
    <w:rsid w:val="003F6A0A"/>
    <w:rsid w:val="004009B3"/>
    <w:rsid w:val="00401C21"/>
    <w:rsid w:val="004024F5"/>
    <w:rsid w:val="00402DE1"/>
    <w:rsid w:val="00403D8B"/>
    <w:rsid w:val="004051B9"/>
    <w:rsid w:val="004058F1"/>
    <w:rsid w:val="00407E7D"/>
    <w:rsid w:val="00410FED"/>
    <w:rsid w:val="0041283D"/>
    <w:rsid w:val="00412EDE"/>
    <w:rsid w:val="00413AB4"/>
    <w:rsid w:val="00421373"/>
    <w:rsid w:val="00421FB7"/>
    <w:rsid w:val="00425453"/>
    <w:rsid w:val="0042763B"/>
    <w:rsid w:val="0043024C"/>
    <w:rsid w:val="00430321"/>
    <w:rsid w:val="00436706"/>
    <w:rsid w:val="00437D66"/>
    <w:rsid w:val="004431ED"/>
    <w:rsid w:val="00443D38"/>
    <w:rsid w:val="004454F8"/>
    <w:rsid w:val="00450E7A"/>
    <w:rsid w:val="004551A4"/>
    <w:rsid w:val="00456AF8"/>
    <w:rsid w:val="00470B15"/>
    <w:rsid w:val="00475869"/>
    <w:rsid w:val="00475A77"/>
    <w:rsid w:val="004765A3"/>
    <w:rsid w:val="00481187"/>
    <w:rsid w:val="004836A0"/>
    <w:rsid w:val="00486152"/>
    <w:rsid w:val="004866A9"/>
    <w:rsid w:val="0048754F"/>
    <w:rsid w:val="00491F9F"/>
    <w:rsid w:val="00492774"/>
    <w:rsid w:val="00493D37"/>
    <w:rsid w:val="00496D7A"/>
    <w:rsid w:val="004974F2"/>
    <w:rsid w:val="004A1089"/>
    <w:rsid w:val="004A31BC"/>
    <w:rsid w:val="004A3F1A"/>
    <w:rsid w:val="004A3F45"/>
    <w:rsid w:val="004A5738"/>
    <w:rsid w:val="004A5A27"/>
    <w:rsid w:val="004A62D4"/>
    <w:rsid w:val="004B16D6"/>
    <w:rsid w:val="004B1AFA"/>
    <w:rsid w:val="004B449E"/>
    <w:rsid w:val="004B601E"/>
    <w:rsid w:val="004B6A24"/>
    <w:rsid w:val="004B7088"/>
    <w:rsid w:val="004C3D1B"/>
    <w:rsid w:val="004C4D12"/>
    <w:rsid w:val="004C5B76"/>
    <w:rsid w:val="004D02CD"/>
    <w:rsid w:val="004D0699"/>
    <w:rsid w:val="004D0B24"/>
    <w:rsid w:val="004D4B90"/>
    <w:rsid w:val="004D6B95"/>
    <w:rsid w:val="004D7855"/>
    <w:rsid w:val="004D7F41"/>
    <w:rsid w:val="004E03A2"/>
    <w:rsid w:val="004E17B8"/>
    <w:rsid w:val="004E317E"/>
    <w:rsid w:val="004E3954"/>
    <w:rsid w:val="004E5856"/>
    <w:rsid w:val="004F0148"/>
    <w:rsid w:val="004F1948"/>
    <w:rsid w:val="004F2330"/>
    <w:rsid w:val="004F53C6"/>
    <w:rsid w:val="004F55C6"/>
    <w:rsid w:val="004F592C"/>
    <w:rsid w:val="004F69DB"/>
    <w:rsid w:val="004F6B87"/>
    <w:rsid w:val="004F74F2"/>
    <w:rsid w:val="00500804"/>
    <w:rsid w:val="00501127"/>
    <w:rsid w:val="00501A20"/>
    <w:rsid w:val="00501C2D"/>
    <w:rsid w:val="00501CE5"/>
    <w:rsid w:val="00502637"/>
    <w:rsid w:val="005068A9"/>
    <w:rsid w:val="00511140"/>
    <w:rsid w:val="005112F6"/>
    <w:rsid w:val="00513BA5"/>
    <w:rsid w:val="00513CFE"/>
    <w:rsid w:val="005204EB"/>
    <w:rsid w:val="00521E02"/>
    <w:rsid w:val="00523B6A"/>
    <w:rsid w:val="00525F6C"/>
    <w:rsid w:val="00526A80"/>
    <w:rsid w:val="00533C04"/>
    <w:rsid w:val="00533E2E"/>
    <w:rsid w:val="00534EF9"/>
    <w:rsid w:val="005372D5"/>
    <w:rsid w:val="005373A3"/>
    <w:rsid w:val="00541133"/>
    <w:rsid w:val="00546AB4"/>
    <w:rsid w:val="00550070"/>
    <w:rsid w:val="00550E33"/>
    <w:rsid w:val="005514E5"/>
    <w:rsid w:val="00552EFD"/>
    <w:rsid w:val="00563C84"/>
    <w:rsid w:val="00565323"/>
    <w:rsid w:val="00567040"/>
    <w:rsid w:val="00575722"/>
    <w:rsid w:val="005762F6"/>
    <w:rsid w:val="00584FBE"/>
    <w:rsid w:val="00585483"/>
    <w:rsid w:val="00587378"/>
    <w:rsid w:val="00587C05"/>
    <w:rsid w:val="00590AAB"/>
    <w:rsid w:val="005938C3"/>
    <w:rsid w:val="0059468C"/>
    <w:rsid w:val="00595125"/>
    <w:rsid w:val="00596F21"/>
    <w:rsid w:val="005B1CDD"/>
    <w:rsid w:val="005B1E19"/>
    <w:rsid w:val="005B55FC"/>
    <w:rsid w:val="005B6247"/>
    <w:rsid w:val="005C0169"/>
    <w:rsid w:val="005C28DD"/>
    <w:rsid w:val="005C2D5E"/>
    <w:rsid w:val="005C3A7F"/>
    <w:rsid w:val="005C3B81"/>
    <w:rsid w:val="005C650C"/>
    <w:rsid w:val="005C6B29"/>
    <w:rsid w:val="005D086C"/>
    <w:rsid w:val="005D11D3"/>
    <w:rsid w:val="005D4E1F"/>
    <w:rsid w:val="005D4FB3"/>
    <w:rsid w:val="005D7793"/>
    <w:rsid w:val="005E2F07"/>
    <w:rsid w:val="005E2FEA"/>
    <w:rsid w:val="005E511F"/>
    <w:rsid w:val="005E538F"/>
    <w:rsid w:val="005F314B"/>
    <w:rsid w:val="006040C2"/>
    <w:rsid w:val="00605216"/>
    <w:rsid w:val="00611AF2"/>
    <w:rsid w:val="0061212B"/>
    <w:rsid w:val="006127AF"/>
    <w:rsid w:val="0061331B"/>
    <w:rsid w:val="00613A98"/>
    <w:rsid w:val="00615FB2"/>
    <w:rsid w:val="006163B9"/>
    <w:rsid w:val="00617BD1"/>
    <w:rsid w:val="00617CE8"/>
    <w:rsid w:val="006239E5"/>
    <w:rsid w:val="006278A0"/>
    <w:rsid w:val="0063095F"/>
    <w:rsid w:val="00631CBD"/>
    <w:rsid w:val="00634649"/>
    <w:rsid w:val="0063497E"/>
    <w:rsid w:val="0063704F"/>
    <w:rsid w:val="0064451B"/>
    <w:rsid w:val="006467A8"/>
    <w:rsid w:val="00646AC2"/>
    <w:rsid w:val="00650390"/>
    <w:rsid w:val="00654BE6"/>
    <w:rsid w:val="00654DAB"/>
    <w:rsid w:val="00656501"/>
    <w:rsid w:val="006579DF"/>
    <w:rsid w:val="00660349"/>
    <w:rsid w:val="0066204A"/>
    <w:rsid w:val="00662E1A"/>
    <w:rsid w:val="0067010C"/>
    <w:rsid w:val="0067094D"/>
    <w:rsid w:val="00670E3C"/>
    <w:rsid w:val="00670FA2"/>
    <w:rsid w:val="006763F7"/>
    <w:rsid w:val="00677F57"/>
    <w:rsid w:val="00681088"/>
    <w:rsid w:val="00691F41"/>
    <w:rsid w:val="00692B90"/>
    <w:rsid w:val="006942EE"/>
    <w:rsid w:val="006944CC"/>
    <w:rsid w:val="0069577E"/>
    <w:rsid w:val="0069634B"/>
    <w:rsid w:val="00696623"/>
    <w:rsid w:val="006A04E9"/>
    <w:rsid w:val="006A078F"/>
    <w:rsid w:val="006A21BD"/>
    <w:rsid w:val="006A2847"/>
    <w:rsid w:val="006A4A03"/>
    <w:rsid w:val="006A4FEC"/>
    <w:rsid w:val="006A6D8E"/>
    <w:rsid w:val="006A7543"/>
    <w:rsid w:val="006B0096"/>
    <w:rsid w:val="006B725C"/>
    <w:rsid w:val="006C0D06"/>
    <w:rsid w:val="006C1923"/>
    <w:rsid w:val="006C273D"/>
    <w:rsid w:val="006C5C4F"/>
    <w:rsid w:val="006C6282"/>
    <w:rsid w:val="006C762A"/>
    <w:rsid w:val="006D19DC"/>
    <w:rsid w:val="006D5FF9"/>
    <w:rsid w:val="006D6D74"/>
    <w:rsid w:val="006E0772"/>
    <w:rsid w:val="006E0F86"/>
    <w:rsid w:val="006E2422"/>
    <w:rsid w:val="006E2B3E"/>
    <w:rsid w:val="006E79C5"/>
    <w:rsid w:val="006F0B15"/>
    <w:rsid w:val="006F0DCC"/>
    <w:rsid w:val="006F6DFB"/>
    <w:rsid w:val="00703ABF"/>
    <w:rsid w:val="00703DF9"/>
    <w:rsid w:val="007048EB"/>
    <w:rsid w:val="00704FBB"/>
    <w:rsid w:val="0070726A"/>
    <w:rsid w:val="007077BD"/>
    <w:rsid w:val="00711BE8"/>
    <w:rsid w:val="0071226B"/>
    <w:rsid w:val="00717040"/>
    <w:rsid w:val="00722C9B"/>
    <w:rsid w:val="0072406E"/>
    <w:rsid w:val="00733E52"/>
    <w:rsid w:val="00741377"/>
    <w:rsid w:val="00742256"/>
    <w:rsid w:val="00746E64"/>
    <w:rsid w:val="0075008B"/>
    <w:rsid w:val="00750EC2"/>
    <w:rsid w:val="007538D4"/>
    <w:rsid w:val="007622A7"/>
    <w:rsid w:val="00770ACA"/>
    <w:rsid w:val="007740F0"/>
    <w:rsid w:val="007750A2"/>
    <w:rsid w:val="007817D6"/>
    <w:rsid w:val="00781996"/>
    <w:rsid w:val="00781E1C"/>
    <w:rsid w:val="00786150"/>
    <w:rsid w:val="00787912"/>
    <w:rsid w:val="0079177A"/>
    <w:rsid w:val="00794836"/>
    <w:rsid w:val="007948D5"/>
    <w:rsid w:val="00797C2C"/>
    <w:rsid w:val="007A15C9"/>
    <w:rsid w:val="007A1B45"/>
    <w:rsid w:val="007A6676"/>
    <w:rsid w:val="007A6DC8"/>
    <w:rsid w:val="007B049E"/>
    <w:rsid w:val="007B63F3"/>
    <w:rsid w:val="007B7FF5"/>
    <w:rsid w:val="007C15BF"/>
    <w:rsid w:val="007C2A2C"/>
    <w:rsid w:val="007C3FC6"/>
    <w:rsid w:val="007D2CE9"/>
    <w:rsid w:val="007D429A"/>
    <w:rsid w:val="007D4389"/>
    <w:rsid w:val="007D4FED"/>
    <w:rsid w:val="007D54C2"/>
    <w:rsid w:val="007D58DE"/>
    <w:rsid w:val="007D69DA"/>
    <w:rsid w:val="007D70B1"/>
    <w:rsid w:val="007D7140"/>
    <w:rsid w:val="007E1CDB"/>
    <w:rsid w:val="007E2598"/>
    <w:rsid w:val="007E408C"/>
    <w:rsid w:val="007E50BF"/>
    <w:rsid w:val="007E7E21"/>
    <w:rsid w:val="007F0460"/>
    <w:rsid w:val="007F0DA2"/>
    <w:rsid w:val="007F39CE"/>
    <w:rsid w:val="007F5E0D"/>
    <w:rsid w:val="00801085"/>
    <w:rsid w:val="00801A89"/>
    <w:rsid w:val="008038B6"/>
    <w:rsid w:val="00804457"/>
    <w:rsid w:val="00812061"/>
    <w:rsid w:val="00812138"/>
    <w:rsid w:val="008151F2"/>
    <w:rsid w:val="00816D84"/>
    <w:rsid w:val="0081777A"/>
    <w:rsid w:val="008202A1"/>
    <w:rsid w:val="008210E0"/>
    <w:rsid w:val="0082252D"/>
    <w:rsid w:val="00824079"/>
    <w:rsid w:val="00831F0A"/>
    <w:rsid w:val="008330FE"/>
    <w:rsid w:val="00833A78"/>
    <w:rsid w:val="0083794C"/>
    <w:rsid w:val="008379B9"/>
    <w:rsid w:val="00840D84"/>
    <w:rsid w:val="00841E46"/>
    <w:rsid w:val="0084585F"/>
    <w:rsid w:val="00853E53"/>
    <w:rsid w:val="0085535C"/>
    <w:rsid w:val="00856D22"/>
    <w:rsid w:val="00864D76"/>
    <w:rsid w:val="008656C9"/>
    <w:rsid w:val="0086711C"/>
    <w:rsid w:val="00867535"/>
    <w:rsid w:val="00874164"/>
    <w:rsid w:val="00875C5B"/>
    <w:rsid w:val="00877BFC"/>
    <w:rsid w:val="0088041C"/>
    <w:rsid w:val="00883C5F"/>
    <w:rsid w:val="008853EB"/>
    <w:rsid w:val="00886CBB"/>
    <w:rsid w:val="0089102A"/>
    <w:rsid w:val="0089142B"/>
    <w:rsid w:val="00891C7D"/>
    <w:rsid w:val="00892FA7"/>
    <w:rsid w:val="00894803"/>
    <w:rsid w:val="008A3301"/>
    <w:rsid w:val="008A4DF1"/>
    <w:rsid w:val="008A5636"/>
    <w:rsid w:val="008A5FEA"/>
    <w:rsid w:val="008B125E"/>
    <w:rsid w:val="008B241C"/>
    <w:rsid w:val="008B3CB1"/>
    <w:rsid w:val="008B408B"/>
    <w:rsid w:val="008B4144"/>
    <w:rsid w:val="008B4F11"/>
    <w:rsid w:val="008B5167"/>
    <w:rsid w:val="008C0137"/>
    <w:rsid w:val="008C2362"/>
    <w:rsid w:val="008C3049"/>
    <w:rsid w:val="008C74D9"/>
    <w:rsid w:val="008D2871"/>
    <w:rsid w:val="008D4AE9"/>
    <w:rsid w:val="008D5345"/>
    <w:rsid w:val="008D5CF3"/>
    <w:rsid w:val="008D7D39"/>
    <w:rsid w:val="008E4063"/>
    <w:rsid w:val="008E4574"/>
    <w:rsid w:val="008E4F3B"/>
    <w:rsid w:val="008F4016"/>
    <w:rsid w:val="008F42FE"/>
    <w:rsid w:val="008F4A00"/>
    <w:rsid w:val="008F5402"/>
    <w:rsid w:val="008F639F"/>
    <w:rsid w:val="0090004A"/>
    <w:rsid w:val="0090053A"/>
    <w:rsid w:val="00901C2A"/>
    <w:rsid w:val="00904909"/>
    <w:rsid w:val="00910974"/>
    <w:rsid w:val="00910C8D"/>
    <w:rsid w:val="009118C7"/>
    <w:rsid w:val="00920BA1"/>
    <w:rsid w:val="00921904"/>
    <w:rsid w:val="009225B6"/>
    <w:rsid w:val="00923CD5"/>
    <w:rsid w:val="00925397"/>
    <w:rsid w:val="00930EFC"/>
    <w:rsid w:val="00932A46"/>
    <w:rsid w:val="00933A21"/>
    <w:rsid w:val="00933C85"/>
    <w:rsid w:val="00934C10"/>
    <w:rsid w:val="0093662A"/>
    <w:rsid w:val="00940338"/>
    <w:rsid w:val="0094060C"/>
    <w:rsid w:val="009429E5"/>
    <w:rsid w:val="00942C4B"/>
    <w:rsid w:val="00944196"/>
    <w:rsid w:val="00945F5E"/>
    <w:rsid w:val="00946C98"/>
    <w:rsid w:val="00954CFB"/>
    <w:rsid w:val="00955538"/>
    <w:rsid w:val="0096053F"/>
    <w:rsid w:val="009606A5"/>
    <w:rsid w:val="00961A9E"/>
    <w:rsid w:val="00962D0E"/>
    <w:rsid w:val="00962F1F"/>
    <w:rsid w:val="00963F6A"/>
    <w:rsid w:val="00965304"/>
    <w:rsid w:val="009707D0"/>
    <w:rsid w:val="00971293"/>
    <w:rsid w:val="00971E73"/>
    <w:rsid w:val="00973A3B"/>
    <w:rsid w:val="0097625E"/>
    <w:rsid w:val="00983EAE"/>
    <w:rsid w:val="0098760B"/>
    <w:rsid w:val="0098797F"/>
    <w:rsid w:val="00997580"/>
    <w:rsid w:val="009A11DD"/>
    <w:rsid w:val="009A128F"/>
    <w:rsid w:val="009A6A1D"/>
    <w:rsid w:val="009B0EDD"/>
    <w:rsid w:val="009B14E7"/>
    <w:rsid w:val="009B30AA"/>
    <w:rsid w:val="009B3996"/>
    <w:rsid w:val="009B3EE0"/>
    <w:rsid w:val="009B5217"/>
    <w:rsid w:val="009B5D46"/>
    <w:rsid w:val="009C3685"/>
    <w:rsid w:val="009C48DE"/>
    <w:rsid w:val="009C6C70"/>
    <w:rsid w:val="009D1B20"/>
    <w:rsid w:val="009D60D9"/>
    <w:rsid w:val="009D6F26"/>
    <w:rsid w:val="009E1424"/>
    <w:rsid w:val="009E15D4"/>
    <w:rsid w:val="009E1E1E"/>
    <w:rsid w:val="009E33B3"/>
    <w:rsid w:val="009E33E3"/>
    <w:rsid w:val="009E3F91"/>
    <w:rsid w:val="009E7F16"/>
    <w:rsid w:val="009F1E65"/>
    <w:rsid w:val="009F27F8"/>
    <w:rsid w:val="009F399A"/>
    <w:rsid w:val="009F5052"/>
    <w:rsid w:val="009F7895"/>
    <w:rsid w:val="00A03083"/>
    <w:rsid w:val="00A04C85"/>
    <w:rsid w:val="00A100F0"/>
    <w:rsid w:val="00A156E6"/>
    <w:rsid w:val="00A159E8"/>
    <w:rsid w:val="00A177C5"/>
    <w:rsid w:val="00A2542C"/>
    <w:rsid w:val="00A26432"/>
    <w:rsid w:val="00A26929"/>
    <w:rsid w:val="00A27D86"/>
    <w:rsid w:val="00A30A3D"/>
    <w:rsid w:val="00A323D2"/>
    <w:rsid w:val="00A33151"/>
    <w:rsid w:val="00A36970"/>
    <w:rsid w:val="00A40306"/>
    <w:rsid w:val="00A41EB4"/>
    <w:rsid w:val="00A44BFF"/>
    <w:rsid w:val="00A45381"/>
    <w:rsid w:val="00A457B5"/>
    <w:rsid w:val="00A45BC2"/>
    <w:rsid w:val="00A501A3"/>
    <w:rsid w:val="00A501E3"/>
    <w:rsid w:val="00A50F0C"/>
    <w:rsid w:val="00A5420D"/>
    <w:rsid w:val="00A56441"/>
    <w:rsid w:val="00A62251"/>
    <w:rsid w:val="00A6446B"/>
    <w:rsid w:val="00A73205"/>
    <w:rsid w:val="00A736DD"/>
    <w:rsid w:val="00A744E8"/>
    <w:rsid w:val="00A76D17"/>
    <w:rsid w:val="00A82243"/>
    <w:rsid w:val="00A82869"/>
    <w:rsid w:val="00A84BB9"/>
    <w:rsid w:val="00A8758C"/>
    <w:rsid w:val="00A875A2"/>
    <w:rsid w:val="00A95069"/>
    <w:rsid w:val="00A9705C"/>
    <w:rsid w:val="00AA127E"/>
    <w:rsid w:val="00AA19AE"/>
    <w:rsid w:val="00AA423D"/>
    <w:rsid w:val="00AA5D5E"/>
    <w:rsid w:val="00AA6A95"/>
    <w:rsid w:val="00AB10DE"/>
    <w:rsid w:val="00AB1FE1"/>
    <w:rsid w:val="00AB358A"/>
    <w:rsid w:val="00AB3668"/>
    <w:rsid w:val="00AB5ED7"/>
    <w:rsid w:val="00AB6C05"/>
    <w:rsid w:val="00AC0B4C"/>
    <w:rsid w:val="00AC764E"/>
    <w:rsid w:val="00AD0AEE"/>
    <w:rsid w:val="00AD314F"/>
    <w:rsid w:val="00AD49E3"/>
    <w:rsid w:val="00AD4B4F"/>
    <w:rsid w:val="00AD6815"/>
    <w:rsid w:val="00AE00A8"/>
    <w:rsid w:val="00AE047E"/>
    <w:rsid w:val="00AE0604"/>
    <w:rsid w:val="00AE5226"/>
    <w:rsid w:val="00AE7BB5"/>
    <w:rsid w:val="00AF0616"/>
    <w:rsid w:val="00AF0E28"/>
    <w:rsid w:val="00AF3884"/>
    <w:rsid w:val="00AF6F9B"/>
    <w:rsid w:val="00B01409"/>
    <w:rsid w:val="00B10DBD"/>
    <w:rsid w:val="00B13179"/>
    <w:rsid w:val="00B146FB"/>
    <w:rsid w:val="00B15629"/>
    <w:rsid w:val="00B16902"/>
    <w:rsid w:val="00B214F2"/>
    <w:rsid w:val="00B2372C"/>
    <w:rsid w:val="00B24C32"/>
    <w:rsid w:val="00B31525"/>
    <w:rsid w:val="00B32F70"/>
    <w:rsid w:val="00B3439F"/>
    <w:rsid w:val="00B35804"/>
    <w:rsid w:val="00B373D0"/>
    <w:rsid w:val="00B43AAA"/>
    <w:rsid w:val="00B45203"/>
    <w:rsid w:val="00B454AA"/>
    <w:rsid w:val="00B5075C"/>
    <w:rsid w:val="00B52FA1"/>
    <w:rsid w:val="00B53139"/>
    <w:rsid w:val="00B562CE"/>
    <w:rsid w:val="00B62DE2"/>
    <w:rsid w:val="00B74417"/>
    <w:rsid w:val="00B745A5"/>
    <w:rsid w:val="00B77246"/>
    <w:rsid w:val="00B77958"/>
    <w:rsid w:val="00B82740"/>
    <w:rsid w:val="00B866CD"/>
    <w:rsid w:val="00B87464"/>
    <w:rsid w:val="00B93034"/>
    <w:rsid w:val="00B93623"/>
    <w:rsid w:val="00B93A81"/>
    <w:rsid w:val="00B97C5D"/>
    <w:rsid w:val="00BA1290"/>
    <w:rsid w:val="00BB00A2"/>
    <w:rsid w:val="00BB2792"/>
    <w:rsid w:val="00BB5134"/>
    <w:rsid w:val="00BB76BF"/>
    <w:rsid w:val="00BC1AD1"/>
    <w:rsid w:val="00BC1D82"/>
    <w:rsid w:val="00BC4A58"/>
    <w:rsid w:val="00BC613B"/>
    <w:rsid w:val="00BD109C"/>
    <w:rsid w:val="00BD1922"/>
    <w:rsid w:val="00BD4166"/>
    <w:rsid w:val="00BD51D9"/>
    <w:rsid w:val="00BD64E2"/>
    <w:rsid w:val="00BE3216"/>
    <w:rsid w:val="00BE4995"/>
    <w:rsid w:val="00BE5E13"/>
    <w:rsid w:val="00BF3253"/>
    <w:rsid w:val="00BF36F1"/>
    <w:rsid w:val="00BF429A"/>
    <w:rsid w:val="00BF62BE"/>
    <w:rsid w:val="00C00018"/>
    <w:rsid w:val="00C00C2E"/>
    <w:rsid w:val="00C03633"/>
    <w:rsid w:val="00C056C3"/>
    <w:rsid w:val="00C07126"/>
    <w:rsid w:val="00C12A51"/>
    <w:rsid w:val="00C137B2"/>
    <w:rsid w:val="00C156C8"/>
    <w:rsid w:val="00C16853"/>
    <w:rsid w:val="00C20050"/>
    <w:rsid w:val="00C26091"/>
    <w:rsid w:val="00C263F0"/>
    <w:rsid w:val="00C26AAE"/>
    <w:rsid w:val="00C26CAD"/>
    <w:rsid w:val="00C31C9C"/>
    <w:rsid w:val="00C33D41"/>
    <w:rsid w:val="00C340EB"/>
    <w:rsid w:val="00C356F7"/>
    <w:rsid w:val="00C357B9"/>
    <w:rsid w:val="00C36E63"/>
    <w:rsid w:val="00C40AFD"/>
    <w:rsid w:val="00C41E20"/>
    <w:rsid w:val="00C42E3E"/>
    <w:rsid w:val="00C44D62"/>
    <w:rsid w:val="00C50B14"/>
    <w:rsid w:val="00C51C13"/>
    <w:rsid w:val="00C525A5"/>
    <w:rsid w:val="00C5300F"/>
    <w:rsid w:val="00C54594"/>
    <w:rsid w:val="00C66CE0"/>
    <w:rsid w:val="00C71BED"/>
    <w:rsid w:val="00C72667"/>
    <w:rsid w:val="00C737B2"/>
    <w:rsid w:val="00C752AC"/>
    <w:rsid w:val="00C81B53"/>
    <w:rsid w:val="00C82AD2"/>
    <w:rsid w:val="00C82D73"/>
    <w:rsid w:val="00C842CA"/>
    <w:rsid w:val="00C87F02"/>
    <w:rsid w:val="00C9029F"/>
    <w:rsid w:val="00C90FB6"/>
    <w:rsid w:val="00C912FD"/>
    <w:rsid w:val="00C9220E"/>
    <w:rsid w:val="00C932BD"/>
    <w:rsid w:val="00C93429"/>
    <w:rsid w:val="00C945EC"/>
    <w:rsid w:val="00C979D1"/>
    <w:rsid w:val="00CA16C5"/>
    <w:rsid w:val="00CA415A"/>
    <w:rsid w:val="00CA5633"/>
    <w:rsid w:val="00CA7A35"/>
    <w:rsid w:val="00CB1536"/>
    <w:rsid w:val="00CB2D3B"/>
    <w:rsid w:val="00CB48DC"/>
    <w:rsid w:val="00CB671F"/>
    <w:rsid w:val="00CB7FB8"/>
    <w:rsid w:val="00CC1F71"/>
    <w:rsid w:val="00CC5588"/>
    <w:rsid w:val="00CC5EB3"/>
    <w:rsid w:val="00CD0E7B"/>
    <w:rsid w:val="00CD1790"/>
    <w:rsid w:val="00CD2ABD"/>
    <w:rsid w:val="00CD4024"/>
    <w:rsid w:val="00CD4617"/>
    <w:rsid w:val="00CD4855"/>
    <w:rsid w:val="00CE14F1"/>
    <w:rsid w:val="00CE60BB"/>
    <w:rsid w:val="00CE6234"/>
    <w:rsid w:val="00CE6D43"/>
    <w:rsid w:val="00CE7888"/>
    <w:rsid w:val="00CF2981"/>
    <w:rsid w:val="00D10E1C"/>
    <w:rsid w:val="00D14FAF"/>
    <w:rsid w:val="00D161A3"/>
    <w:rsid w:val="00D16F3C"/>
    <w:rsid w:val="00D20EC1"/>
    <w:rsid w:val="00D227B0"/>
    <w:rsid w:val="00D22E49"/>
    <w:rsid w:val="00D23625"/>
    <w:rsid w:val="00D23716"/>
    <w:rsid w:val="00D2487D"/>
    <w:rsid w:val="00D25ED8"/>
    <w:rsid w:val="00D272C7"/>
    <w:rsid w:val="00D27F8F"/>
    <w:rsid w:val="00D30914"/>
    <w:rsid w:val="00D316B8"/>
    <w:rsid w:val="00D31CFC"/>
    <w:rsid w:val="00D3255D"/>
    <w:rsid w:val="00D32E14"/>
    <w:rsid w:val="00D340C3"/>
    <w:rsid w:val="00D34C14"/>
    <w:rsid w:val="00D356D7"/>
    <w:rsid w:val="00D36020"/>
    <w:rsid w:val="00D409CD"/>
    <w:rsid w:val="00D423D4"/>
    <w:rsid w:val="00D42CAF"/>
    <w:rsid w:val="00D43B48"/>
    <w:rsid w:val="00D440D2"/>
    <w:rsid w:val="00D464D4"/>
    <w:rsid w:val="00D5310F"/>
    <w:rsid w:val="00D601EF"/>
    <w:rsid w:val="00D61533"/>
    <w:rsid w:val="00D63B2F"/>
    <w:rsid w:val="00D70747"/>
    <w:rsid w:val="00D70E1B"/>
    <w:rsid w:val="00D7190B"/>
    <w:rsid w:val="00D7261D"/>
    <w:rsid w:val="00D75112"/>
    <w:rsid w:val="00D755FC"/>
    <w:rsid w:val="00D76B6D"/>
    <w:rsid w:val="00D84D07"/>
    <w:rsid w:val="00D8526A"/>
    <w:rsid w:val="00D86C45"/>
    <w:rsid w:val="00D87628"/>
    <w:rsid w:val="00D90E91"/>
    <w:rsid w:val="00D95DCC"/>
    <w:rsid w:val="00DA3BE2"/>
    <w:rsid w:val="00DA4B2A"/>
    <w:rsid w:val="00DB4485"/>
    <w:rsid w:val="00DB5A9C"/>
    <w:rsid w:val="00DB60E1"/>
    <w:rsid w:val="00DC1347"/>
    <w:rsid w:val="00DC39F1"/>
    <w:rsid w:val="00DC465A"/>
    <w:rsid w:val="00DD5640"/>
    <w:rsid w:val="00DE05FB"/>
    <w:rsid w:val="00DE4B35"/>
    <w:rsid w:val="00DF072B"/>
    <w:rsid w:val="00DF19C1"/>
    <w:rsid w:val="00DF3EA1"/>
    <w:rsid w:val="00DF54CA"/>
    <w:rsid w:val="00DF56C9"/>
    <w:rsid w:val="00DF5B64"/>
    <w:rsid w:val="00E023C3"/>
    <w:rsid w:val="00E0244A"/>
    <w:rsid w:val="00E02794"/>
    <w:rsid w:val="00E043E3"/>
    <w:rsid w:val="00E0505B"/>
    <w:rsid w:val="00E11280"/>
    <w:rsid w:val="00E12359"/>
    <w:rsid w:val="00E1316E"/>
    <w:rsid w:val="00E146E6"/>
    <w:rsid w:val="00E152FF"/>
    <w:rsid w:val="00E234C4"/>
    <w:rsid w:val="00E2461B"/>
    <w:rsid w:val="00E24886"/>
    <w:rsid w:val="00E24959"/>
    <w:rsid w:val="00E25EEA"/>
    <w:rsid w:val="00E276FB"/>
    <w:rsid w:val="00E31BA3"/>
    <w:rsid w:val="00E32595"/>
    <w:rsid w:val="00E32DC6"/>
    <w:rsid w:val="00E33A74"/>
    <w:rsid w:val="00E4030B"/>
    <w:rsid w:val="00E41D56"/>
    <w:rsid w:val="00E42985"/>
    <w:rsid w:val="00E457DF"/>
    <w:rsid w:val="00E46642"/>
    <w:rsid w:val="00E5139A"/>
    <w:rsid w:val="00E531A1"/>
    <w:rsid w:val="00E5413D"/>
    <w:rsid w:val="00E575E8"/>
    <w:rsid w:val="00E57977"/>
    <w:rsid w:val="00E6264B"/>
    <w:rsid w:val="00E635D7"/>
    <w:rsid w:val="00E64E71"/>
    <w:rsid w:val="00E66349"/>
    <w:rsid w:val="00E70576"/>
    <w:rsid w:val="00E71DED"/>
    <w:rsid w:val="00E72482"/>
    <w:rsid w:val="00E72782"/>
    <w:rsid w:val="00E831E5"/>
    <w:rsid w:val="00E83954"/>
    <w:rsid w:val="00E85FC1"/>
    <w:rsid w:val="00E86506"/>
    <w:rsid w:val="00E86E25"/>
    <w:rsid w:val="00E91730"/>
    <w:rsid w:val="00E91ACD"/>
    <w:rsid w:val="00E9304B"/>
    <w:rsid w:val="00E96A95"/>
    <w:rsid w:val="00E96F04"/>
    <w:rsid w:val="00E97AEC"/>
    <w:rsid w:val="00EA20FE"/>
    <w:rsid w:val="00EA738F"/>
    <w:rsid w:val="00EB491E"/>
    <w:rsid w:val="00EB681B"/>
    <w:rsid w:val="00EC10C7"/>
    <w:rsid w:val="00EC40E8"/>
    <w:rsid w:val="00EC4FAD"/>
    <w:rsid w:val="00ED37AD"/>
    <w:rsid w:val="00EE2FEB"/>
    <w:rsid w:val="00EE3CFA"/>
    <w:rsid w:val="00EE69E4"/>
    <w:rsid w:val="00EF2A7F"/>
    <w:rsid w:val="00EF2FFE"/>
    <w:rsid w:val="00EF33BC"/>
    <w:rsid w:val="00EF7E90"/>
    <w:rsid w:val="00F002B6"/>
    <w:rsid w:val="00F1008D"/>
    <w:rsid w:val="00F10781"/>
    <w:rsid w:val="00F10AFE"/>
    <w:rsid w:val="00F14ECA"/>
    <w:rsid w:val="00F15C6C"/>
    <w:rsid w:val="00F169AF"/>
    <w:rsid w:val="00F17173"/>
    <w:rsid w:val="00F17BF1"/>
    <w:rsid w:val="00F20987"/>
    <w:rsid w:val="00F21769"/>
    <w:rsid w:val="00F22339"/>
    <w:rsid w:val="00F224DC"/>
    <w:rsid w:val="00F23A69"/>
    <w:rsid w:val="00F2521C"/>
    <w:rsid w:val="00F25F67"/>
    <w:rsid w:val="00F2687F"/>
    <w:rsid w:val="00F26A5E"/>
    <w:rsid w:val="00F27F29"/>
    <w:rsid w:val="00F32D54"/>
    <w:rsid w:val="00F35681"/>
    <w:rsid w:val="00F36C54"/>
    <w:rsid w:val="00F40779"/>
    <w:rsid w:val="00F418EA"/>
    <w:rsid w:val="00F41A29"/>
    <w:rsid w:val="00F44C1C"/>
    <w:rsid w:val="00F45469"/>
    <w:rsid w:val="00F45C41"/>
    <w:rsid w:val="00F518DF"/>
    <w:rsid w:val="00F523A7"/>
    <w:rsid w:val="00F52839"/>
    <w:rsid w:val="00F544DB"/>
    <w:rsid w:val="00F617B8"/>
    <w:rsid w:val="00F648EA"/>
    <w:rsid w:val="00F64C72"/>
    <w:rsid w:val="00F6502E"/>
    <w:rsid w:val="00F65663"/>
    <w:rsid w:val="00F71CE8"/>
    <w:rsid w:val="00F72296"/>
    <w:rsid w:val="00F72987"/>
    <w:rsid w:val="00F75147"/>
    <w:rsid w:val="00F756C0"/>
    <w:rsid w:val="00F75A40"/>
    <w:rsid w:val="00F77637"/>
    <w:rsid w:val="00F77A82"/>
    <w:rsid w:val="00F83BB3"/>
    <w:rsid w:val="00F842F0"/>
    <w:rsid w:val="00F8435D"/>
    <w:rsid w:val="00F859BF"/>
    <w:rsid w:val="00F862E5"/>
    <w:rsid w:val="00F87DD0"/>
    <w:rsid w:val="00F93360"/>
    <w:rsid w:val="00F93FE4"/>
    <w:rsid w:val="00F974C7"/>
    <w:rsid w:val="00F97E4E"/>
    <w:rsid w:val="00FA1A40"/>
    <w:rsid w:val="00FA217B"/>
    <w:rsid w:val="00FA3081"/>
    <w:rsid w:val="00FA3723"/>
    <w:rsid w:val="00FA440E"/>
    <w:rsid w:val="00FA4F29"/>
    <w:rsid w:val="00FA6525"/>
    <w:rsid w:val="00FB0BC5"/>
    <w:rsid w:val="00FB0BCC"/>
    <w:rsid w:val="00FB2148"/>
    <w:rsid w:val="00FB3EA7"/>
    <w:rsid w:val="00FC0FE5"/>
    <w:rsid w:val="00FC1B32"/>
    <w:rsid w:val="00FC51F8"/>
    <w:rsid w:val="00FC7396"/>
    <w:rsid w:val="00FC7CE3"/>
    <w:rsid w:val="00FD1ABC"/>
    <w:rsid w:val="00FD1EAE"/>
    <w:rsid w:val="00FD5FB1"/>
    <w:rsid w:val="00FD7DDF"/>
    <w:rsid w:val="00FE0316"/>
    <w:rsid w:val="00FE08B0"/>
    <w:rsid w:val="00FE1247"/>
    <w:rsid w:val="00FE1327"/>
    <w:rsid w:val="00FE33D3"/>
    <w:rsid w:val="00FE4C92"/>
    <w:rsid w:val="00FE558E"/>
    <w:rsid w:val="00FE7898"/>
    <w:rsid w:val="00FE7EA1"/>
    <w:rsid w:val="00FF0FAA"/>
    <w:rsid w:val="00FF3759"/>
    <w:rsid w:val="00FF4396"/>
    <w:rsid w:val="00FF5296"/>
    <w:rsid w:val="00FF66F6"/>
    <w:rsid w:val="03385EDC"/>
    <w:rsid w:val="07F80818"/>
    <w:rsid w:val="09597BD0"/>
    <w:rsid w:val="0DD13203"/>
    <w:rsid w:val="10C1977F"/>
    <w:rsid w:val="18BFC767"/>
    <w:rsid w:val="1E258BB9"/>
    <w:rsid w:val="2048DE6F"/>
    <w:rsid w:val="2477176E"/>
    <w:rsid w:val="2AE7A9F0"/>
    <w:rsid w:val="2DADE755"/>
    <w:rsid w:val="2ECB0231"/>
    <w:rsid w:val="4991E46B"/>
    <w:rsid w:val="4E271D93"/>
    <w:rsid w:val="57C29C6C"/>
    <w:rsid w:val="5E005434"/>
    <w:rsid w:val="637E1430"/>
    <w:rsid w:val="655CCF83"/>
    <w:rsid w:val="66919DC2"/>
    <w:rsid w:val="66E2D8EC"/>
    <w:rsid w:val="6EA907E1"/>
    <w:rsid w:val="7F5AA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BE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E50BF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E50BF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val="pl-PL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val="pl-PL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val="pl-PL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val="pl-PL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val="pl-PL"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val="pl-PL"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val="pl-PL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val="pl-PL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val="pl-PL" w:eastAsia="en-US" w:bidi="ar-SA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 w:bidi="ar-SA"/>
    </w:rPr>
  </w:style>
  <w:style w:type="paragraph" w:styleId="FootnoteText">
    <w:name w:val="footnote text"/>
    <w:basedOn w:val="Normal"/>
    <w:link w:val="FootnoteTextChar"/>
    <w:qFormat/>
    <w:rsid w:val="007E50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val="pl-PL" w:eastAsia="en-US" w:bidi="ar-SA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E50BF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4BB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BB9"/>
    <w:rPr>
      <w:sz w:val="20"/>
      <w:szCs w:val="20"/>
      <w:lang w:eastAsia="en-US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A84BB9"/>
    <w:rPr>
      <w:vertAlign w:val="superscript"/>
    </w:rPr>
  </w:style>
  <w:style w:type="table" w:styleId="TableGrid">
    <w:name w:val="Table Grid"/>
    <w:basedOn w:val="TableNormal"/>
    <w:locked/>
    <w:rsid w:val="00E9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at@eesc.europa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C/2024/1591/oj" TargetMode="External"/><Relationship Id="rId3" Type="http://schemas.openxmlformats.org/officeDocument/2006/relationships/hyperlink" Target="https://circulareconomy.europa.eu/platform/en" TargetMode="External"/><Relationship Id="rId7" Type="http://schemas.openxmlformats.org/officeDocument/2006/relationships/hyperlink" Target="http://data.europa.eu/eli/C/2026/73/oj" TargetMode="External"/><Relationship Id="rId2" Type="http://schemas.openxmlformats.org/officeDocument/2006/relationships/hyperlink" Target="https://eur-lex.europa.eu/legal-content/PL/TXT/HTML/?uri=CELEX:52025DC0085" TargetMode="External"/><Relationship Id="rId1" Type="http://schemas.openxmlformats.org/officeDocument/2006/relationships/hyperlink" Target="https://www.eib.org/en/publications/20250063-transitioning-to-a-circular-economy" TargetMode="External"/><Relationship Id="rId6" Type="http://schemas.openxmlformats.org/officeDocument/2006/relationships/hyperlink" Target="http://data.europa.eu/eli/C/2025/109/oj" TargetMode="External"/><Relationship Id="rId11" Type="http://schemas.openxmlformats.org/officeDocument/2006/relationships/hyperlink" Target="http://data.europa.eu/eli/C/2024/6879/oj" TargetMode="External"/><Relationship Id="rId5" Type="http://schemas.openxmlformats.org/officeDocument/2006/relationships/hyperlink" Target="https://www.eesc.europa.eu/pl/our-work/opinions-information-reports/opinions/eu-bioeconomy-strategy-towards-circular-regenerative-and-competitive-bioeconomy" TargetMode="External"/><Relationship Id="rId10" Type="http://schemas.openxmlformats.org/officeDocument/2006/relationships/hyperlink" Target="https://eur-lex.europa.eu/legal-content/PL/TXT/?uri=CELEX%3A52021IE2636&amp;qid=1776349199580" TargetMode="External"/><Relationship Id="rId4" Type="http://schemas.openxmlformats.org/officeDocument/2006/relationships/hyperlink" Target="https://www.ellenmacarthurfoundation.org/scaling-returnable-packaging/overview" TargetMode="External"/><Relationship Id="rId9" Type="http://schemas.openxmlformats.org/officeDocument/2006/relationships/hyperlink" Target="https://eur-lex.europa.eu/legal-content/PL/TXT/?uri=uriserv%3AOJ.C_.2022.194.01.0050.01.POL&amp;toc=OJ%3AC%3A2022%3A194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VP3JK3XSEPRV-2087481956-9228</_dlc_DocId>
    <_dlc_DocIdUrl xmlns="7d640e6d-779c-472f-a269-6b546787f1c9">
      <Url>http://dm/eesc/2026/_layouts/15/DocIdRedir.aspx?ID=VP3JK3XSEPRV-2087481956-9228</Url>
      <Description>VP3JK3XSEPRV-2087481956-9228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2026-05-26T12:00:00+00:00</ProductionDate>
    <DocumentNumber xmlns="a95533f8-59af-4217-bc7a-c1167744adb0">688</DocumentNumber>
    <FicheYear xmlns="7d640e6d-779c-472f-a269-6b546787f1c9" xsi:nil="true"/>
    <DossierNumber xmlns="7d640e6d-779c-472f-a269-6b546787f1c9">986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2026-06-17T12:00:00+00:00</MeetingDate>
    <TaxCatchAll xmlns="7d640e6d-779c-472f-a269-6b546787f1c9">
      <Value>132</Value>
      <Value>66</Value>
      <Value>60</Value>
      <Value>59</Value>
      <Value>57</Value>
      <Value>55</Value>
      <Value>53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Rapporteur xmlns="7d640e6d-779c-472f-a269-6b546787f1c9">LOHAN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303565</FicheNumber>
    <OriginalSender xmlns="7d640e6d-779c-472f-a269-6b546787f1c9">
      <UserInfo>
        <DisplayName>Klimaszewska Agnieszka</DisplayName>
        <AccountId>1383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Pacte vert, Relance Durable, l'Agenda 2030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606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7d640e6d-779c-472f-a269-6b546787f1c9">1</DocumentVersion>
  </documentManagement>
</p:properties>
</file>

<file path=customXml/itemProps1.xml><?xml version="1.0" encoding="utf-8"?>
<ds:datastoreItem xmlns:ds="http://schemas.openxmlformats.org/officeDocument/2006/customXml" ds:itemID="{D0905D4C-E6BD-4EEF-B160-6AFAC455D44C}"/>
</file>

<file path=customXml/itemProps2.xml><?xml version="1.0" encoding="utf-8"?>
<ds:datastoreItem xmlns:ds="http://schemas.openxmlformats.org/officeDocument/2006/customXml" ds:itemID="{DAB1DB31-7739-4FFF-B16D-2A00291E63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180D42-5522-47B1-8177-EC298A46A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224F-4583-480B-B80B-A4C68EDFAD34}">
  <ds:schemaRefs>
    <ds:schemaRef ds:uri="http://schemas.microsoft.com/office/2006/metadata/properties"/>
    <ds:schemaRef ds:uri="http://schemas.microsoft.com/office/infopath/2007/PartnerControls"/>
    <ds:schemaRef ds:uri="7d640e6d-779c-472f-a269-6b546787f1c9"/>
    <ds:schemaRef ds:uri="http://schemas.microsoft.com/sharepoint/v3/fields"/>
    <ds:schemaRef ds:uri="a95533f8-59af-4217-bc7a-c1167744adb0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2825</Words>
  <Characters>17097</Characters>
  <Application>Microsoft Office Word</Application>
  <DocSecurity>0</DocSecurity>
  <Lines>348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 Economy Act - Circular economy and responsible resource consumption within planetary boundaries</vt:lpstr>
    </vt:vector>
  </TitlesOfParts>
  <Manager/>
  <Company/>
  <LinksUpToDate>false</LinksUpToDate>
  <CharactersWithSpaces>19803</CharactersWithSpaces>
  <SharedDoc>false</SharedDoc>
  <HLinks>
    <vt:vector size="7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http://data.europa.eu/eli/C/2024/6879/oj</vt:lpwstr>
      </vt:variant>
      <vt:variant>
        <vt:lpwstr/>
      </vt:variant>
      <vt:variant>
        <vt:i4>327685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https://eur-lex.europa.eu/legal-content/EN/TXT/?uri=CELEX%3A52021IE2636&amp;qid=1776349199580</vt:lpwstr>
      </vt:variant>
      <vt:variant>
        <vt:lpwstr/>
      </vt:variant>
      <vt:variant>
        <vt:i4>786492</vt:i4>
      </vt:variant>
      <vt:variant>
        <vt:i4>27</vt:i4>
      </vt:variant>
      <vt:variant>
        <vt:i4>0</vt:i4>
      </vt:variant>
      <vt:variant>
        <vt:i4>5</vt:i4>
      </vt:variant>
      <vt:variant>
        <vt:lpwstr>https://eur-lex.europa.eu/legal-content/EN/TXT/?uri=uriserv%3AOJ.C_.2022.194.01.0050.01.ENG&amp;toc=OJ%3AC%3A2022%3A194%3ATOC</vt:lpwstr>
      </vt:variant>
      <vt:variant>
        <vt:lpwstr/>
      </vt:variant>
      <vt:variant>
        <vt:i4>65566</vt:i4>
      </vt:variant>
      <vt:variant>
        <vt:i4>24</vt:i4>
      </vt:variant>
      <vt:variant>
        <vt:i4>0</vt:i4>
      </vt:variant>
      <vt:variant>
        <vt:i4>5</vt:i4>
      </vt:variant>
      <vt:variant>
        <vt:lpwstr>http://data.europa.eu/eli/C/2024/1591/oj</vt:lpwstr>
      </vt:variant>
      <vt:variant>
        <vt:lpwstr/>
      </vt:variant>
      <vt:variant>
        <vt:i4>3932201</vt:i4>
      </vt:variant>
      <vt:variant>
        <vt:i4>21</vt:i4>
      </vt:variant>
      <vt:variant>
        <vt:i4>0</vt:i4>
      </vt:variant>
      <vt:variant>
        <vt:i4>5</vt:i4>
      </vt:variant>
      <vt:variant>
        <vt:lpwstr>http://data.europa.eu/eli/C/2026/73/oj</vt:lpwstr>
      </vt:variant>
      <vt:variant>
        <vt:lpwstr/>
      </vt:variant>
      <vt:variant>
        <vt:i4>2752618</vt:i4>
      </vt:variant>
      <vt:variant>
        <vt:i4>18</vt:i4>
      </vt:variant>
      <vt:variant>
        <vt:i4>0</vt:i4>
      </vt:variant>
      <vt:variant>
        <vt:i4>5</vt:i4>
      </vt:variant>
      <vt:variant>
        <vt:lpwstr>http://data.europa.eu/eli/C/2025/109/oj</vt:lpwstr>
      </vt:variant>
      <vt:variant>
        <vt:lpwstr/>
      </vt:variant>
      <vt:variant>
        <vt:i4>4456540</vt:i4>
      </vt:variant>
      <vt:variant>
        <vt:i4>15</vt:i4>
      </vt:variant>
      <vt:variant>
        <vt:i4>0</vt:i4>
      </vt:variant>
      <vt:variant>
        <vt:i4>5</vt:i4>
      </vt:variant>
      <vt:variant>
        <vt:lpwstr>https://www.eesc.europa.eu/en/our-work/opinions-information-reports/opinions/eu-bioeconomy-strategy-towards-circular-regenerative-and-competitive-bioeconomy</vt:lpwstr>
      </vt:variant>
      <vt:variant>
        <vt:lpwstr/>
      </vt:variant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https://www.ellenmacarthurfoundation.org/scaling-returnable-packaging/overview</vt:lpwstr>
      </vt:variant>
      <vt:variant>
        <vt:lpwstr/>
      </vt:variant>
      <vt:variant>
        <vt:i4>327759</vt:i4>
      </vt:variant>
      <vt:variant>
        <vt:i4>6</vt:i4>
      </vt:variant>
      <vt:variant>
        <vt:i4>0</vt:i4>
      </vt:variant>
      <vt:variant>
        <vt:i4>5</vt:i4>
      </vt:variant>
      <vt:variant>
        <vt:lpwstr>https://circulareconomy.europa.eu/platform/en</vt:lpwstr>
      </vt:variant>
      <vt:variant>
        <vt:lpwstr/>
      </vt:variant>
      <vt:variant>
        <vt:i4>524305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https://eur-lex.europa.eu/legal-content/EN/TXT/?uri=celex:52025DC0085</vt:lpwstr>
      </vt:variant>
      <vt:variant>
        <vt:lpwstr/>
      </vt:variant>
      <vt:variant>
        <vt:i4>458827</vt:i4>
      </vt:variant>
      <vt:variant>
        <vt:i4>0</vt:i4>
      </vt:variant>
      <vt:variant>
        <vt:i4>0</vt:i4>
      </vt:variant>
      <vt:variant>
        <vt:i4>5</vt:i4>
      </vt:variant>
      <vt:variant>
        <vt:lpwstr>https://www.eib.org/en/publications/20250063-transitioning-to-a-circular-economy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https://portalubezpieczenie.pl/aktualnosci/ile-kosztuje-ubezpieczenie-zdrowotne-przeglad-cen-polis-prywatnych-i-skladek-nfz/</dc:title>
  <dc:subject>Section opinion</dc:subject>
  <dc:creator/>
  <cp:keywords>EESC-2026-00688-00-00-AS-TRA-EN</cp:keywords>
  <dc:description>Rapporteur: - LOHAN Original language: - EN Date of document: - 21/05/2026 Date of meeting: - 17/06/2026 External documents: -  Administrator responsible: -  SENGA ALICE</dc:description>
  <cp:lastModifiedBy/>
  <cp:revision>14</cp:revision>
  <cp:lastPrinted>2026-05-05T06:24:00Z</cp:lastPrinted>
  <dcterms:created xsi:type="dcterms:W3CDTF">2026-05-22T11:06:00Z</dcterms:created>
  <dcterms:modified xsi:type="dcterms:W3CDTF">2026-05-26T10:40:00Z</dcterms:modified>
  <cp:category>NAT/986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22/05/2026, 21/05/2026, 08/05/2026, 21/04/2026, 19/03/2026, 12/04/2024, 17/05/2022, 04/11/2015, 27/10/2015, 19/10/2015, 09/10/2015, 05/10/2015, 05/10/2015, 26/08/2015, 26/08/2015, 25/08/2015</vt:lpwstr>
  </property>
  <property fmtid="{D5CDD505-2E9C-101B-9397-08002B2CF9AE}" pid="4" name="Pref_Time">
    <vt:lpwstr>13:06:08, 16:32:40, 17:27:49, 17:52:43, 15:26:52, 12:08:09, 12:59:17, 12/10/07, 14:44:02, 16/04/16, 14:09:30, 16:24:55, 16:04:02, 08:56:14, 07:27:56, 17:31:53</vt:lpwstr>
  </property>
  <property fmtid="{D5CDD505-2E9C-101B-9397-08002B2CF9AE}" pid="5" name="Pref_User">
    <vt:lpwstr>amett, amett, jhvi, jhvi, pacup, enied, enied, ssex, enied, amett, tvoc, mreg, mreg, amett, enied, ssex</vt:lpwstr>
  </property>
  <property fmtid="{D5CDD505-2E9C-101B-9397-08002B2CF9AE}" pid="6" name="Pref_FileName">
    <vt:lpwstr>EESC-2026-00688-00-01-AS-ORI.docx, EESC-2026-00688-00-00-AS-TRA-EN-CRR.docx, EESC-2026-00688-00-01-PA-ORI.docx, EESC-2026-00688-00-00-APA-ORI.docx, EESC-2026-00688-00-00-DT-TRA-EN-CRR.docx, COR-EESC-2024-01326-00-00-ADMIN-ORI.docx, COR-EESC-2022-02586-00-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75c86e61-9a15-4ca1-99b3-dd3f88b91528</vt:lpwstr>
  </property>
  <property fmtid="{D5CDD505-2E9C-101B-9397-08002B2CF9AE}" pid="9" name="AvailableTranslations">
    <vt:lpwstr>13;#IT|0774613c-01ed-4e5d-a25d-11d2388de825;#36;#NL|55c6556c-b4f4-441d-9acf-c498d4f838bd;#30;#SK|46d9fce0-ef79-4f71-b89b-cd6aa82426b8;#37;#HU|6b229040-c589-4408-b4c1-4285663d20a8;#27;#ET|ff6c3f4c-b02c-4c3c-ab07-2c37995a7a0a;#23;#FR|d2afafd3-4c81-4f60-8f52-ee33f2f54ff3;#45;#SV|c2ed69e7-a339-43d7-8f22-d93680a92aa0;#66;#GA|762d2456-c427-4ecb-b312-af3dad8e258c;#51;#LV|46f7e311-5d9f-4663-b433-18aeccb7ace7;#31;#SL|98a412ae-eb01-49e9-ae3d-585a81724cfc;#11;#DE|f6b31e5a-26fa-4935-b661-318e46daf27e;#44;#LT|a7ff5ce7-6123-4f68-865a-a57c31810414;#46;#DA|5d49c027-8956-412b-aa16-e85a0f96ad0e;#60;#EL|6d4f4d51-af9b-4650-94b4-4276bee85c91;#25;#FI|87606a43-d45f-42d6-b8c9-e1a3457db5b7;#28;#PT|50ccc04a-eadd-42ae-a0cb-acaf45f812ba;#43;#BG|1a1b3951-7821-4e6a-85f5-5673fc08bd2c;#34;#HR|2f555653-ed1a-4fe6-8362-9082d95989e5;#12;#ES|e7a6b05b-ae16-40c8-add9-68b64b03aeba;#29;#CS|72f9705b-0217-4fd3-bea2-cbc7ed80e26e;#55;#RO|feb747a2-64cd-4299-af12-4833ddc30497;#53;#MT|7df99101-6854-4a26-b53a-b88c0da02c26;#32;#PL|1e03da61-4678-4e07-b136-b5024ca9197b;#4;#EN|f2175f21-25d7-44a3-96da-d6a61b075e1b</vt:lpwstr>
  </property>
  <property fmtid="{D5CDD505-2E9C-101B-9397-08002B2CF9AE}" pid="10" name="DocumentType_0">
    <vt:lpwstr>AS|c7a748eb-f6f2-4d9d-8b5a-af0cafebc224</vt:lpwstr>
  </property>
  <property fmtid="{D5CDD505-2E9C-101B-9397-08002B2CF9AE}" pid="11" name="MeetingNumber">
    <vt:i4>606</vt:i4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688</vt:i4>
  </property>
  <property fmtid="{D5CDD505-2E9C-101B-9397-08002B2CF9AE}" pid="15" name="FicheYear">
    <vt:i4>2026</vt:i4>
  </property>
  <property fmtid="{D5CDD505-2E9C-101B-9397-08002B2CF9AE}" pid="16" name="DocumentVersion">
    <vt:i4>1</vt:i4>
  </property>
  <property fmtid="{D5CDD505-2E9C-101B-9397-08002B2CF9AE}" pid="17" name="DossierNumber">
    <vt:i4>986</vt:i4>
  </property>
  <property fmtid="{D5CDD505-2E9C-101B-9397-08002B2CF9AE}" pid="18" name="DocumentStatus">
    <vt:lpwstr>9;#TRA|150d2a88-1431-44e6-a8ca-0bb753ab8672</vt:lpwstr>
  </property>
  <property fmtid="{D5CDD505-2E9C-101B-9397-08002B2CF9AE}" pid="19" name="DossierName">
    <vt:lpwstr>57;#NAT|b263ab5d-0564-42a8-87bf-1cc57d938922</vt:lpwstr>
  </property>
  <property fmtid="{D5CDD505-2E9C-101B-9397-08002B2CF9AE}" pid="20" name="RequestingService">
    <vt:lpwstr>Pacte vert, Relance Durable, l'Agenda 2030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>59;#SPL-CES|32d8cb1f-c9ec-4365-95c7-8385a18618ac</vt:lpwstr>
  </property>
  <property fmtid="{D5CDD505-2E9C-101B-9397-08002B2CF9AE}" pid="26" name="MeetingDate">
    <vt:filetime>2026-06-17T12:00:00Z</vt:filetime>
  </property>
  <property fmtid="{D5CDD505-2E9C-101B-9397-08002B2CF9AE}" pid="27" name="AvailableTranslations_0">
    <vt:lpwstr>IT|0774613c-01ed-4e5d-a25d-11d2388de825;NL|55c6556c-b4f4-441d-9acf-c498d4f838bd;HU|6b229040-c589-4408-b4c1-4285663d20a8;ET|ff6c3f4c-b02c-4c3c-ab07-2c37995a7a0a;FR|d2afafd3-4c81-4f60-8f52-ee33f2f54ff3;SV|c2ed69e7-a339-43d7-8f22-d93680a92aa0;GA|762d2456-c427-4ecb-b312-af3dad8e258c;LV|46f7e311-5d9f-4663-b433-18aeccb7ace7;SL|98a412ae-eb01-49e9-ae3d-585a81724cfc;DE|f6b31e5a-26fa-4935-b661-318e46daf27e;LT|a7ff5ce7-6123-4f68-865a-a57c31810414;DA|5d49c027-8956-412b-aa16-e85a0f96ad0e;FI|87606a43-d45f-42d6-b8c9-e1a3457db5b7;PT|50ccc04a-eadd-42ae-a0cb-acaf45f812ba;BG|1a1b3951-7821-4e6a-85f5-5673fc08bd2c;ES|e7a6b05b-ae16-40c8-add9-68b64b03aeba;CS|72f9705b-0217-4fd3-bea2-cbc7ed80e26e;MT|7df99101-6854-4a26-b53a-b88c0da02c26;EN|f2175f21-25d7-44a3-96da-d6a61b075e1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132;#AS|c7a748eb-f6f2-4d9d-8b5a-af0cafebc224;#66;#GA|762d2456-c427-4ecb-b312-af3dad8e258c;#59;#SPL-CES|32d8cb1f-c9ec-4365-95c7-8385a18618ac;#57;#NAT|b263ab5d-0564-42a8-87bf-1cc57d938922;#53;#MT|7df99101-6854-4a26-b53a-b88c0da02c26;#51;#LV|46f7e311-5d9f-4663-b433-18aeccb7ace7;#46;#DA|5d49c027-8956-412b-aa16-e85a0f96ad0e;#45;#SV|c2ed69e7-a339-43d7-8f22-d93680a92aa0;#44;#LT|a7ff5ce7-6123-4f68-865a-a57c31810414;#43;#BG|1a1b3951-7821-4e6a-85f5-5673fc08bd2c;#37;#HU|6b229040-c589-4408-b4c1-4285663d20a8;#36;#NL|55c6556c-b4f4-441d-9acf-c498d4f838bd;#31;#SL|98a412ae-eb01-49e9-ae3d-585a81724cfc;#29;#CS|72f9705b-0217-4fd3-bea2-cbc7ed80e26e;#28;#PT|50ccc04a-eadd-42ae-a0cb-acaf45f812ba;#27;#ET|ff6c3f4c-b02c-4c3c-ab07-2c37995a7a0a;#25;#FI|87606a43-d45f-42d6-b8c9-e1a3457db5b7;#23;#FR|d2afafd3-4c81-4f60-8f52-ee33f2f54ff3;#19;#Unrestricted|826e22d7-d029-4ec0-a450-0c28ff673572;#13;#IT|0774613c-01ed-4e5d-a25d-11d2388de825;#12;#ES|e7a6b05b-ae16-40c8-add9-68b64b03aeba;#11;#DE|f6b31e5a-26fa-4935-b661-318e46daf27e;#9;#TRA|150d2a88-1431-44e6-a8ca-0bb753ab8672;#7;#Final|ea5e6674-7b27-4bac-b091-73adbb394efe;#4;#EN|f2175f21-25d7-44a3-96da-d6a61b075e1b;#1;#EESC|422833ec-8d7e-4e65-8e4e-8bed07ffb729</vt:lpwstr>
  </property>
  <property fmtid="{D5CDD505-2E9C-101B-9397-08002B2CF9AE}" pid="31" name="Rapporteur">
    <vt:lpwstr>LOHAN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303565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DocumentType">
    <vt:lpwstr>132;#AS|c7a748eb-f6f2-4d9d-8b5a-af0cafebc224</vt:lpwstr>
  </property>
  <property fmtid="{D5CDD505-2E9C-101B-9397-08002B2CF9AE}" pid="39" name="DocumentLanguage">
    <vt:lpwstr>32;#PL|1e03da61-4678-4e07-b136-b5024ca9197b</vt:lpwstr>
  </property>
  <property fmtid="{D5CDD505-2E9C-101B-9397-08002B2CF9AE}" pid="40" name="_docset_NoMedatataSyncRequired">
    <vt:lpwstr>False</vt:lpwstr>
  </property>
  <property fmtid="{D5CDD505-2E9C-101B-9397-08002B2CF9AE}" pid="41" name="DocumentLanguage_0">
    <vt:lpwstr>EN|f2175f21-25d7-44a3-96da-d6a61b075e1b</vt:lpwstr>
  </property>
</Properties>
</file>