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0514" w14:textId="32393BD6" w:rsidR="00646AC2" w:rsidRPr="002B0952" w:rsidRDefault="00E21769" w:rsidP="00B30034">
      <w:pPr>
        <w:overflowPunct/>
        <w:adjustRightInd/>
        <w:jc w:val="center"/>
        <w:textAlignment w:val="auto"/>
      </w:pPr>
      <w:r>
        <w:rPr>
          <w:noProof/>
        </w:rPr>
        <w:drawing>
          <wp:inline distT="0" distB="0" distL="0" distR="0" wp14:anchorId="0525D435" wp14:editId="12B48404">
            <wp:extent cx="1792605" cy="1239520"/>
            <wp:effectExtent l="0" t="0" r="0" b="0"/>
            <wp:docPr id="648063488" name="Picture 2" title="EESCLogo_RO"/>
            <wp:cNvGraphicFramePr/>
            <a:graphic xmlns:a="http://schemas.openxmlformats.org/drawingml/2006/main">
              <a:graphicData uri="http://schemas.openxmlformats.org/drawingml/2006/picture">
                <pic:pic xmlns:pic="http://schemas.openxmlformats.org/drawingml/2006/picture">
                  <pic:nvPicPr>
                    <pic:cNvPr id="648063488" name="Picture 2" title="EESCLogo_RO"/>
                    <pic:cNvPicPr/>
                  </pic:nvPicPr>
                  <pic:blipFill>
                    <a:blip r:embed="rId10"/>
                    <a:stretch>
                      <a:fillRect/>
                    </a:stretch>
                  </pic:blipFill>
                  <pic:spPr>
                    <a:xfrm>
                      <a:off x="0" y="0"/>
                      <a:ext cx="1792605" cy="1239520"/>
                    </a:xfrm>
                    <a:prstGeom prst="rect">
                      <a:avLst/>
                    </a:prstGeom>
                  </pic:spPr>
                </pic:pic>
              </a:graphicData>
            </a:graphic>
          </wp:inline>
        </w:drawing>
      </w:r>
      <w:r w:rsidR="003E0EB4">
        <w:rPr>
          <w:noProof/>
          <w:sz w:val="20"/>
        </w:rPr>
        <mc:AlternateContent>
          <mc:Choice Requires="wps">
            <w:drawing>
              <wp:anchor distT="0" distB="0" distL="114300" distR="114300" simplePos="0" relativeHeight="251658240" behindDoc="1" locked="0" layoutInCell="0" allowOverlap="1" wp14:anchorId="572791BF" wp14:editId="58B944E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0DB9" w14:textId="77777777" w:rsidR="00DB53C1" w:rsidRPr="00F767AB" w:rsidRDefault="00DB53C1">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06690DB9" w14:textId="77777777" w:rsidR="00DB53C1" w:rsidRPr="00F767AB" w:rsidRDefault="00DB53C1">
                      <w:pPr>
                        <w:jc w:val="center"/>
                        <w:rPr>
                          <w:rFonts w:ascii="Arial" w:hAnsi="Arial" w:cs="Arial"/>
                          <w:b/>
                          <w:bCs/>
                          <w:sz w:val="48"/>
                        </w:rPr>
                      </w:pPr>
                      <w:r>
                        <w:rPr>
                          <w:rFonts w:ascii="Arial" w:hAnsi="Arial"/>
                          <w:b/>
                          <w:sz w:val="48"/>
                        </w:rPr>
                        <w:t>RO</w:t>
                      </w:r>
                    </w:p>
                  </w:txbxContent>
                </v:textbox>
                <w10:wrap anchorx="page" anchory="page"/>
              </v:shape>
            </w:pict>
          </mc:Fallback>
        </mc:AlternateContent>
      </w:r>
    </w:p>
    <w:p w14:paraId="31C5BDB8" w14:textId="77777777" w:rsidR="003E0EB4" w:rsidRPr="002B0952" w:rsidRDefault="003E0EB4" w:rsidP="00B30034">
      <w:pPr>
        <w:overflowPunct/>
        <w:adjustRightInd/>
        <w:jc w:val="left"/>
        <w:textAlignment w:val="auto"/>
      </w:pPr>
    </w:p>
    <w:p w14:paraId="0A0C05A7" w14:textId="4D1E1222" w:rsidR="00646AC2" w:rsidRPr="002B0952" w:rsidRDefault="00E35A30" w:rsidP="00B30034">
      <w:pPr>
        <w:overflowPunct/>
        <w:adjustRightInd/>
        <w:jc w:val="right"/>
        <w:textAlignment w:val="auto"/>
      </w:pPr>
      <w:r>
        <w:rPr>
          <w:b/>
        </w:rPr>
        <w:t>REX/614</w:t>
      </w:r>
    </w:p>
    <w:p w14:paraId="0A4187ED" w14:textId="7726D96E" w:rsidR="00563C84" w:rsidRPr="002B0952" w:rsidRDefault="00E35A30" w:rsidP="00B30034">
      <w:pPr>
        <w:overflowPunct/>
        <w:adjustRightInd/>
        <w:jc w:val="right"/>
        <w:textAlignment w:val="auto"/>
      </w:pPr>
      <w:r>
        <w:rPr>
          <w:b/>
        </w:rPr>
        <w:t>Consolidarea securității economice a UE</w:t>
      </w:r>
    </w:p>
    <w:p w14:paraId="0F0841AD" w14:textId="77777777" w:rsidR="009B30AA" w:rsidRPr="002B0952" w:rsidRDefault="009B30AA" w:rsidP="00B30034">
      <w:pPr>
        <w:overflowPunct/>
        <w:adjustRightInd/>
        <w:textAlignment w:val="auto"/>
      </w:pPr>
    </w:p>
    <w:p w14:paraId="4ACC54A0" w14:textId="77777777" w:rsidR="009B30AA" w:rsidRPr="002B0952" w:rsidRDefault="009B30AA" w:rsidP="00B30034">
      <w:pPr>
        <w:overflowPunct/>
        <w:adjustRightInd/>
        <w:textAlignment w:val="auto"/>
      </w:pPr>
    </w:p>
    <w:p w14:paraId="1BD7629B" w14:textId="713E0B77" w:rsidR="0061311D" w:rsidRPr="002B0952" w:rsidRDefault="003B0C32" w:rsidP="00B30034">
      <w:pPr>
        <w:overflowPunct/>
        <w:adjustRightInd/>
        <w:jc w:val="center"/>
        <w:textAlignment w:val="auto"/>
        <w:rPr>
          <w:b/>
          <w:bCs/>
          <w:sz w:val="28"/>
          <w:szCs w:val="28"/>
        </w:rPr>
      </w:pPr>
      <w:r>
        <w:rPr>
          <w:b/>
          <w:sz w:val="28"/>
        </w:rPr>
        <w:t>AVIZ</w:t>
      </w:r>
    </w:p>
    <w:p w14:paraId="30EE9E0A" w14:textId="77777777" w:rsidR="0061311D" w:rsidRPr="002B0952" w:rsidRDefault="0061311D" w:rsidP="00B30034">
      <w:pPr>
        <w:overflowPunct/>
        <w:adjustRightInd/>
        <w:jc w:val="center"/>
        <w:textAlignment w:val="auto"/>
      </w:pPr>
    </w:p>
    <w:p w14:paraId="4D31B548" w14:textId="77777777" w:rsidR="0061311D" w:rsidRPr="002B0952" w:rsidRDefault="4CF6D56A" w:rsidP="00B30034">
      <w:pPr>
        <w:overflowPunct/>
        <w:adjustRightInd/>
        <w:jc w:val="center"/>
        <w:textAlignment w:val="auto"/>
      </w:pPr>
      <w:r>
        <w:t>Secțiunea pentru relații externe</w:t>
      </w:r>
    </w:p>
    <w:p w14:paraId="07046839" w14:textId="77777777" w:rsidR="0061311D" w:rsidRPr="002B0952" w:rsidRDefault="0061311D" w:rsidP="00B30034">
      <w:pPr>
        <w:overflowPunct/>
        <w:adjustRightInd/>
        <w:jc w:val="center"/>
        <w:textAlignment w:val="auto"/>
      </w:pPr>
    </w:p>
    <w:p w14:paraId="4F1EF6BF" w14:textId="77777777" w:rsidR="0061311D" w:rsidRPr="002B0952" w:rsidRDefault="008B3487" w:rsidP="00B30034">
      <w:pPr>
        <w:overflowPunct/>
        <w:adjustRightInd/>
        <w:jc w:val="center"/>
        <w:textAlignment w:val="auto"/>
        <w:rPr>
          <w:b/>
          <w:bCs/>
        </w:rPr>
      </w:pPr>
      <w:r>
        <w:rPr>
          <w:b/>
        </w:rPr>
        <w:t>Consolidarea securității economice a UE</w:t>
      </w:r>
    </w:p>
    <w:p w14:paraId="71ECE562" w14:textId="77777777" w:rsidR="00646AC2" w:rsidRPr="002B0952" w:rsidRDefault="005A7B8E" w:rsidP="00B30034">
      <w:pPr>
        <w:overflowPunct/>
        <w:adjustRightInd/>
        <w:jc w:val="center"/>
        <w:textAlignment w:val="auto"/>
      </w:pPr>
      <w:r>
        <w:t>[JOIN(2025) 977 final]</w:t>
      </w:r>
    </w:p>
    <w:p w14:paraId="2828E54D" w14:textId="77777777" w:rsidR="009B30AA" w:rsidRPr="002B0952" w:rsidRDefault="009B30AA" w:rsidP="00B30034">
      <w:pPr>
        <w:overflowPunct/>
        <w:adjustRightInd/>
        <w:jc w:val="center"/>
        <w:textAlignment w:val="auto"/>
      </w:pPr>
    </w:p>
    <w:tbl>
      <w:tblPr>
        <w:tblpPr w:leftFromText="181" w:rightFromText="181" w:tblpYSpec="bottom"/>
        <w:tblOverlap w:val="never"/>
        <w:tblW w:w="9289" w:type="dxa"/>
        <w:tblLayout w:type="fixed"/>
        <w:tblLook w:val="04A0" w:firstRow="1" w:lastRow="0" w:firstColumn="1" w:lastColumn="0" w:noHBand="0" w:noVBand="1"/>
      </w:tblPr>
      <w:tblGrid>
        <w:gridCol w:w="3402"/>
        <w:gridCol w:w="5887"/>
      </w:tblGrid>
      <w:tr w:rsidR="007F5E0D" w:rsidRPr="002B0952" w14:paraId="32FFB22C" w14:textId="77777777" w:rsidTr="00DB5D67">
        <w:tc>
          <w:tcPr>
            <w:tcW w:w="3402" w:type="dxa"/>
          </w:tcPr>
          <w:p w14:paraId="47E17EC6" w14:textId="77777777" w:rsidR="007F5E0D" w:rsidRPr="002B0952" w:rsidRDefault="4CF6D56A" w:rsidP="00B30034">
            <w:pPr>
              <w:overflowPunct/>
              <w:adjustRightInd/>
              <w:jc w:val="left"/>
              <w:textAlignment w:val="auto"/>
              <w:rPr>
                <w:szCs w:val="22"/>
              </w:rPr>
            </w:pPr>
            <w:r>
              <w:t>Date de contact</w:t>
            </w:r>
          </w:p>
        </w:tc>
        <w:tc>
          <w:tcPr>
            <w:tcW w:w="5887" w:type="dxa"/>
          </w:tcPr>
          <w:p w14:paraId="30C93B96" w14:textId="67A34BB0" w:rsidR="008941D9" w:rsidRPr="002B0952" w:rsidRDefault="00B716AB" w:rsidP="00B30034">
            <w:pPr>
              <w:overflowPunct/>
              <w:adjustRightInd/>
              <w:jc w:val="left"/>
              <w:textAlignment w:val="auto"/>
              <w:rPr>
                <w:szCs w:val="22"/>
              </w:rPr>
            </w:pPr>
            <w:hyperlink r:id="rId11" w:history="1">
              <w:r w:rsidR="00CB36D1">
                <w:rPr>
                  <w:rStyle w:val="Hyperlink"/>
                </w:rPr>
                <w:t>marco.ristori@eesc.europa.eu</w:t>
              </w:r>
            </w:hyperlink>
          </w:p>
        </w:tc>
      </w:tr>
      <w:tr w:rsidR="007F5E0D" w:rsidRPr="002B0952" w14:paraId="2D91B5D4" w14:textId="77777777" w:rsidTr="00DB5D67">
        <w:trPr>
          <w:trHeight w:val="213"/>
        </w:trPr>
        <w:tc>
          <w:tcPr>
            <w:tcW w:w="3402" w:type="dxa"/>
          </w:tcPr>
          <w:p w14:paraId="1663232B" w14:textId="77777777" w:rsidR="007F5E0D" w:rsidRPr="002B0952" w:rsidRDefault="4CF6D56A" w:rsidP="00B30034">
            <w:pPr>
              <w:overflowPunct/>
              <w:adjustRightInd/>
              <w:jc w:val="left"/>
              <w:textAlignment w:val="auto"/>
              <w:rPr>
                <w:szCs w:val="22"/>
              </w:rPr>
            </w:pPr>
            <w:r>
              <w:t>Administrator</w:t>
            </w:r>
          </w:p>
        </w:tc>
        <w:tc>
          <w:tcPr>
            <w:tcW w:w="5887" w:type="dxa"/>
          </w:tcPr>
          <w:p w14:paraId="7448F2A6" w14:textId="0C64635E" w:rsidR="007F5E0D" w:rsidRPr="002B0952" w:rsidRDefault="00AA018F" w:rsidP="00B30034">
            <w:pPr>
              <w:overflowPunct/>
              <w:adjustRightInd/>
              <w:jc w:val="left"/>
              <w:textAlignment w:val="auto"/>
              <w:rPr>
                <w:szCs w:val="22"/>
              </w:rPr>
            </w:pPr>
            <w:r>
              <w:t xml:space="preserve">Marco </w:t>
            </w:r>
            <w:r w:rsidR="00DB5D67">
              <w:t>RISTORI</w:t>
            </w:r>
          </w:p>
        </w:tc>
      </w:tr>
      <w:tr w:rsidR="007F5E0D" w:rsidRPr="002B0952" w14:paraId="0161B212" w14:textId="77777777" w:rsidTr="00DB5D67">
        <w:tc>
          <w:tcPr>
            <w:tcW w:w="3402" w:type="dxa"/>
          </w:tcPr>
          <w:p w14:paraId="49F952AB" w14:textId="77777777" w:rsidR="007F5E0D" w:rsidRPr="002B0952" w:rsidRDefault="4CF6D56A" w:rsidP="00B30034">
            <w:pPr>
              <w:overflowPunct/>
              <w:adjustRightInd/>
              <w:jc w:val="left"/>
              <w:textAlignment w:val="auto"/>
              <w:rPr>
                <w:szCs w:val="22"/>
              </w:rPr>
            </w:pPr>
            <w:r>
              <w:t>Data documentului</w:t>
            </w:r>
          </w:p>
        </w:tc>
        <w:tc>
          <w:tcPr>
            <w:tcW w:w="5887" w:type="dxa"/>
          </w:tcPr>
          <w:p w14:paraId="7CE53CFD" w14:textId="744ADAF3" w:rsidR="007F5E0D" w:rsidRPr="002B0952" w:rsidRDefault="000A338D" w:rsidP="00B30034">
            <w:pPr>
              <w:overflowPunct/>
              <w:adjustRightInd/>
              <w:jc w:val="left"/>
              <w:textAlignment w:val="auto"/>
              <w:rPr>
                <w:szCs w:val="22"/>
              </w:rPr>
            </w:pPr>
            <w:r>
              <w:t>22/5/2026</w:t>
            </w:r>
          </w:p>
        </w:tc>
      </w:tr>
    </w:tbl>
    <w:p w14:paraId="1BF90F45" w14:textId="77777777" w:rsidR="00704FBB" w:rsidRPr="002B0952" w:rsidRDefault="4CF6D56A" w:rsidP="00B30034">
      <w:pPr>
        <w:overflowPunct/>
        <w:adjustRightInd/>
        <w:jc w:val="center"/>
        <w:textAlignment w:val="auto"/>
        <w:rPr>
          <w:bCs/>
        </w:rPr>
      </w:pPr>
      <w:r>
        <w:t xml:space="preserve">Raportoare: </w:t>
      </w:r>
      <w:r>
        <w:rPr>
          <w:b/>
        </w:rPr>
        <w:t>Milena ANGELOVA (BG-I)</w:t>
      </w:r>
    </w:p>
    <w:p w14:paraId="6570FC9B" w14:textId="77777777" w:rsidR="00704FBB" w:rsidRPr="002B0952" w:rsidRDefault="00704FBB" w:rsidP="00B30034">
      <w:pPr>
        <w:overflowPunct/>
        <w:adjustRightInd/>
        <w:jc w:val="left"/>
        <w:textAlignment w:val="auto"/>
      </w:pPr>
    </w:p>
    <w:p w14:paraId="3A97C5D6" w14:textId="77777777" w:rsidR="00646AC2" w:rsidRPr="002B0952" w:rsidRDefault="00646AC2" w:rsidP="00B30034">
      <w:pPr>
        <w:overflowPunct/>
        <w:adjustRightInd/>
        <w:textAlignment w:val="auto"/>
      </w:pPr>
    </w:p>
    <w:p w14:paraId="6B8D826C" w14:textId="77777777" w:rsidR="00646AC2" w:rsidRPr="002B0952" w:rsidRDefault="00646AC2" w:rsidP="00B30034">
      <w:pPr>
        <w:overflowPunct/>
        <w:adjustRightInd/>
        <w:textAlignment w:val="auto"/>
        <w:sectPr w:rsidR="00646AC2" w:rsidRPr="002B0952" w:rsidSect="00987D85">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402"/>
        <w:gridCol w:w="5671"/>
      </w:tblGrid>
      <w:tr w:rsidR="00B757F4" w:rsidRPr="00175DAE" w14:paraId="319ED485" w14:textId="77777777" w:rsidTr="00DB5D67">
        <w:tc>
          <w:tcPr>
            <w:tcW w:w="3402" w:type="dxa"/>
          </w:tcPr>
          <w:p w14:paraId="775A3C6C" w14:textId="77777777" w:rsidR="00213DC6" w:rsidRPr="002B0952" w:rsidRDefault="005A7B8E" w:rsidP="00B30034">
            <w:pPr>
              <w:overflowPunct/>
              <w:adjustRightInd/>
              <w:jc w:val="left"/>
              <w:textAlignment w:val="auto"/>
            </w:pPr>
            <w:r>
              <w:lastRenderedPageBreak/>
              <w:t>Consilieri</w:t>
            </w:r>
          </w:p>
        </w:tc>
        <w:tc>
          <w:tcPr>
            <w:tcW w:w="5671" w:type="dxa"/>
          </w:tcPr>
          <w:p w14:paraId="5BCCEFE5" w14:textId="77777777" w:rsidR="00B30034" w:rsidRPr="00812063" w:rsidRDefault="00492A64" w:rsidP="00DB5D67">
            <w:pPr>
              <w:overflowPunct/>
              <w:adjustRightInd/>
              <w:textAlignment w:val="auto"/>
            </w:pPr>
            <w:proofErr w:type="spellStart"/>
            <w:r>
              <w:t>Tellervo</w:t>
            </w:r>
            <w:proofErr w:type="spellEnd"/>
            <w:r>
              <w:t xml:space="preserve"> KYLÄ-HARAKKA-RUONALA (pentru raportoare)</w:t>
            </w:r>
          </w:p>
          <w:p w14:paraId="601C1D59" w14:textId="77777777" w:rsidR="005A7B8E" w:rsidRPr="00812063" w:rsidRDefault="00492A64" w:rsidP="00B30034">
            <w:pPr>
              <w:overflowPunct/>
              <w:adjustRightInd/>
              <w:jc w:val="left"/>
              <w:textAlignment w:val="auto"/>
            </w:pPr>
            <w:r>
              <w:t>Anna COLOMBO (pentru Grupul III)</w:t>
            </w:r>
          </w:p>
        </w:tc>
      </w:tr>
      <w:tr w:rsidR="007D4916" w:rsidRPr="002B0952" w14:paraId="32039378" w14:textId="77777777" w:rsidTr="00DB5D67">
        <w:tc>
          <w:tcPr>
            <w:tcW w:w="3402" w:type="dxa"/>
          </w:tcPr>
          <w:p w14:paraId="354BCF74" w14:textId="4213AA22" w:rsidR="007D4916" w:rsidRPr="002B0952" w:rsidRDefault="007D4916" w:rsidP="00B30034">
            <w:pPr>
              <w:overflowPunct/>
              <w:adjustRightInd/>
              <w:jc w:val="left"/>
              <w:textAlignment w:val="auto"/>
            </w:pPr>
            <w:r>
              <w:t>Comisia competentă a PE</w:t>
            </w:r>
          </w:p>
        </w:tc>
        <w:tc>
          <w:tcPr>
            <w:tcW w:w="5671" w:type="dxa"/>
          </w:tcPr>
          <w:p w14:paraId="38626683" w14:textId="77777777" w:rsidR="007D4916" w:rsidRPr="002B0952" w:rsidRDefault="007D4916" w:rsidP="00B30034">
            <w:pPr>
              <w:overflowPunct/>
              <w:adjustRightInd/>
              <w:jc w:val="left"/>
              <w:textAlignment w:val="auto"/>
            </w:pPr>
            <w:r>
              <w:t>INTA</w:t>
            </w:r>
          </w:p>
        </w:tc>
      </w:tr>
      <w:tr w:rsidR="0011656A" w:rsidRPr="002B0952" w14:paraId="3B38D5EB" w14:textId="77777777" w:rsidTr="00DB5D67">
        <w:tc>
          <w:tcPr>
            <w:tcW w:w="3402" w:type="dxa"/>
          </w:tcPr>
          <w:p w14:paraId="4E3D414D" w14:textId="77777777" w:rsidR="0011656A" w:rsidRPr="002B0952" w:rsidRDefault="4CF6D56A" w:rsidP="00B30034">
            <w:pPr>
              <w:overflowPunct/>
              <w:adjustRightInd/>
              <w:jc w:val="left"/>
              <w:textAlignment w:val="auto"/>
              <w:rPr>
                <w:szCs w:val="22"/>
              </w:rPr>
            </w:pPr>
            <w:r>
              <w:t>Sesizare</w:t>
            </w:r>
          </w:p>
        </w:tc>
        <w:tc>
          <w:tcPr>
            <w:tcW w:w="5671" w:type="dxa"/>
          </w:tcPr>
          <w:p w14:paraId="1EFF1798" w14:textId="77777777" w:rsidR="0011656A" w:rsidRPr="002B0952" w:rsidRDefault="006A0B8B" w:rsidP="00B30034">
            <w:pPr>
              <w:overflowPunct/>
              <w:adjustRightInd/>
              <w:jc w:val="left"/>
              <w:textAlignment w:val="auto"/>
              <w:rPr>
                <w:szCs w:val="22"/>
              </w:rPr>
            </w:pPr>
            <w:r>
              <w:t>Comisia Europeană, 14/1/2026</w:t>
            </w:r>
          </w:p>
        </w:tc>
      </w:tr>
      <w:tr w:rsidR="0016503F" w:rsidRPr="002B0952" w14:paraId="68D768AF" w14:textId="77777777" w:rsidTr="00DB5D67">
        <w:trPr>
          <w:trHeight w:val="251"/>
        </w:trPr>
        <w:tc>
          <w:tcPr>
            <w:tcW w:w="3402" w:type="dxa"/>
          </w:tcPr>
          <w:p w14:paraId="0E737EF4" w14:textId="77777777" w:rsidR="0016503F" w:rsidRPr="002B0952" w:rsidRDefault="4CF6D56A" w:rsidP="00B30034">
            <w:pPr>
              <w:overflowPunct/>
              <w:adjustRightInd/>
              <w:jc w:val="left"/>
              <w:textAlignment w:val="auto"/>
              <w:rPr>
                <w:szCs w:val="22"/>
              </w:rPr>
            </w:pPr>
            <w:r>
              <w:t>Temei juridic</w:t>
            </w:r>
          </w:p>
        </w:tc>
        <w:tc>
          <w:tcPr>
            <w:tcW w:w="5671" w:type="dxa"/>
          </w:tcPr>
          <w:p w14:paraId="7FD9FD4D" w14:textId="77777777" w:rsidR="0016503F" w:rsidRPr="002B0952" w:rsidRDefault="4CF6D56A" w:rsidP="00DB5D67">
            <w:pPr>
              <w:overflowPunct/>
              <w:adjustRightInd/>
              <w:textAlignment w:val="auto"/>
              <w:rPr>
                <w:szCs w:val="22"/>
              </w:rPr>
            </w:pPr>
            <w:r>
              <w:t>Articolul 304 din Tratatul privind funcționarea Uniunii Europene</w:t>
            </w:r>
          </w:p>
        </w:tc>
      </w:tr>
      <w:tr w:rsidR="005A7B8E" w:rsidRPr="002B0952" w14:paraId="24D8AD18" w14:textId="77777777" w:rsidTr="00DB5D67">
        <w:tc>
          <w:tcPr>
            <w:tcW w:w="3402" w:type="dxa"/>
          </w:tcPr>
          <w:p w14:paraId="2A2C91E4" w14:textId="77777777" w:rsidR="005A7B8E" w:rsidRPr="002B0952" w:rsidRDefault="005A7B8E" w:rsidP="00DB5D67">
            <w:pPr>
              <w:overflowPunct/>
              <w:adjustRightInd/>
              <w:textAlignment w:val="auto"/>
            </w:pPr>
            <w:r>
              <w:t>Textul integral al Comunicării comune a Comisiei Europene</w:t>
            </w:r>
          </w:p>
        </w:tc>
        <w:tc>
          <w:tcPr>
            <w:tcW w:w="5671" w:type="dxa"/>
            <w:vAlign w:val="bottom"/>
          </w:tcPr>
          <w:p w14:paraId="0AE596D9" w14:textId="30E7B443" w:rsidR="005A7B8E" w:rsidRPr="00C84509" w:rsidRDefault="00B716AB" w:rsidP="00B30034">
            <w:pPr>
              <w:overflowPunct/>
              <w:adjustRightInd/>
              <w:jc w:val="left"/>
              <w:textAlignment w:val="auto"/>
              <w:rPr>
                <w:rStyle w:val="Hyperlink"/>
              </w:rPr>
            </w:pPr>
            <w:hyperlink r:id="rId13" w:history="1">
              <w:r w:rsidR="00CB36D1">
                <w:rPr>
                  <w:rStyle w:val="Hyperlink"/>
                </w:rPr>
                <w:t>link</w:t>
              </w:r>
            </w:hyperlink>
          </w:p>
        </w:tc>
      </w:tr>
      <w:tr w:rsidR="005A7B8E" w:rsidRPr="002B0952" w14:paraId="3E48FA34" w14:textId="77777777" w:rsidTr="00DB5D67">
        <w:tc>
          <w:tcPr>
            <w:tcW w:w="3402" w:type="dxa"/>
          </w:tcPr>
          <w:p w14:paraId="27753648" w14:textId="77777777" w:rsidR="005A7B8E" w:rsidRPr="002B0952" w:rsidRDefault="005A7B8E" w:rsidP="00B30034">
            <w:pPr>
              <w:overflowPunct/>
              <w:adjustRightInd/>
              <w:jc w:val="left"/>
              <w:textAlignment w:val="auto"/>
            </w:pPr>
          </w:p>
        </w:tc>
        <w:tc>
          <w:tcPr>
            <w:tcW w:w="5671" w:type="dxa"/>
            <w:vAlign w:val="bottom"/>
          </w:tcPr>
          <w:p w14:paraId="56B02359" w14:textId="77777777" w:rsidR="005A7B8E" w:rsidRPr="002B0952" w:rsidRDefault="005A7B8E" w:rsidP="00B30034">
            <w:pPr>
              <w:overflowPunct/>
              <w:adjustRightInd/>
              <w:jc w:val="left"/>
              <w:textAlignment w:val="auto"/>
            </w:pPr>
          </w:p>
        </w:tc>
      </w:tr>
      <w:tr w:rsidR="005A7B8E" w:rsidRPr="002B0952" w14:paraId="612FB2F6" w14:textId="77777777" w:rsidTr="00DB5D67">
        <w:tc>
          <w:tcPr>
            <w:tcW w:w="3402" w:type="dxa"/>
          </w:tcPr>
          <w:p w14:paraId="10B373D0" w14:textId="77777777" w:rsidR="005A7B8E" w:rsidRPr="002B0952" w:rsidRDefault="005A7B8E" w:rsidP="00B30034">
            <w:pPr>
              <w:overflowPunct/>
              <w:adjustRightInd/>
              <w:jc w:val="left"/>
              <w:textAlignment w:val="auto"/>
            </w:pPr>
            <w:r>
              <w:t>ODD relevante</w:t>
            </w:r>
          </w:p>
        </w:tc>
        <w:tc>
          <w:tcPr>
            <w:tcW w:w="5671" w:type="dxa"/>
          </w:tcPr>
          <w:p w14:paraId="4F6E9AA6" w14:textId="1A1E1D9C" w:rsidR="005A7B8E" w:rsidRPr="002B0952" w:rsidRDefault="00B716AB" w:rsidP="00B30034">
            <w:pPr>
              <w:overflowPunct/>
              <w:adjustRightInd/>
              <w:jc w:val="left"/>
              <w:textAlignment w:val="auto"/>
              <w:rPr>
                <w:rStyle w:val="Hyperlink"/>
              </w:rPr>
            </w:pPr>
            <w:hyperlink r:id="rId14" w:tgtFrame="_blank" w:history="1">
              <w:r w:rsidR="00CB36D1">
                <w:rPr>
                  <w:color w:val="0000FF"/>
                  <w:u w:val="single"/>
                </w:rPr>
                <w:t>ODD – 1, 6, 7, 8, 9, 10, 12, 16 și 17</w:t>
              </w:r>
            </w:hyperlink>
          </w:p>
        </w:tc>
      </w:tr>
      <w:tr w:rsidR="005A7B8E" w:rsidRPr="002B0952" w14:paraId="453802C6" w14:textId="77777777" w:rsidTr="00DB5D67">
        <w:tc>
          <w:tcPr>
            <w:tcW w:w="3402" w:type="dxa"/>
          </w:tcPr>
          <w:p w14:paraId="7DF16D57" w14:textId="77777777" w:rsidR="005A7B8E" w:rsidRPr="002B0952" w:rsidRDefault="005A7B8E" w:rsidP="00B30034">
            <w:pPr>
              <w:overflowPunct/>
              <w:adjustRightInd/>
              <w:jc w:val="left"/>
              <w:textAlignment w:val="auto"/>
            </w:pPr>
          </w:p>
        </w:tc>
        <w:tc>
          <w:tcPr>
            <w:tcW w:w="5671" w:type="dxa"/>
          </w:tcPr>
          <w:p w14:paraId="31FCAAFA" w14:textId="77777777" w:rsidR="005A7B8E" w:rsidRPr="002B0952" w:rsidRDefault="005A7B8E" w:rsidP="00B30034">
            <w:pPr>
              <w:overflowPunct/>
              <w:adjustRightInd/>
              <w:jc w:val="left"/>
              <w:textAlignment w:val="auto"/>
            </w:pPr>
          </w:p>
        </w:tc>
      </w:tr>
      <w:tr w:rsidR="00DF5B64" w:rsidRPr="002B0952" w14:paraId="10F235EB" w14:textId="77777777" w:rsidTr="00DB5D67">
        <w:tc>
          <w:tcPr>
            <w:tcW w:w="3402" w:type="dxa"/>
          </w:tcPr>
          <w:p w14:paraId="10CF4A7D" w14:textId="77777777" w:rsidR="00DF5B64" w:rsidRPr="002B0952" w:rsidRDefault="4CF6D56A" w:rsidP="00B30034">
            <w:pPr>
              <w:overflowPunct/>
              <w:adjustRightInd/>
              <w:jc w:val="left"/>
              <w:textAlignment w:val="auto"/>
              <w:rPr>
                <w:szCs w:val="22"/>
              </w:rPr>
            </w:pPr>
            <w:r>
              <w:t>Secțiunea competentă</w:t>
            </w:r>
          </w:p>
        </w:tc>
        <w:tc>
          <w:tcPr>
            <w:tcW w:w="5671" w:type="dxa"/>
          </w:tcPr>
          <w:p w14:paraId="7B6947BE" w14:textId="77777777" w:rsidR="00DF5B64" w:rsidRPr="002B0952" w:rsidRDefault="007D58F3" w:rsidP="00B30034">
            <w:pPr>
              <w:overflowPunct/>
              <w:adjustRightInd/>
              <w:jc w:val="left"/>
              <w:textAlignment w:val="auto"/>
              <w:rPr>
                <w:szCs w:val="22"/>
              </w:rPr>
            </w:pPr>
            <w:r>
              <w:t>Secțiunea pentru relații externe</w:t>
            </w:r>
          </w:p>
        </w:tc>
      </w:tr>
      <w:tr w:rsidR="00A156E6" w:rsidRPr="002B0952" w14:paraId="6E140A01" w14:textId="77777777" w:rsidTr="00DB5D67">
        <w:tc>
          <w:tcPr>
            <w:tcW w:w="3402" w:type="dxa"/>
          </w:tcPr>
          <w:p w14:paraId="370B2F72" w14:textId="77777777" w:rsidR="00A156E6" w:rsidRPr="002B0952" w:rsidRDefault="4CF6D56A" w:rsidP="00B30034">
            <w:pPr>
              <w:overflowPunct/>
              <w:adjustRightInd/>
              <w:jc w:val="left"/>
              <w:textAlignment w:val="auto"/>
              <w:rPr>
                <w:szCs w:val="22"/>
              </w:rPr>
            </w:pPr>
            <w:r>
              <w:t>Data adoptării în secțiune</w:t>
            </w:r>
          </w:p>
        </w:tc>
        <w:tc>
          <w:tcPr>
            <w:tcW w:w="5671" w:type="dxa"/>
          </w:tcPr>
          <w:p w14:paraId="4327EF4C" w14:textId="07300755" w:rsidR="00A156E6" w:rsidRPr="002B0952" w:rsidRDefault="00536523" w:rsidP="00B30034">
            <w:pPr>
              <w:overflowPunct/>
              <w:adjustRightInd/>
              <w:jc w:val="left"/>
              <w:textAlignment w:val="auto"/>
              <w:rPr>
                <w:szCs w:val="22"/>
              </w:rPr>
            </w:pPr>
            <w:r>
              <w:t>22/5/2026</w:t>
            </w:r>
          </w:p>
        </w:tc>
      </w:tr>
      <w:tr w:rsidR="00A93381" w:rsidRPr="002B0952" w14:paraId="0091746A" w14:textId="77777777" w:rsidTr="00DB5D67">
        <w:tc>
          <w:tcPr>
            <w:tcW w:w="3402" w:type="dxa"/>
          </w:tcPr>
          <w:p w14:paraId="11D0A893" w14:textId="77777777" w:rsidR="00A93381" w:rsidRPr="002B0952" w:rsidRDefault="4CF6D56A" w:rsidP="00B30034">
            <w:pPr>
              <w:overflowPunct/>
              <w:adjustRightInd/>
              <w:jc w:val="left"/>
              <w:textAlignment w:val="auto"/>
            </w:pPr>
            <w:r>
              <w:t xml:space="preserve">Rezultatul votului </w:t>
            </w:r>
            <w:r>
              <w:br/>
              <w:t>(pentru/împotrivă/abțineri)</w:t>
            </w:r>
          </w:p>
        </w:tc>
        <w:tc>
          <w:tcPr>
            <w:tcW w:w="5671" w:type="dxa"/>
            <w:vAlign w:val="bottom"/>
          </w:tcPr>
          <w:p w14:paraId="0CDFCB93" w14:textId="26AB4976" w:rsidR="00A93381" w:rsidRPr="002B0952" w:rsidRDefault="00536523" w:rsidP="00B30034">
            <w:pPr>
              <w:overflowPunct/>
              <w:adjustRightInd/>
              <w:jc w:val="left"/>
              <w:textAlignment w:val="auto"/>
            </w:pPr>
            <w:r>
              <w:t>107/0/0</w:t>
            </w:r>
          </w:p>
        </w:tc>
      </w:tr>
      <w:tr w:rsidR="00A156E6" w:rsidRPr="002B0952" w14:paraId="0FEC91A9" w14:textId="77777777" w:rsidTr="00DB5D67">
        <w:tc>
          <w:tcPr>
            <w:tcW w:w="3402" w:type="dxa"/>
          </w:tcPr>
          <w:p w14:paraId="672BA7D9" w14:textId="77777777" w:rsidR="00A156E6" w:rsidRPr="002B0952" w:rsidRDefault="4CF6D56A" w:rsidP="00B30034">
            <w:pPr>
              <w:overflowPunct/>
              <w:adjustRightInd/>
              <w:jc w:val="left"/>
              <w:textAlignment w:val="auto"/>
              <w:rPr>
                <w:szCs w:val="22"/>
              </w:rPr>
            </w:pPr>
            <w:r>
              <w:t>Data adoptării în sesiunea plenară</w:t>
            </w:r>
          </w:p>
        </w:tc>
        <w:tc>
          <w:tcPr>
            <w:tcW w:w="5671" w:type="dxa"/>
          </w:tcPr>
          <w:p w14:paraId="10D32985" w14:textId="77777777" w:rsidR="00A156E6" w:rsidRPr="002B0952" w:rsidRDefault="4CF6D56A" w:rsidP="00B30034">
            <w:pPr>
              <w:overflowPunct/>
              <w:adjustRightInd/>
              <w:jc w:val="left"/>
              <w:textAlignment w:val="auto"/>
              <w:rPr>
                <w:szCs w:val="22"/>
              </w:rPr>
            </w:pPr>
            <w:r>
              <w:t>D/M/YYYY</w:t>
            </w:r>
          </w:p>
        </w:tc>
      </w:tr>
      <w:tr w:rsidR="00BA1290" w:rsidRPr="002B0952" w14:paraId="6AA4E2F7" w14:textId="77777777" w:rsidTr="00DB5D67">
        <w:tc>
          <w:tcPr>
            <w:tcW w:w="3402" w:type="dxa"/>
          </w:tcPr>
          <w:p w14:paraId="019CB8AB" w14:textId="77777777" w:rsidR="00BA1290" w:rsidRPr="002B0952" w:rsidRDefault="4CF6D56A" w:rsidP="00B30034">
            <w:pPr>
              <w:overflowPunct/>
              <w:adjustRightInd/>
              <w:jc w:val="left"/>
              <w:textAlignment w:val="auto"/>
              <w:rPr>
                <w:szCs w:val="22"/>
              </w:rPr>
            </w:pPr>
            <w:r>
              <w:t>Sesiunea plenară nr.</w:t>
            </w:r>
          </w:p>
        </w:tc>
        <w:tc>
          <w:tcPr>
            <w:tcW w:w="5671" w:type="dxa"/>
          </w:tcPr>
          <w:p w14:paraId="74653B67" w14:textId="77777777" w:rsidR="00BA1290" w:rsidRPr="002B0952" w:rsidRDefault="4CF6D56A" w:rsidP="00B30034">
            <w:pPr>
              <w:overflowPunct/>
              <w:adjustRightInd/>
              <w:jc w:val="left"/>
              <w:textAlignment w:val="auto"/>
              <w:rPr>
                <w:szCs w:val="22"/>
              </w:rPr>
            </w:pPr>
            <w:r>
              <w:t>…</w:t>
            </w:r>
          </w:p>
        </w:tc>
      </w:tr>
      <w:tr w:rsidR="00A156E6" w:rsidRPr="002B0952" w14:paraId="2E4B1585" w14:textId="77777777" w:rsidTr="00DB5D67">
        <w:tc>
          <w:tcPr>
            <w:tcW w:w="3402" w:type="dxa"/>
          </w:tcPr>
          <w:p w14:paraId="52A40F8C" w14:textId="77777777" w:rsidR="00D423D4" w:rsidRPr="002B0952" w:rsidRDefault="4CF6D56A" w:rsidP="00B30034">
            <w:pPr>
              <w:overflowPunct/>
              <w:adjustRightInd/>
              <w:jc w:val="left"/>
            </w:pPr>
            <w:r>
              <w:t xml:space="preserve">Rezultatul votului </w:t>
            </w:r>
            <w:r>
              <w:br/>
              <w:t>(pentru/împotrivă/abțineri)</w:t>
            </w:r>
          </w:p>
        </w:tc>
        <w:tc>
          <w:tcPr>
            <w:tcW w:w="5671" w:type="dxa"/>
            <w:vAlign w:val="bottom"/>
          </w:tcPr>
          <w:p w14:paraId="7AF54453" w14:textId="77777777" w:rsidR="00A156E6" w:rsidRPr="002B0952" w:rsidRDefault="4CF6D56A" w:rsidP="00B30034">
            <w:pPr>
              <w:overflowPunct/>
              <w:adjustRightInd/>
              <w:jc w:val="left"/>
              <w:textAlignment w:val="auto"/>
              <w:rPr>
                <w:szCs w:val="22"/>
              </w:rPr>
            </w:pPr>
            <w:r>
              <w:t>…/…/…</w:t>
            </w:r>
          </w:p>
        </w:tc>
      </w:tr>
    </w:tbl>
    <w:p w14:paraId="1185626A" w14:textId="77777777" w:rsidR="0090053A" w:rsidRPr="002B0952" w:rsidRDefault="0090053A" w:rsidP="00B30034">
      <w:pPr>
        <w:overflowPunct/>
        <w:adjustRightInd/>
        <w:textAlignment w:val="auto"/>
      </w:pPr>
    </w:p>
    <w:p w14:paraId="451D40D8" w14:textId="77777777" w:rsidR="00646AC2" w:rsidRPr="002B0952" w:rsidRDefault="00646AC2" w:rsidP="00B30034">
      <w:pPr>
        <w:overflowPunct/>
        <w:adjustRightInd/>
        <w:textAlignment w:val="auto"/>
      </w:pPr>
      <w:r>
        <w:br w:type="page"/>
      </w:r>
    </w:p>
    <w:p w14:paraId="0E4D6B20" w14:textId="77777777" w:rsidR="00194B36" w:rsidRPr="002B0952" w:rsidRDefault="00E67B8E" w:rsidP="00B30034">
      <w:pPr>
        <w:pStyle w:val="Heading1"/>
        <w:ind w:left="567" w:hanging="567"/>
      </w:pPr>
      <w:bookmarkStart w:id="0" w:name="_Hlk155281387"/>
      <w:r>
        <w:rPr>
          <w:b/>
        </w:rPr>
        <w:t>RECOMANDĂRI</w:t>
      </w:r>
    </w:p>
    <w:p w14:paraId="4B135722" w14:textId="77777777" w:rsidR="00A774EA" w:rsidRPr="002B0952" w:rsidRDefault="00A774EA" w:rsidP="00B30034">
      <w:pPr>
        <w:overflowPunct/>
        <w:adjustRightInd/>
        <w:ind w:left="142" w:hanging="142"/>
        <w:jc w:val="left"/>
        <w:textAlignment w:val="auto"/>
      </w:pPr>
    </w:p>
    <w:p w14:paraId="40028925" w14:textId="7C263474" w:rsidR="00A774EA" w:rsidRPr="002B0952" w:rsidRDefault="00A774EA" w:rsidP="00B30034">
      <w:pPr>
        <w:overflowPunct/>
        <w:adjustRightInd/>
        <w:jc w:val="left"/>
        <w:textAlignment w:val="auto"/>
        <w:rPr>
          <w:i/>
          <w:iCs/>
        </w:rPr>
      </w:pPr>
      <w:r>
        <w:t>CESE:</w:t>
      </w:r>
    </w:p>
    <w:p w14:paraId="3C542975" w14:textId="77777777" w:rsidR="00A774EA" w:rsidRPr="002B0952" w:rsidRDefault="00A774EA" w:rsidP="00B30034">
      <w:pPr>
        <w:overflowPunct/>
        <w:adjustRightInd/>
        <w:ind w:left="142" w:hanging="142"/>
        <w:jc w:val="left"/>
        <w:textAlignment w:val="auto"/>
      </w:pPr>
    </w:p>
    <w:p w14:paraId="03C73F41" w14:textId="66F6F524" w:rsidR="00483229" w:rsidRPr="002B0952" w:rsidRDefault="00B37B27" w:rsidP="00B30034">
      <w:pPr>
        <w:pStyle w:val="Heading2"/>
        <w:ind w:left="567" w:hanging="567"/>
      </w:pPr>
      <w:r>
        <w:rPr>
          <w:b/>
        </w:rPr>
        <w:t>consideră</w:t>
      </w:r>
      <w:r>
        <w:t xml:space="preserve"> că securitatea economică (a se vedea punctele 2.2-2.3 referitoare la concept) reprezintă un obiectiv esențial al UE și solicită </w:t>
      </w:r>
      <w:r>
        <w:rPr>
          <w:i/>
        </w:rPr>
        <w:t>acțiuni urgente și integrate</w:t>
      </w:r>
      <w:r>
        <w:t xml:space="preserve"> în toate domeniile de politică relevante, în special în politicile privind inovarea, energia, mediul digital, industria, economia, comerțul și parteneriatele internaționale, fără a pierde din vedere contribuția politicilor în materie de educație și de ocupare a forței de muncă și a politicilor sociale; acest demers necesită o cooperare strânsă, orientată spre rezultate și </w:t>
      </w:r>
      <w:proofErr w:type="spellStart"/>
      <w:r>
        <w:t>transsectorială</w:t>
      </w:r>
      <w:proofErr w:type="spellEnd"/>
      <w:r>
        <w:t>, o alocare clară a responsabilităților și o coordonare eficace între nivelul UE și nivelul statelor membre;</w:t>
      </w:r>
    </w:p>
    <w:p w14:paraId="59EADCC6" w14:textId="77777777" w:rsidR="00D453C1" w:rsidRPr="002B0952" w:rsidRDefault="00D453C1" w:rsidP="00633D46"/>
    <w:p w14:paraId="22248A6C" w14:textId="3F2F07D3" w:rsidR="00134D4B" w:rsidRPr="002B0952" w:rsidRDefault="00134D4B" w:rsidP="00134D4B">
      <w:pPr>
        <w:pStyle w:val="Heading2"/>
        <w:ind w:left="567" w:hanging="567"/>
      </w:pPr>
      <w:r>
        <w:rPr>
          <w:b/>
        </w:rPr>
        <w:t>subliniază</w:t>
      </w:r>
      <w:r>
        <w:t xml:space="preserve"> legăturile din ce în ce mai strânse dintre securitatea economică și celelalte dimensiuni de politică ale </w:t>
      </w:r>
      <w:r>
        <w:rPr>
          <w:i/>
        </w:rPr>
        <w:t>securității globale</w:t>
      </w:r>
      <w:r>
        <w:t xml:space="preserve"> și evidențiază că UE trebuie să se pregătească să facă față unor riscuri tot mai numeroase consolidându-și rolul care îi revine pe plan mondial, pe baza unei economii puternice, a unei capacități solide de apărare, a rezilienței democratice, a unor capabilități diplomatice eficace pentru soluționarea și prevenirea conflictelor și a cooperării cu țări terțe care împărtășesc aceeași viziune pentru a promova stabilitatea geopolitică;</w:t>
      </w:r>
    </w:p>
    <w:p w14:paraId="6EDF19B0" w14:textId="77777777" w:rsidR="00134D4B" w:rsidRPr="002B0952" w:rsidRDefault="00134D4B" w:rsidP="00134D4B">
      <w:pPr>
        <w:pStyle w:val="Heading2"/>
        <w:numPr>
          <w:ilvl w:val="0"/>
          <w:numId w:val="0"/>
        </w:numPr>
        <w:ind w:left="567"/>
      </w:pPr>
    </w:p>
    <w:p w14:paraId="7FE96793" w14:textId="15C8708E" w:rsidR="00C879EA" w:rsidRPr="002B0952" w:rsidRDefault="004F6B29" w:rsidP="00B30034">
      <w:pPr>
        <w:pStyle w:val="Heading2"/>
        <w:ind w:left="567" w:hanging="567"/>
      </w:pPr>
      <w:r>
        <w:rPr>
          <w:b/>
        </w:rPr>
        <w:t>apreciază</w:t>
      </w:r>
      <w:r>
        <w:t xml:space="preserve"> eforturile de a aborda mai bine domeniile descrise ca fiind cu risc ridicat, dar consideră că este esențial să se pună accentul și pe măsuri orizontale </w:t>
      </w:r>
      <w:r>
        <w:rPr>
          <w:i/>
        </w:rPr>
        <w:t>cu impact ridicat</w:t>
      </w:r>
      <w:r>
        <w:t>, ca de exemplu îmbunătățirea competitivității generale, a atractivității investițiilor și a rezilienței UE și consolidarea deschiderii atât a pieței interne, cât și a celei externe, recunoscând importanța lor specifică pentru economiile mici și făcând o distincție clară între dependențele cu risc scăzut și cele cu risc ridicat;</w:t>
      </w:r>
    </w:p>
    <w:p w14:paraId="38376F4F" w14:textId="77777777" w:rsidR="00170884" w:rsidRPr="002B0952" w:rsidRDefault="00170884" w:rsidP="00B30034">
      <w:pPr>
        <w:ind w:left="567" w:hanging="567"/>
      </w:pPr>
    </w:p>
    <w:p w14:paraId="41B5FBBF" w14:textId="4697A113" w:rsidR="00C879EA" w:rsidRPr="002B0952" w:rsidRDefault="002D349C" w:rsidP="00D84C52">
      <w:pPr>
        <w:pStyle w:val="Heading2"/>
        <w:ind w:left="567" w:hanging="567"/>
      </w:pPr>
      <w:r>
        <w:rPr>
          <w:b/>
        </w:rPr>
        <w:t>evidențiază</w:t>
      </w:r>
      <w:r>
        <w:t xml:space="preserve"> rolul </w:t>
      </w:r>
      <w:r>
        <w:rPr>
          <w:i/>
        </w:rPr>
        <w:t>fundamentelor economice interne</w:t>
      </w:r>
      <w:r>
        <w:t xml:space="preserve"> puternice, în special stabilitatea macroeconomică, o capacitate de inovare și de producție solide, precum și o piață unică funcțională – în conformitate cu modelul de economie socială de piață al UE și luând în considerare printre fundamente și dialogul social – ca factori strategici ai securității economice, și solicită măsuri menite să creeze un mediu mai favorabil, în care întreprinderile din UE să poată inova, investi, crea locuri de muncă, produce și desfășura activități comerciale, și în care fiecare cetățean să poată beneficia de pe urma creșterii economice;</w:t>
      </w:r>
    </w:p>
    <w:p w14:paraId="7D87A440" w14:textId="77777777" w:rsidR="00ED3DDF" w:rsidRPr="002B0952" w:rsidRDefault="00ED3DDF" w:rsidP="002B2BFB">
      <w:pPr>
        <w:pStyle w:val="Heading2"/>
        <w:numPr>
          <w:ilvl w:val="0"/>
          <w:numId w:val="0"/>
        </w:numPr>
        <w:ind w:left="567" w:hanging="567"/>
      </w:pPr>
    </w:p>
    <w:p w14:paraId="57B53198" w14:textId="0740AF7F" w:rsidR="00C879EA" w:rsidRPr="002B0952" w:rsidRDefault="00B15E96" w:rsidP="00D84C52">
      <w:pPr>
        <w:pStyle w:val="Heading2"/>
        <w:ind w:left="567" w:hanging="567"/>
      </w:pPr>
      <w:r>
        <w:rPr>
          <w:b/>
        </w:rPr>
        <w:t>subliniază</w:t>
      </w:r>
      <w:r>
        <w:t xml:space="preserve"> nevoia unei creșteri substanțiale a </w:t>
      </w:r>
      <w:r>
        <w:rPr>
          <w:i/>
        </w:rPr>
        <w:t>investițiilor și finanțării</w:t>
      </w:r>
      <w:r>
        <w:t xml:space="preserve"> private și publice menite să consolideze economia și securitatea UE, care să acopere domenii de la cercetare și inovare până la implementarea și producția la scară largă, și solicită să se ia măsuri pentru consolidarea decisivă a piețelor financiare ale UE și integrarea securității economice ca obiectiv director în mobilizarea finanțării publice și private într-un mod care să încurajeze inovarea și investițiile într-o mai bună securitate economică, în conformitate cu obiectivele sociale și de mediu, inclusiv cu fundamentele dialogului social;</w:t>
      </w:r>
    </w:p>
    <w:p w14:paraId="5D3C8848" w14:textId="77777777" w:rsidR="00C879EA" w:rsidRPr="002B0952" w:rsidRDefault="00C879EA" w:rsidP="00B30034">
      <w:pPr>
        <w:ind w:left="567" w:hanging="567"/>
      </w:pPr>
    </w:p>
    <w:p w14:paraId="764519DB" w14:textId="56EFAC94" w:rsidR="00636F6C" w:rsidRPr="002B0952" w:rsidRDefault="00636F6C" w:rsidP="00D84C52">
      <w:pPr>
        <w:pStyle w:val="Heading2"/>
        <w:ind w:left="567" w:hanging="567"/>
      </w:pPr>
      <w:r>
        <w:rPr>
          <w:b/>
        </w:rPr>
        <w:t>solicită</w:t>
      </w:r>
      <w:r>
        <w:t xml:space="preserve"> măsuri pentru a facilita dezvoltarea unei </w:t>
      </w:r>
      <w:r>
        <w:rPr>
          <w:i/>
        </w:rPr>
        <w:t>baze de producție și tehnologice</w:t>
      </w:r>
      <w:r>
        <w:t xml:space="preserve"> puternice, inovatoare și diverse, prin îmbunătățirea accesului securizat la toți factorii de producție esențiali, inclusiv la materii prime critice și la energie curată și la prețuri accesibile, și prin stimularea dezvoltării de aptitudini și competențe compatibile cu piața muncii, precum și a know-how-ului de nivel superior în domeniul tehnologiilor-cheie, cum ar fi IA și soluțiile bazate pe date din domeniul științelor vieții, alături de măsuri specifice și proporționale care să consolideze sectoarele critice sau strategice și să garanteze o tranziție justă atât pentru lucrători, cât și pentru cetățeni și întreprinderi;</w:t>
      </w:r>
    </w:p>
    <w:p w14:paraId="4B09C0F0" w14:textId="77777777" w:rsidR="00D453C1" w:rsidRPr="00633D46" w:rsidRDefault="00D453C1" w:rsidP="00633D46">
      <w:pPr>
        <w:pStyle w:val="Heading2"/>
        <w:numPr>
          <w:ilvl w:val="0"/>
          <w:numId w:val="0"/>
        </w:numPr>
        <w:ind w:left="567"/>
      </w:pPr>
    </w:p>
    <w:p w14:paraId="503B84F6" w14:textId="3336D5CA" w:rsidR="00A92F71" w:rsidRPr="002B0952" w:rsidRDefault="00F95611" w:rsidP="00B30034">
      <w:pPr>
        <w:pStyle w:val="Heading2"/>
        <w:ind w:left="567" w:hanging="567"/>
      </w:pPr>
      <w:r>
        <w:rPr>
          <w:b/>
        </w:rPr>
        <w:t>subliniază</w:t>
      </w:r>
      <w:r>
        <w:t xml:space="preserve"> că este necesar să se asigure securitatea și durabilitatea </w:t>
      </w:r>
      <w:r>
        <w:rPr>
          <w:i/>
        </w:rPr>
        <w:t>lanțurilor de aprovizionare și a infrastructurii</w:t>
      </w:r>
      <w:r>
        <w:t xml:space="preserve"> ca ansamblu integrat și solicită, pentru a asigura și a facilita funcțiile vitale ale economiei și societății, eliminarea barierelor de pe piața unică pentru bunuri și servicii și protejarea tuturor tipurilor de infrastructură, cum ar fi infrastructura pentru energie, apă, transporturi sau infrastructura digitală, printr-o combinație adecvată de acțiuni private și publice;</w:t>
      </w:r>
    </w:p>
    <w:p w14:paraId="1668C00A" w14:textId="77777777" w:rsidR="00A92F71" w:rsidRPr="002B0952" w:rsidRDefault="00A92F71" w:rsidP="00B30034">
      <w:pPr>
        <w:pStyle w:val="Heading2"/>
        <w:numPr>
          <w:ilvl w:val="0"/>
          <w:numId w:val="0"/>
        </w:numPr>
        <w:ind w:left="567" w:hanging="567"/>
      </w:pPr>
      <w:r>
        <w:t xml:space="preserve"> </w:t>
      </w:r>
    </w:p>
    <w:p w14:paraId="4B9BFDF9" w14:textId="018F5820" w:rsidR="00C879EA" w:rsidRPr="002B0952" w:rsidRDefault="00217AEF" w:rsidP="00D84C52">
      <w:pPr>
        <w:pStyle w:val="Heading2"/>
        <w:ind w:left="567" w:hanging="567"/>
      </w:pPr>
      <w:r>
        <w:rPr>
          <w:b/>
        </w:rPr>
        <w:t>consideră</w:t>
      </w:r>
      <w:r>
        <w:t xml:space="preserve"> că este imperativ ca UE să-și consolideze și să-și extindă în continuare relațiile </w:t>
      </w:r>
      <w:r>
        <w:rPr>
          <w:i/>
        </w:rPr>
        <w:t>comerciale internaționale</w:t>
      </w:r>
      <w:r>
        <w:t xml:space="preserve"> cu parteneri fiabili, cu scopul de a deschide și a extinde piețele de export pentru întreprinderile europene, inclusiv pentru IMM-uri, precum și de a diversifica sursele de import și a reduce riscurile care le sunt asociate, punând totodată în aplicare acțiunile prevăzute în Comunicarea CE pe tema „Puterea parteneriatelor comerciale” și promovând un sistem comercial multilateral deschis, sustenabil și bazat pe norme;</w:t>
      </w:r>
    </w:p>
    <w:p w14:paraId="3A6B1818" w14:textId="77777777" w:rsidR="00C879EA" w:rsidRPr="002B0952" w:rsidRDefault="00C879EA" w:rsidP="00B30034">
      <w:pPr>
        <w:ind w:left="567" w:hanging="567"/>
        <w:rPr>
          <w:lang w:eastAsia="fi-FI"/>
        </w:rPr>
      </w:pPr>
    </w:p>
    <w:p w14:paraId="39881401" w14:textId="2342A315" w:rsidR="00C879EA" w:rsidRPr="002B0952" w:rsidRDefault="00146202" w:rsidP="00B30034">
      <w:pPr>
        <w:pStyle w:val="Heading2"/>
        <w:ind w:left="567" w:hanging="567"/>
      </w:pPr>
      <w:r>
        <w:rPr>
          <w:b/>
        </w:rPr>
        <w:t>încurajează</w:t>
      </w:r>
      <w:r>
        <w:t xml:space="preserve"> UE să stabilească în mod </w:t>
      </w:r>
      <w:proofErr w:type="spellStart"/>
      <w:r>
        <w:t>proactiv</w:t>
      </w:r>
      <w:proofErr w:type="spellEnd"/>
      <w:r>
        <w:t xml:space="preserve"> noi </w:t>
      </w:r>
      <w:r>
        <w:rPr>
          <w:i/>
        </w:rPr>
        <w:t>parteneriate internaționale</w:t>
      </w:r>
      <w:r>
        <w:t xml:space="preserve"> reciproc avantajoase în domenii ca resursele naturale, tehnologia și infrastructura, precum și tranziția curată și digitală, garantând că astfel de parteneriate contribuie la securitatea economică și la dezvoltarea durabilă și consolidând în același timp în mod activ multilateralismul și progresul mondial sustenabil prin intermediul sistemului ONU;</w:t>
      </w:r>
    </w:p>
    <w:p w14:paraId="3474488D" w14:textId="77777777" w:rsidR="00C879EA" w:rsidRPr="002B0952" w:rsidRDefault="007650FF" w:rsidP="00B30034">
      <w:pPr>
        <w:ind w:left="567" w:hanging="567"/>
      </w:pPr>
      <w:r>
        <w:t xml:space="preserve"> </w:t>
      </w:r>
    </w:p>
    <w:p w14:paraId="17E15C74" w14:textId="2DCACE40" w:rsidR="009F2C91" w:rsidRPr="002B0952" w:rsidRDefault="0009415A" w:rsidP="00B30034">
      <w:pPr>
        <w:pStyle w:val="Heading2"/>
        <w:ind w:left="567" w:hanging="567"/>
      </w:pPr>
      <w:r>
        <w:rPr>
          <w:b/>
        </w:rPr>
        <w:t>solicită</w:t>
      </w:r>
      <w:r>
        <w:t xml:space="preserve"> o </w:t>
      </w:r>
      <w:r>
        <w:rPr>
          <w:i/>
        </w:rPr>
        <w:t>implicare</w:t>
      </w:r>
      <w:r>
        <w:t xml:space="preserve"> mai solidă, mai structurată și mai semnificativă a partenerilor sociali, a organizațiilor societății civile și a instituțiilor academice, conferindu-le un rol consultativ în elaborarea și punerea în aplicare a politicilor și măsurilor în materie de securitate economică, ceea ce va asigura o mai bună înțelegere a nevoilor și o legitimitate mai amplă a reformelor.</w:t>
      </w:r>
    </w:p>
    <w:p w14:paraId="3BA4946D" w14:textId="77777777" w:rsidR="00A774EA" w:rsidRPr="002B0952" w:rsidRDefault="00A774EA" w:rsidP="00B30034">
      <w:pPr>
        <w:pStyle w:val="Heading2"/>
        <w:numPr>
          <w:ilvl w:val="0"/>
          <w:numId w:val="0"/>
        </w:numPr>
      </w:pPr>
    </w:p>
    <w:p w14:paraId="33DEDB9C" w14:textId="77777777" w:rsidR="00194B36" w:rsidRPr="002B0952" w:rsidRDefault="003A326E" w:rsidP="00B30034">
      <w:pPr>
        <w:pStyle w:val="Heading1"/>
        <w:keepNext/>
        <w:keepLines/>
        <w:ind w:left="567" w:hanging="567"/>
        <w:rPr>
          <w:b/>
          <w:bCs/>
        </w:rPr>
      </w:pPr>
      <w:r>
        <w:rPr>
          <w:b/>
        </w:rPr>
        <w:t>NOTE EXPLICATIVE</w:t>
      </w:r>
    </w:p>
    <w:p w14:paraId="079BCA7D" w14:textId="77777777" w:rsidR="00194B36" w:rsidRPr="002B0952" w:rsidRDefault="00194B36" w:rsidP="00B30034">
      <w:pPr>
        <w:keepNext/>
        <w:keepLines/>
        <w:overflowPunct/>
        <w:adjustRightInd/>
        <w:textAlignment w:val="auto"/>
      </w:pPr>
    </w:p>
    <w:p w14:paraId="7EB3D694" w14:textId="77777777" w:rsidR="004D0C3C" w:rsidRPr="002B0952" w:rsidRDefault="004D0C3C" w:rsidP="00B30034">
      <w:pPr>
        <w:keepNext/>
        <w:keepLines/>
        <w:overflowPunct/>
        <w:adjustRightInd/>
        <w:textAlignment w:val="auto"/>
      </w:pPr>
      <w:r>
        <w:rPr>
          <w:b/>
        </w:rPr>
        <w:t>Aspecte orizontale</w:t>
      </w:r>
      <w:r>
        <w:t xml:space="preserve"> </w:t>
      </w:r>
      <w:r>
        <w:rPr>
          <w:i/>
        </w:rPr>
        <w:t>(definiție și abordare)</w:t>
      </w:r>
    </w:p>
    <w:p w14:paraId="543BDC4F" w14:textId="77777777" w:rsidR="00C970EB" w:rsidRPr="002B0952" w:rsidRDefault="00C970EB" w:rsidP="00B30034">
      <w:pPr>
        <w:keepNext/>
        <w:keepLines/>
        <w:overflowPunct/>
        <w:adjustRightInd/>
        <w:textAlignment w:val="auto"/>
      </w:pPr>
    </w:p>
    <w:p w14:paraId="177F95F3" w14:textId="77777777" w:rsidR="00AB1048" w:rsidRPr="002B0952" w:rsidRDefault="00C970EB" w:rsidP="00B30034">
      <w:pPr>
        <w:pStyle w:val="Heading2"/>
        <w:ind w:left="567" w:hanging="567"/>
      </w:pPr>
      <w:r>
        <w:t>Securitatea economică nu a fost definită clar în comunicare, dar a fost analizată din perspectiva instrumentelor și a măsurilor menite să permită o mai bună identificare, evaluare și gestionare a riscurilor în anumite domenii cu grad ridicat de risc.</w:t>
      </w:r>
    </w:p>
    <w:p w14:paraId="14A83730" w14:textId="77777777" w:rsidR="003F229C" w:rsidRPr="002B0952" w:rsidRDefault="003F229C" w:rsidP="00B30034">
      <w:pPr>
        <w:ind w:left="567" w:hanging="567"/>
      </w:pPr>
    </w:p>
    <w:p w14:paraId="1459F0DA" w14:textId="5E4B211D" w:rsidR="008D11A2" w:rsidRPr="002B0952" w:rsidRDefault="003F229C" w:rsidP="00B30034">
      <w:pPr>
        <w:pStyle w:val="Heading2"/>
        <w:ind w:left="567" w:hanging="567"/>
      </w:pPr>
      <w:r>
        <w:t xml:space="preserve">În prezentul aviz, securitatea economică este înțeleasă ca fiind gradul de pregătire, reziliența și capacitatea de reacție a UE pentru a face față unei diversități de riscuri și perturbărilor cauzate de evoluțiile geopolitice și </w:t>
      </w:r>
      <w:proofErr w:type="spellStart"/>
      <w:r>
        <w:t>geoeconomice</w:t>
      </w:r>
      <w:proofErr w:type="spellEnd"/>
      <w:r>
        <w:t xml:space="preserve"> care afectează economia UE și, prin urmare, cetățenii și societatea.</w:t>
      </w:r>
    </w:p>
    <w:p w14:paraId="59798873" w14:textId="77777777" w:rsidR="008D11A2" w:rsidRPr="002B0952" w:rsidRDefault="008D11A2" w:rsidP="00B30034">
      <w:pPr>
        <w:ind w:left="567" w:hanging="567"/>
      </w:pPr>
    </w:p>
    <w:p w14:paraId="267498E4" w14:textId="49A5043E" w:rsidR="00C970EB" w:rsidRPr="002B0952" w:rsidRDefault="001C1625" w:rsidP="00BE3A4C">
      <w:pPr>
        <w:pStyle w:val="Heading2"/>
        <w:ind w:left="567" w:hanging="567"/>
      </w:pPr>
      <w:r>
        <w:t>CESE subliniază că este necesară o consolidare a fundamentelor orizontale ale securității economice, pentru a gestiona mai bine riscurile diverse și fără precedent. El subliniază, de asemenea, că securitatea economică trebuie să se bazeze pe o guvernanță eficace și coerentă și pe un control democratic și să cuprindă valorile fundamentale și obiectivele principale ale UE, stabilite la articolele 2 și 3 din TUE</w:t>
      </w:r>
      <w:r w:rsidR="00BE3A4C" w:rsidRPr="002B0952">
        <w:rPr>
          <w:rStyle w:val="FootnoteReference"/>
        </w:rPr>
        <w:footnoteReference w:id="2"/>
      </w:r>
      <w:r>
        <w:t>.</w:t>
      </w:r>
    </w:p>
    <w:p w14:paraId="621A38FE" w14:textId="77777777" w:rsidR="008A4F6A" w:rsidRPr="002B0952" w:rsidRDefault="008A4F6A" w:rsidP="00B30034">
      <w:pPr>
        <w:keepNext/>
        <w:keepLines/>
        <w:overflowPunct/>
        <w:adjustRightInd/>
        <w:textAlignment w:val="auto"/>
      </w:pPr>
    </w:p>
    <w:p w14:paraId="23096422" w14:textId="2E54EF4C" w:rsidR="00E67B8E" w:rsidRPr="002B0952" w:rsidRDefault="008C1750" w:rsidP="00B30034">
      <w:pPr>
        <w:keepNext/>
        <w:keepLines/>
        <w:overflowPunct/>
        <w:adjustRightInd/>
        <w:textAlignment w:val="auto"/>
        <w:rPr>
          <w:i/>
          <w:iCs/>
        </w:rPr>
      </w:pPr>
      <w:r>
        <w:rPr>
          <w:b/>
        </w:rPr>
        <w:t>Recomandarea 1.1</w:t>
      </w:r>
      <w:r>
        <w:t xml:space="preserve"> </w:t>
      </w:r>
      <w:r>
        <w:rPr>
          <w:i/>
        </w:rPr>
        <w:t>(acțiune urgentă și integrată)</w:t>
      </w:r>
    </w:p>
    <w:p w14:paraId="3A53297E" w14:textId="77777777" w:rsidR="00194B36" w:rsidRPr="002B0952" w:rsidRDefault="00194B36" w:rsidP="00B30034">
      <w:pPr>
        <w:keepNext/>
        <w:keepLines/>
      </w:pPr>
    </w:p>
    <w:p w14:paraId="236BA902" w14:textId="31C40166" w:rsidR="00CB7FE8" w:rsidRPr="002B0952" w:rsidRDefault="004B51D2" w:rsidP="00B30034">
      <w:pPr>
        <w:pStyle w:val="Heading2"/>
        <w:keepNext/>
        <w:keepLines/>
        <w:ind w:left="567" w:hanging="567"/>
      </w:pPr>
      <w:r>
        <w:t>Având în vedere evoluțiile de după lansarea Strategiei europene pentru securitate economică în</w:t>
      </w:r>
      <w:r w:rsidR="00DB5D67">
        <w:t> </w:t>
      </w:r>
      <w:r>
        <w:t>2023 și ținând seama de mesajele prezentate în avizul CESE</w:t>
      </w:r>
      <w:r w:rsidR="00D453C1" w:rsidRPr="002B0952">
        <w:rPr>
          <w:rStyle w:val="FootnoteReference"/>
        </w:rPr>
        <w:footnoteReference w:id="3"/>
      </w:r>
      <w:r>
        <w:t xml:space="preserve"> privind această strategie, a devenit din ce în ce mai important să se ia măsuri urgente pentru a consolida securitatea economică a UE prin finalizarea și punerea în aplicare a proiectelor și proceselor în curs de desfășurare în mai multe domenii de politică și prin integrarea securității economice ca obiectiv central în toate inițiativele viitoare.</w:t>
      </w:r>
    </w:p>
    <w:p w14:paraId="743F6A38" w14:textId="77777777" w:rsidR="00BF1F05" w:rsidRPr="002B0952" w:rsidRDefault="00BF1F05" w:rsidP="00B30034">
      <w:pPr>
        <w:ind w:left="567" w:hanging="567"/>
      </w:pPr>
    </w:p>
    <w:p w14:paraId="4B8C1D73" w14:textId="3CAE6B36" w:rsidR="002D24FF" w:rsidRPr="002B0952" w:rsidRDefault="002D24FF" w:rsidP="000651FF">
      <w:pPr>
        <w:pStyle w:val="Heading2"/>
        <w:ind w:left="567" w:hanging="567"/>
      </w:pPr>
      <w:r>
        <w:t>O abordare integrată a securității economice necesită o cooperare intersectorială strânsă în cadrul structurilor politice și administrative, precum și utilizarea eficace a gamei largi de instrumente și mijloace, fără a crea birocrație suplimentară. Instituțiile UE ar trebui să utilizeze cât mai eficient structurile și mecanismele existente de schimb de informații și cooperare, în loc să creeze altele noi. De exemplu, rețeaua reprezentanților pentru IMM-uri din UE ar trebui să aibă sarcina de a elabora și a pune în aplicare un mecanism de monitorizare a start-</w:t>
      </w:r>
      <w:proofErr w:type="spellStart"/>
      <w:r>
        <w:t>upurilor</w:t>
      </w:r>
      <w:proofErr w:type="spellEnd"/>
      <w:r>
        <w:t xml:space="preserve"> la nivelul UE.</w:t>
      </w:r>
    </w:p>
    <w:p w14:paraId="5952B312" w14:textId="77777777" w:rsidR="00B367A3" w:rsidRPr="002B0952" w:rsidRDefault="00B367A3" w:rsidP="00B367A3"/>
    <w:p w14:paraId="54ACA1C3" w14:textId="36433505" w:rsidR="002D24FF" w:rsidRPr="002B0952" w:rsidRDefault="00B060C1" w:rsidP="00B30034">
      <w:pPr>
        <w:pStyle w:val="Heading2"/>
        <w:ind w:left="567" w:hanging="567"/>
      </w:pPr>
      <w:r>
        <w:t>Este necesară o coordonare mai eficace și mai orientată spre rezultate între UE și nivelul statelor membre pentru a asigura o punere în practică coerentă a măsurilor de securitate economică. Unitatea politică, bazată pe priorități comune și clare, devine din ce în ce mai importantă, având în vedere necesitatea de a face față acțiunilor externe menite să exercite constrângeri și să creeze dezbinare.</w:t>
      </w:r>
    </w:p>
    <w:p w14:paraId="7DC6A913" w14:textId="77777777" w:rsidR="00A2534B" w:rsidRPr="002B0952" w:rsidRDefault="00A2534B" w:rsidP="00D10E51">
      <w:pPr>
        <w:keepNext/>
        <w:keepLines/>
        <w:overflowPunct/>
        <w:adjustRightInd/>
        <w:textAlignment w:val="auto"/>
        <w:rPr>
          <w:b/>
          <w:bCs/>
        </w:rPr>
      </w:pPr>
    </w:p>
    <w:p w14:paraId="49514C0B" w14:textId="364AE0DF" w:rsidR="00743B99" w:rsidRPr="002B0952" w:rsidRDefault="00743B99" w:rsidP="00743B99">
      <w:pPr>
        <w:keepNext/>
        <w:keepLines/>
        <w:overflowPunct/>
        <w:adjustRightInd/>
        <w:textAlignment w:val="auto"/>
      </w:pPr>
      <w:r>
        <w:rPr>
          <w:b/>
        </w:rPr>
        <w:t>Recomandarea 1.2</w:t>
      </w:r>
      <w:r>
        <w:t xml:space="preserve"> </w:t>
      </w:r>
      <w:r>
        <w:rPr>
          <w:i/>
        </w:rPr>
        <w:t>(securitatea globală)</w:t>
      </w:r>
    </w:p>
    <w:p w14:paraId="4EDF0B80" w14:textId="77777777" w:rsidR="00743B99" w:rsidRPr="002B0952" w:rsidRDefault="00743B99" w:rsidP="00743B99">
      <w:pPr>
        <w:keepNext/>
        <w:keepLines/>
        <w:overflowPunct/>
        <w:adjustRightInd/>
        <w:textAlignment w:val="auto"/>
      </w:pPr>
    </w:p>
    <w:p w14:paraId="5DC90E9B" w14:textId="174A793D" w:rsidR="00743B99" w:rsidRPr="002B0952" w:rsidRDefault="00743B99" w:rsidP="00743B99">
      <w:pPr>
        <w:pStyle w:val="Heading2"/>
        <w:ind w:left="567" w:hanging="567"/>
      </w:pPr>
      <w:r>
        <w:t xml:space="preserve">În lumea de azi, este necesar să se țină seama de numeroasele legături dintre securitatea economică și alte dimensiuni de politică ale securității globale, de la capacitatea de apărare până la securitatea alimentară, securitatea sanitară și securitatea socială și climatică. În timp ce securitatea economică contribuie la o securitate sporită în alte domenii, evoluțiile din alte domenii afectează la rândul lor securitatea economică și contribuie la asigurarea ei. Atât posibilele riscuri, tot mai numeroase, cât și </w:t>
      </w:r>
      <w:proofErr w:type="spellStart"/>
      <w:r>
        <w:t>sinergiile</w:t>
      </w:r>
      <w:proofErr w:type="spellEnd"/>
      <w:r>
        <w:t xml:space="preserve"> pozitive ar trebui evaluate și abordate în mod corespunzător în eforturile de îmbunătățire a securității economice.</w:t>
      </w:r>
    </w:p>
    <w:p w14:paraId="054239BD" w14:textId="77777777" w:rsidR="00743B99" w:rsidRPr="002B0952" w:rsidRDefault="00743B99" w:rsidP="00743B99"/>
    <w:p w14:paraId="58ADAA93" w14:textId="1F19D601" w:rsidR="00743B99" w:rsidRPr="002B0952" w:rsidRDefault="00743B99" w:rsidP="00743B99">
      <w:pPr>
        <w:pStyle w:val="Heading2"/>
        <w:ind w:left="567" w:hanging="567"/>
      </w:pPr>
      <w:r>
        <w:t>Războiul din Ucraina și cele din Orientul Mijlociu au consecințe grave asupra securității economice, prin perturbarea aprovizionării cu energie și alte lanțuri de aprovizionare, precum și prin creșterea inflației. Riscurile și amenințările la adresa securității economice, inclusiv constrângerea economică, sunt, de asemenea, utilizate ca instrument geopolitic la scară mai largă de către principalii actori de la nivel mondial – nu numai cu scopul de a afecta securitatea economică, ci și pentru a slăbi multilateralismul bazat pe norme și democrația liberală, înlocuindu-le cu politica de forță și influența transnațională.</w:t>
      </w:r>
    </w:p>
    <w:p w14:paraId="1975BBF8" w14:textId="77777777" w:rsidR="00743B99" w:rsidRPr="002B0952" w:rsidRDefault="00743B99" w:rsidP="00743B99">
      <w:pPr>
        <w:pStyle w:val="Heading2"/>
        <w:numPr>
          <w:ilvl w:val="0"/>
          <w:numId w:val="0"/>
        </w:numPr>
      </w:pPr>
    </w:p>
    <w:p w14:paraId="54B8E884" w14:textId="03B85021" w:rsidR="00743B99" w:rsidRPr="002B0952" w:rsidRDefault="00743B99" w:rsidP="00743B99">
      <w:pPr>
        <w:pStyle w:val="Heading2"/>
        <w:ind w:left="567" w:hanging="567"/>
      </w:pPr>
      <w:r>
        <w:t>Prin urmare, este esențial ca UE să își intensifice eforturile de a deveni un actor global influent, bazându-se pe o economie puternică, o capacitate solidă de apărare, o reziliență democratică de neclintit și pe capacități diplomatice eficace pentru soluționarea conflictelor, însoțite de cooperarea cu țări care împărtășesc aceeași viziune pentru a promova pacea, valorile democratice, dreptul internațional și securitatea juridică.</w:t>
      </w:r>
    </w:p>
    <w:p w14:paraId="54BCFE79" w14:textId="77777777" w:rsidR="00743B99" w:rsidRPr="002B0952" w:rsidRDefault="00743B99" w:rsidP="00743B99">
      <w:pPr>
        <w:overflowPunct/>
        <w:adjustRightInd/>
        <w:textAlignment w:val="auto"/>
      </w:pPr>
    </w:p>
    <w:p w14:paraId="717B3EB9" w14:textId="3867EA73" w:rsidR="003A326E" w:rsidRPr="002B0952" w:rsidRDefault="003A326E" w:rsidP="00B30034">
      <w:pPr>
        <w:keepNext/>
        <w:keepLines/>
        <w:overflowPunct/>
        <w:adjustRightInd/>
        <w:ind w:left="567" w:hanging="567"/>
        <w:textAlignment w:val="auto"/>
        <w:rPr>
          <w:i/>
          <w:iCs/>
        </w:rPr>
      </w:pPr>
      <w:r>
        <w:rPr>
          <w:b/>
        </w:rPr>
        <w:t>Recomandarea 1.3</w:t>
      </w:r>
      <w:r>
        <w:rPr>
          <w:i/>
        </w:rPr>
        <w:t xml:space="preserve"> (măsuri cu impact ridicat)</w:t>
      </w:r>
    </w:p>
    <w:p w14:paraId="20222616" w14:textId="77777777" w:rsidR="003A326E" w:rsidRPr="002B0952" w:rsidRDefault="003A326E" w:rsidP="00B30034">
      <w:pPr>
        <w:keepNext/>
        <w:keepLines/>
        <w:ind w:left="567" w:hanging="567"/>
      </w:pPr>
    </w:p>
    <w:p w14:paraId="591BDC9A" w14:textId="77777777" w:rsidR="00B32FB1" w:rsidRPr="002B0952" w:rsidRDefault="00C13FA8" w:rsidP="00B30034">
      <w:pPr>
        <w:pStyle w:val="Heading2"/>
        <w:ind w:left="567" w:hanging="567"/>
      </w:pPr>
      <w:r>
        <w:t>Pregătirea pentru riscurile legate de securitatea economică și anticiparea lor în mod mai eficace reprezintă o abordare binevenită, în locul unei simple reacții la riscurile deja materializate. De asemenea, este oportun să se depună eforturi pentru a pune accentul pe riscuri esențiale specifice.</w:t>
      </w:r>
    </w:p>
    <w:p w14:paraId="1CEAEC25" w14:textId="77777777" w:rsidR="00B32FB1" w:rsidRPr="002B0952" w:rsidRDefault="00B32FB1" w:rsidP="00B30034">
      <w:pPr>
        <w:ind w:left="567" w:hanging="567"/>
      </w:pPr>
    </w:p>
    <w:p w14:paraId="7B720601" w14:textId="6686086B" w:rsidR="00B32FB1" w:rsidRPr="002B0952" w:rsidRDefault="000C4D8A" w:rsidP="00B30034">
      <w:pPr>
        <w:pStyle w:val="Heading2"/>
        <w:ind w:left="567" w:hanging="567"/>
      </w:pPr>
      <w:r>
        <w:t xml:space="preserve">Mediul geopolitic și </w:t>
      </w:r>
      <w:proofErr w:type="spellStart"/>
      <w:r>
        <w:t>geoeconomic</w:t>
      </w:r>
      <w:proofErr w:type="spellEnd"/>
      <w:r>
        <w:t xml:space="preserve"> se schimbă însă foarte rapid, fiind din ce în ce mai imprevizibil. Acest lucru necesită consolidarea fundamentelor generale ale securității economice, abordând astfel simultan numeroase tipuri de riscuri. În acest scop, ar trebui ca eforturile concertate să se concentreze asupra pilonului referitor la promovarea securității economice, cu obiectivul de a spori competitivitatea și reziliența generală a UE, în special prin măsurile aflate sub controlul direct al UE.</w:t>
      </w:r>
    </w:p>
    <w:p w14:paraId="605D47E7" w14:textId="77777777" w:rsidR="00B32FB1" w:rsidRPr="002B0952" w:rsidRDefault="00B32FB1" w:rsidP="00B30034">
      <w:pPr>
        <w:ind w:left="567" w:hanging="567"/>
      </w:pPr>
    </w:p>
    <w:p w14:paraId="759C465A" w14:textId="0D652BB6" w:rsidR="008D2E4E" w:rsidRPr="002B0952" w:rsidRDefault="003436B8" w:rsidP="00B30034">
      <w:pPr>
        <w:pStyle w:val="Heading2"/>
        <w:ind w:left="567" w:hanging="567"/>
      </w:pPr>
      <w:r>
        <w:t xml:space="preserve">De asemenea, sunt necesare măsuri </w:t>
      </w:r>
      <w:proofErr w:type="spellStart"/>
      <w:r>
        <w:t>proactive</w:t>
      </w:r>
      <w:proofErr w:type="spellEnd"/>
      <w:r>
        <w:t xml:space="preserve"> și ambițioase în cadrul pilonului securității economice referitor la crearea de parteneriate, scopul fiind nu numai de a aborda riscurile, ci și de a crea și valorifica o serie de oportunități prin intermediul comerțului și al parteneriatelor internaționale. În acest sens ar fi necesară o analiză sistematică a punctelor forte ale UE, corelată cu oportunitățile care pot fi oferite în întregul peisaj al evoluțiilor geopolitice, </w:t>
      </w:r>
      <w:proofErr w:type="spellStart"/>
      <w:r>
        <w:t>geoeconomice</w:t>
      </w:r>
      <w:proofErr w:type="spellEnd"/>
      <w:r>
        <w:t>, demografice și de mediu.</w:t>
      </w:r>
    </w:p>
    <w:p w14:paraId="0743D7F2" w14:textId="77777777" w:rsidR="00F317C7" w:rsidRPr="002B0952" w:rsidRDefault="00F317C7" w:rsidP="00B30034">
      <w:pPr>
        <w:pStyle w:val="Heading2"/>
        <w:numPr>
          <w:ilvl w:val="0"/>
          <w:numId w:val="0"/>
        </w:numPr>
      </w:pPr>
    </w:p>
    <w:p w14:paraId="50C00C18" w14:textId="329BC795" w:rsidR="00F317C7" w:rsidRPr="002B0952" w:rsidRDefault="00F317C7" w:rsidP="00B30034">
      <w:pPr>
        <w:keepNext/>
        <w:keepLines/>
        <w:overflowPunct/>
        <w:adjustRightInd/>
        <w:textAlignment w:val="auto"/>
        <w:rPr>
          <w:i/>
          <w:iCs/>
        </w:rPr>
      </w:pPr>
      <w:r>
        <w:rPr>
          <w:b/>
        </w:rPr>
        <w:t>Recomandarea 1.4</w:t>
      </w:r>
      <w:r>
        <w:t xml:space="preserve"> </w:t>
      </w:r>
      <w:r>
        <w:rPr>
          <w:i/>
        </w:rPr>
        <w:t>(fundamente economice interne)</w:t>
      </w:r>
    </w:p>
    <w:p w14:paraId="729CE2DC" w14:textId="77777777" w:rsidR="008D2E4E" w:rsidRPr="002B0952" w:rsidRDefault="008D2E4E" w:rsidP="00B30034">
      <w:pPr>
        <w:pStyle w:val="Heading2"/>
        <w:numPr>
          <w:ilvl w:val="0"/>
          <w:numId w:val="0"/>
        </w:numPr>
      </w:pPr>
    </w:p>
    <w:p w14:paraId="07B81294" w14:textId="77777777" w:rsidR="0081568C" w:rsidRPr="002B0952" w:rsidRDefault="008D2E4E" w:rsidP="00B30034">
      <w:pPr>
        <w:pStyle w:val="Heading2"/>
        <w:ind w:left="567" w:hanging="567"/>
      </w:pPr>
      <w:r>
        <w:t>Securitatea economică a UE depinde de o economie puternică în ansamblu, bazată pe o capacitate solidă de inovare, tehnologică și de producție, precum și pe o piață internă deschisă și funcțională, dar și de stabilitatea macroeconomică și financiară. Coeziunea socială și piețele muncii funcționale, precum și dialogul social sunt, de asemenea, elemente importante care contribuie la securitatea economică. Pe lângă faptul că oferă o bază internă pentru crearea de locuri de muncă și prosperitate, fundamentele interne oferă și o rampă de lansare pentru relațiile economice externe, inclusiv pentru exporturi și parteneriate internaționale.</w:t>
      </w:r>
    </w:p>
    <w:p w14:paraId="3BAD6699" w14:textId="77777777" w:rsidR="0081568C" w:rsidRPr="002B0952" w:rsidRDefault="0081568C" w:rsidP="00B30034">
      <w:pPr>
        <w:ind w:left="567" w:hanging="567"/>
      </w:pPr>
    </w:p>
    <w:p w14:paraId="0645C338" w14:textId="629D44E8" w:rsidR="00FD79D6" w:rsidRPr="002B0952" w:rsidRDefault="008D2E4E" w:rsidP="00B30034">
      <w:pPr>
        <w:pStyle w:val="Heading2"/>
        <w:ind w:left="567" w:hanging="567"/>
      </w:pPr>
      <w:r>
        <w:t>Pentru asigurarea unor fundamente economice solide, este necesar un mediu operațional favorabil, astfel încât întreprinderile din UE să inoveze, să investească, să asigure locuri de muncă, să producă și să desfășoare activități comerciale și pentru ca toată lumea să beneficieze de creșterea economică. În general, competitivitatea globală ar trebui să se bazeze mai degrabă pe inovare și pe o concurență solidă și loială decât pe subvenții publice. În consecință, în loc să intervină în activitatea întreprinderilor, responsabilii de elaborarea politicilor ar trebui să asigure un cadru de politici favorabil și încurajator.</w:t>
      </w:r>
    </w:p>
    <w:p w14:paraId="3D5EE155" w14:textId="77777777" w:rsidR="00FB3F1A" w:rsidRPr="00DB5D67" w:rsidRDefault="00FB3F1A" w:rsidP="00DB5D67">
      <w:pPr>
        <w:ind w:left="567" w:hanging="567"/>
      </w:pPr>
    </w:p>
    <w:p w14:paraId="7BF7573C" w14:textId="56264B64" w:rsidR="00A60ED9" w:rsidRPr="002B0952" w:rsidRDefault="00A60ED9" w:rsidP="00B30034">
      <w:pPr>
        <w:keepNext/>
        <w:keepLines/>
        <w:overflowPunct/>
        <w:adjustRightInd/>
        <w:textAlignment w:val="auto"/>
        <w:rPr>
          <w:i/>
          <w:iCs/>
        </w:rPr>
      </w:pPr>
      <w:r>
        <w:rPr>
          <w:b/>
        </w:rPr>
        <w:t xml:space="preserve">Recomandarea 1.5 </w:t>
      </w:r>
      <w:r>
        <w:rPr>
          <w:i/>
        </w:rPr>
        <w:t>(investiții și finanțare)</w:t>
      </w:r>
    </w:p>
    <w:p w14:paraId="5ADAA570" w14:textId="77777777" w:rsidR="00A60ED9" w:rsidRPr="002B0952" w:rsidRDefault="00A60ED9" w:rsidP="00B30034"/>
    <w:p w14:paraId="11099148" w14:textId="6FD71DC5" w:rsidR="00A60ED9" w:rsidRPr="002B0952" w:rsidRDefault="00A60ED9" w:rsidP="00B30034">
      <w:pPr>
        <w:pStyle w:val="Heading2"/>
        <w:ind w:left="567" w:hanging="567"/>
      </w:pPr>
      <w:r>
        <w:t>Consolidarea capacității de inovare, tehnologice și de producție a UE necesită o creștere substanțială a investițiilor realizate atât de sectorul privat, cât și de cel public. Pentru efectuarea acestor investiții, trebuie îmbunătățite semnificativ integrarea și funcționarea piețelor financiare ale UE, printre altele prin dezvoltarea Uniunii economiilor și a investițiilor.</w:t>
      </w:r>
    </w:p>
    <w:p w14:paraId="37173798" w14:textId="77777777" w:rsidR="00A60ED9" w:rsidRPr="002B0952" w:rsidRDefault="00A60ED9" w:rsidP="00B30034">
      <w:pPr>
        <w:ind w:left="567" w:hanging="567"/>
      </w:pPr>
    </w:p>
    <w:p w14:paraId="10BCA427" w14:textId="6E2E40FE" w:rsidR="00A60ED9" w:rsidRPr="002B0952" w:rsidRDefault="00A60ED9" w:rsidP="00D84C52">
      <w:pPr>
        <w:pStyle w:val="Heading2"/>
        <w:ind w:left="567" w:hanging="567"/>
      </w:pPr>
      <w:r>
        <w:t>În plus, finanțarea relevantă din partea UE, în special prin FCE și programul Orizont Europa, ar trebui utilizată într-un mod care să încurajeze inovarea și investițiile în securitatea economică. Achizițiile publice și achizițiile comune oferă, la rândul lor, un instrument orientat către cerere menit să stimuleze piețele pentru produsele naționale. În același timp, finanțarea UE trebuie să respecte criterii de atribuire generale și transparente, care să se aplice tuturor și să fie legate de obiectivele de inovare, sociale și de mediu, prevăzându-se stimulente pentru ca întreprinderile să respecte negocierile colective și reglementările în domeniul muncii și al mediului.</w:t>
      </w:r>
    </w:p>
    <w:p w14:paraId="2FF22F28" w14:textId="77777777" w:rsidR="00FD79D6" w:rsidRPr="002B0952" w:rsidRDefault="00FD79D6" w:rsidP="00B30034">
      <w:pPr>
        <w:ind w:left="567" w:hanging="567"/>
      </w:pPr>
    </w:p>
    <w:p w14:paraId="7907D3D7" w14:textId="4DAC40E6" w:rsidR="002A151B" w:rsidRPr="002B0952" w:rsidRDefault="005E05B0" w:rsidP="00B30034">
      <w:pPr>
        <w:pStyle w:val="Heading2"/>
        <w:ind w:left="567" w:hanging="567"/>
      </w:pPr>
      <w:r>
        <w:t>Finanțarea UE ar trebui să sprijine crearea unor ecosisteme europene prospere de inovare și de afaceri și a unor locuri de muncă de calitate și să încurajeze cooperarea transfrontalieră, pentru a ancora crearea de valoare, ocuparea forței de muncă și know-how-</w:t>
      </w:r>
      <w:proofErr w:type="spellStart"/>
      <w:r>
        <w:t>ul</w:t>
      </w:r>
      <w:proofErr w:type="spellEnd"/>
      <w:r>
        <w:t xml:space="preserve"> esențial pe teritoriul UE. O</w:t>
      </w:r>
      <w:r w:rsidR="00DB5D67">
        <w:t> </w:t>
      </w:r>
      <w:r>
        <w:t>atenție deosebită trebuie acordată asigurării accesului la finanțare pentru start-</w:t>
      </w:r>
      <w:proofErr w:type="spellStart"/>
      <w:r>
        <w:t>upurile</w:t>
      </w:r>
      <w:proofErr w:type="spellEnd"/>
      <w:r>
        <w:t xml:space="preserve"> și întreprinderile în fază de extindere inovatoare, pentru a le permite să se dezvolte și să rămână în</w:t>
      </w:r>
      <w:r w:rsidR="00DB5D67">
        <w:t> </w:t>
      </w:r>
      <w:r>
        <w:t>UE, precum și pentru a evita achizițiile agresive.</w:t>
      </w:r>
    </w:p>
    <w:p w14:paraId="3C56D5CB" w14:textId="77777777" w:rsidR="002A151B" w:rsidRPr="002B0952" w:rsidRDefault="002A151B" w:rsidP="00B30034">
      <w:pPr>
        <w:ind w:left="567" w:hanging="567"/>
      </w:pPr>
    </w:p>
    <w:p w14:paraId="6A549BCB" w14:textId="439F290F" w:rsidR="00A60ED9" w:rsidRPr="002B0952" w:rsidRDefault="00A60ED9" w:rsidP="00B30034">
      <w:pPr>
        <w:pStyle w:val="Heading2"/>
        <w:ind w:left="567" w:hanging="567"/>
      </w:pPr>
      <w:r>
        <w:t>Investițiile străine ar trebui considerate o resursă complementară, menită să aducă valoare adăugată economiei UE și securității acesteia, în timp ce riscurile asociate investițiilor și cooperării tehnologice cu țări terțe trebuie gestionate în mod eficace. De asemenea, este necesar să se asigure identificarea și gestionarea corespunzătoare a subvențiilor străine cu efect de distorsionare, inclusiv pe piețele mici, cu proiecte de anvergură redusă.</w:t>
      </w:r>
    </w:p>
    <w:p w14:paraId="4AE9ACC9" w14:textId="77777777" w:rsidR="007B0325" w:rsidRPr="002B0952" w:rsidRDefault="007B0325" w:rsidP="00B30034"/>
    <w:p w14:paraId="01968665" w14:textId="5CE815AB" w:rsidR="00B90A77" w:rsidRPr="002B0952" w:rsidRDefault="00B90A77" w:rsidP="00B30034">
      <w:pPr>
        <w:keepNext/>
        <w:keepLines/>
        <w:overflowPunct/>
        <w:adjustRightInd/>
        <w:textAlignment w:val="auto"/>
        <w:rPr>
          <w:i/>
          <w:iCs/>
        </w:rPr>
      </w:pPr>
      <w:r>
        <w:rPr>
          <w:b/>
        </w:rPr>
        <w:t xml:space="preserve">Recomandarea 1.6 </w:t>
      </w:r>
      <w:r>
        <w:rPr>
          <w:i/>
        </w:rPr>
        <w:t>(baza de producție și baza tehnologică)</w:t>
      </w:r>
    </w:p>
    <w:p w14:paraId="06AE8F56" w14:textId="77777777" w:rsidR="00B90A77" w:rsidRPr="002B0952" w:rsidRDefault="00B90A77" w:rsidP="00B30034"/>
    <w:p w14:paraId="71BD8406" w14:textId="76FB69D0" w:rsidR="005F695A" w:rsidRPr="002B0952" w:rsidRDefault="00B90A77" w:rsidP="00B30034">
      <w:pPr>
        <w:pStyle w:val="Heading2"/>
        <w:ind w:left="567" w:hanging="567"/>
      </w:pPr>
      <w:r>
        <w:t>Capacitatea de producție internă, împreună cu piața unică, este esențială pentru reducerea dependențelor nocive și a vulnerabilităților. Acest lucru necesită un acces securizat la toate resursele de producție, inclusiv la energie, materii prime, date și capital. Pentru a valorifica la maximum resursele naturale interne, ar trebui create condiții favorabile exploatării mineralelor critice și a altor materii prime. De asemenea, este esențial să se consolideze reziliența în domeniul apei și securitatea energetică, acordând atenția cuvenită interdependențelor dintre ele. În plus, securitatea energetică ar trebui consolidată odată cu asigurarea energiei la prețuri abordabile și decarbonizarea energiei, ceea ce presupune îmbunătățirea eficienței energetice, înlocuirea combustibililor fosili cu surse regenerabile și alte forme de energie curată, precum și integrarea eficace a pieței UE a energiei electrice.</w:t>
      </w:r>
    </w:p>
    <w:p w14:paraId="0E7EBED9" w14:textId="77777777" w:rsidR="000A2399" w:rsidRPr="002B0952" w:rsidRDefault="000A2399" w:rsidP="00B30034"/>
    <w:p w14:paraId="2F6C52D7" w14:textId="2C509894" w:rsidR="00B90A77" w:rsidRPr="002B0952" w:rsidRDefault="000E09BE" w:rsidP="00B30034">
      <w:pPr>
        <w:pStyle w:val="Heading2"/>
        <w:ind w:left="567" w:hanging="567"/>
      </w:pPr>
      <w:r>
        <w:t>Accesul la aptitudini și competențe și asigurarea unei tranziții juste reprezintă încă un element al securității economice, date fiind nevoile în schimbare de pe piața muncii. Lipsa competențelor și a talentelor adecvate reprezintă un risc major pentru dezvoltarea tehnologiilor avansate și a sistemelor de producție și pentru implementarea acestora în practică.</w:t>
      </w:r>
    </w:p>
    <w:p w14:paraId="69B2CAEF" w14:textId="77777777" w:rsidR="00B90A77" w:rsidRPr="002B0952" w:rsidRDefault="00B90A77" w:rsidP="00B30034">
      <w:pPr>
        <w:ind w:left="567" w:hanging="567"/>
      </w:pPr>
    </w:p>
    <w:p w14:paraId="0B2021F2" w14:textId="7F687C80" w:rsidR="00B90A77" w:rsidRPr="002B0952" w:rsidRDefault="00B90A77" w:rsidP="00B30034">
      <w:pPr>
        <w:pStyle w:val="Heading2"/>
        <w:ind w:left="567" w:hanging="567"/>
      </w:pPr>
      <w:r>
        <w:t xml:space="preserve">O bază de producție </w:t>
      </w:r>
      <w:proofErr w:type="spellStart"/>
      <w:r>
        <w:t>rezilientă</w:t>
      </w:r>
      <w:proofErr w:type="spellEnd"/>
      <w:r>
        <w:t xml:space="preserve"> se bazează pe existența unor tipuri diverse de întreprinderi, de diferite dimensiuni, care își desfășoară activitatea într-o gamă largă de sectoare și pe piețe diferite. Favorizarea sau promovarea anumitor sectoare sau întreprinderi contrazice această viziune. Măsurile specifice și direcționate sunt însă justificate, după caz, pentru a asigura funcțiile vitale ale economiei și societății, inclusiv capacitatea de apărare și serviciile esențiale.</w:t>
      </w:r>
    </w:p>
    <w:p w14:paraId="6AC302B3" w14:textId="77777777" w:rsidR="00B90A77" w:rsidRPr="002B0952" w:rsidRDefault="00B90A77" w:rsidP="00B30034"/>
    <w:p w14:paraId="564B794C" w14:textId="19E27E65" w:rsidR="00B90A77" w:rsidRPr="002B0952" w:rsidRDefault="00B90A77" w:rsidP="00B30034">
      <w:pPr>
        <w:pStyle w:val="Heading2"/>
        <w:ind w:left="567" w:hanging="567"/>
      </w:pPr>
      <w:r>
        <w:t>Același lucru este valabil și pentru capacitatea tehnologică. Deși principiul neutralității tehnologice ar trebui respectat în procesul de elaborare a politicilor, tehnologiile „strategice” sau „critice” necesită eforturi specifice pentru ca UE să dobândească know-how de nivel superior. Acest raționament este valabil, de exemplu, pentru IA, informatica cuantică, biotehnologie și alte tehnologii avansate cu un impact profund și amplu în întreaga economie și societate.</w:t>
      </w:r>
    </w:p>
    <w:p w14:paraId="28794482" w14:textId="77777777" w:rsidR="00B90A77" w:rsidRPr="002B0952" w:rsidRDefault="00B90A77" w:rsidP="00B30034"/>
    <w:p w14:paraId="4F45F848" w14:textId="22840726" w:rsidR="001047A5" w:rsidRPr="002B0952" w:rsidRDefault="001047A5" w:rsidP="00B30034">
      <w:pPr>
        <w:keepNext/>
        <w:keepLines/>
        <w:overflowPunct/>
        <w:adjustRightInd/>
        <w:textAlignment w:val="auto"/>
        <w:rPr>
          <w:i/>
          <w:iCs/>
        </w:rPr>
      </w:pPr>
      <w:r>
        <w:rPr>
          <w:b/>
        </w:rPr>
        <w:t xml:space="preserve">Recomandarea 1.7 </w:t>
      </w:r>
      <w:r>
        <w:rPr>
          <w:i/>
        </w:rPr>
        <w:t>(lanțurile de aprovizionare și infrastructura)</w:t>
      </w:r>
    </w:p>
    <w:p w14:paraId="4A52BFD1" w14:textId="77777777" w:rsidR="001047A5" w:rsidRPr="002B0952" w:rsidRDefault="001047A5" w:rsidP="00D10E51">
      <w:pPr>
        <w:keepNext/>
        <w:tabs>
          <w:tab w:val="left" w:pos="7815"/>
        </w:tabs>
      </w:pPr>
    </w:p>
    <w:p w14:paraId="639590B6" w14:textId="78DD9D36" w:rsidR="00D708C6" w:rsidRPr="002B0952" w:rsidRDefault="00AC4CA5" w:rsidP="00D10E51">
      <w:pPr>
        <w:pStyle w:val="Heading2"/>
        <w:keepNext/>
        <w:ind w:left="567" w:hanging="567"/>
      </w:pPr>
      <w:r>
        <w:t>Pentru a asigura lanțuri de aprovizionare sigure și sustenabile la nivelul UE, care să susțină producția internă și să îmbunătățească accesul la produsele finite, trebuie eliminate barierele existente din calea pieței unice, ținând seama de faptul că fragmentarea acesteia constituie un risc structural la adresa securității economice. În același timp, piața unică trebuie să rămână conectată la nivel global, pentru a garanta accesul la lanțurile de aprovizionare globale indispensabile.</w:t>
      </w:r>
    </w:p>
    <w:p w14:paraId="7BDD8382" w14:textId="77777777" w:rsidR="00D708C6" w:rsidRPr="002B0952" w:rsidRDefault="00D708C6" w:rsidP="00B30034">
      <w:pPr>
        <w:ind w:left="567" w:hanging="567"/>
      </w:pPr>
    </w:p>
    <w:p w14:paraId="7C0B19EB" w14:textId="2F107123" w:rsidR="001047A5" w:rsidRPr="002B0952" w:rsidRDefault="00156E92" w:rsidP="00B30034">
      <w:pPr>
        <w:pStyle w:val="Heading2"/>
        <w:ind w:left="567" w:hanging="567"/>
      </w:pPr>
      <w:r>
        <w:t>Ar trebui evitate intervențiile responsabililor de elaborarea politicilor în ceea ce privește diversificarea sau organizarea lanțurilor de aprovizionare, întrucât astfel de intervenții ar face ca responsabilitățile să devină neclare. În schimb, accentul ar trebui pus pe eliminarea obstacolelor administrative și pe îmbunătățirea punerii în aplicare a normelor și a standardelor comune, printre care și cele referitoare la durabilitate</w:t>
      </w:r>
      <w:r w:rsidR="00794387" w:rsidRPr="002B0952">
        <w:rPr>
          <w:rStyle w:val="FootnoteReference"/>
        </w:rPr>
        <w:footnoteReference w:id="4"/>
      </w:r>
      <w:r>
        <w:t xml:space="preserve"> și la diligența necesară. În plus, libera circulație a resurselor de producție și a produselor finite necesită conexiuni fizice funcționale, acordând atenția cuvenită securității logisticii, în special în ceea ce privește transportul aerian și maritim internațional.</w:t>
      </w:r>
    </w:p>
    <w:p w14:paraId="50EE4AC6" w14:textId="77777777" w:rsidR="001047A5" w:rsidRPr="002B0952" w:rsidRDefault="001047A5" w:rsidP="00B30034">
      <w:pPr>
        <w:ind w:left="567" w:hanging="567"/>
      </w:pPr>
    </w:p>
    <w:p w14:paraId="60B77840" w14:textId="24D11E5D" w:rsidR="00453FC2" w:rsidRPr="002B0952" w:rsidRDefault="001047A5" w:rsidP="00D84C52">
      <w:pPr>
        <w:pStyle w:val="Heading2"/>
        <w:ind w:left="567" w:hanging="567"/>
      </w:pPr>
      <w:r>
        <w:t>Securitatea lanțurilor de aprovizionare și funcțiile economice și societale vitale depind în mare măsură de infrastructura energetică, infrastructura de apă, de transport și cea digitală, inclusiv de construcțiile și rețelele fizice, precum și de funcționarea acestora. Importanța securității infrastructurii este amplificată de faptul că diversele sale părți sunt strâns interconectate și vulnerabile în fața tensiunilor geopolitice și, prin urmare, ar trebui dezvoltate ca un întreg. Orice inițiativă de politică de liberalizare ar trebui examinată din perspectiva securității economice a serviciilor fundamentale, precum porturile, aeroporturile și o rețea globală maritimă și aviatică.</w:t>
      </w:r>
    </w:p>
    <w:p w14:paraId="798D25C9" w14:textId="77777777" w:rsidR="00453FC2" w:rsidRPr="002B0952" w:rsidRDefault="00453FC2" w:rsidP="0034617C"/>
    <w:p w14:paraId="36EF777F" w14:textId="174F29DD" w:rsidR="005B41A7" w:rsidRPr="002B0952" w:rsidRDefault="006A0737" w:rsidP="00B30034">
      <w:pPr>
        <w:pStyle w:val="Heading2"/>
        <w:ind w:left="567" w:hanging="567"/>
      </w:pPr>
      <w:r>
        <w:t xml:space="preserve">Securitatea infrastructurii trebuie să acopere atât securitatea fizică, cât și securitatea cibernetică, inclusiv protecția datelor și a informațiilor sensibile. Din această perspectivă, sunt necesare eforturi concertate pentru a consolida serviciile de </w:t>
      </w:r>
      <w:proofErr w:type="spellStart"/>
      <w:r>
        <w:t>cloud</w:t>
      </w:r>
      <w:proofErr w:type="spellEnd"/>
      <w:r>
        <w:t>, platformele digitale și sistemele de plată digitale europene. De asemenea, trebuie acordată atenția cuvenită rezilienței împotriva exploatării platformelor digitale care urmărește denaturarea piețelor, subminarea încrederii publicului sau influențarea procesului decizional, de exemplu prin manipulare algoritmică și ingerințe străine informaționale.</w:t>
      </w:r>
    </w:p>
    <w:p w14:paraId="1BC81722" w14:textId="6442A71F" w:rsidR="005B41A7" w:rsidRPr="002B0952" w:rsidRDefault="005B41A7" w:rsidP="00B30034">
      <w:pPr>
        <w:pStyle w:val="Heading2"/>
        <w:numPr>
          <w:ilvl w:val="0"/>
          <w:numId w:val="0"/>
        </w:numPr>
        <w:ind w:left="567" w:hanging="567"/>
      </w:pPr>
    </w:p>
    <w:p w14:paraId="662C3E94" w14:textId="77777777" w:rsidR="00256892" w:rsidRPr="002B0952" w:rsidRDefault="008F67C3" w:rsidP="00B30034">
      <w:pPr>
        <w:pStyle w:val="Heading2"/>
        <w:ind w:left="567" w:hanging="567"/>
      </w:pPr>
      <w:r>
        <w:t>În plus, este necesară o infrastructură de cercetare și tehnologie de înalt nivel și sigură pentru atingerea excelenței tehnologice și pentru promovarea talentelor la nivel înalt. O astfel de infrastructură consolidează, de asemenea, piața unică a cercetării și inovării și contribuie la cooperarea internațională. În același timp, know-how-</w:t>
      </w:r>
      <w:proofErr w:type="spellStart"/>
      <w:r>
        <w:t>ul</w:t>
      </w:r>
      <w:proofErr w:type="spellEnd"/>
      <w:r>
        <w:t xml:space="preserve"> și cunoștințele esențiale, precum și drepturile de proprietate intelectuală trebuie protejate în mod corespunzător.</w:t>
      </w:r>
    </w:p>
    <w:p w14:paraId="4A699BB1" w14:textId="77777777" w:rsidR="001047A5" w:rsidRPr="002B0952" w:rsidRDefault="001047A5" w:rsidP="00B30034"/>
    <w:p w14:paraId="5086ACAB" w14:textId="219F5635" w:rsidR="000613E5" w:rsidRPr="002B0952" w:rsidRDefault="000613E5" w:rsidP="00B30034">
      <w:pPr>
        <w:keepNext/>
        <w:keepLines/>
        <w:overflowPunct/>
        <w:adjustRightInd/>
        <w:textAlignment w:val="auto"/>
        <w:rPr>
          <w:i/>
          <w:iCs/>
        </w:rPr>
      </w:pPr>
      <w:r>
        <w:rPr>
          <w:b/>
        </w:rPr>
        <w:t>Recomandarea 1.8</w:t>
      </w:r>
      <w:r>
        <w:t xml:space="preserve"> </w:t>
      </w:r>
      <w:r>
        <w:rPr>
          <w:i/>
        </w:rPr>
        <w:t>(parteneriatele internaționale)</w:t>
      </w:r>
    </w:p>
    <w:p w14:paraId="599AEE04" w14:textId="77777777" w:rsidR="00CA4CD2" w:rsidRPr="002B0952" w:rsidRDefault="00CA4CD2" w:rsidP="00B30034">
      <w:pPr>
        <w:pStyle w:val="Heading2"/>
        <w:numPr>
          <w:ilvl w:val="0"/>
          <w:numId w:val="0"/>
        </w:numPr>
      </w:pPr>
    </w:p>
    <w:p w14:paraId="27A9FDC0" w14:textId="6EAAB1AF" w:rsidR="008C7553" w:rsidRPr="002B0952" w:rsidRDefault="006D5831" w:rsidP="00B30034">
      <w:pPr>
        <w:pStyle w:val="Heading2"/>
        <w:ind w:left="567" w:hanging="567"/>
      </w:pPr>
      <w:r>
        <w:t>Extinderea oportunităților de export pentru produsele și serviciile din UE joacă un rol important în consolidarea economiei și a creșterii UE în ansamblu. Trebuie să se acorde o atenție deosebită facilitării internaționalizării IMM-urilor. În plus, este necesar ca atât importurile, cât și exporturile să fie diversificate pentru a evita dependențele cu risc ridicat în aceste două domenii.</w:t>
      </w:r>
    </w:p>
    <w:p w14:paraId="3F78709D" w14:textId="77777777" w:rsidR="008C7553" w:rsidRPr="002B0952" w:rsidRDefault="008C7553" w:rsidP="00B30034">
      <w:pPr>
        <w:ind w:left="567" w:hanging="567"/>
      </w:pPr>
    </w:p>
    <w:p w14:paraId="0A8503EA" w14:textId="256AC338" w:rsidR="00EA38AB" w:rsidRPr="002B0952" w:rsidRDefault="00EA38AB" w:rsidP="00D84C52">
      <w:pPr>
        <w:pStyle w:val="Heading2"/>
        <w:ind w:left="567" w:hanging="567"/>
      </w:pPr>
      <w:r>
        <w:t>Extinderea rețelei de acorduri comerciale ale UE cu parteneri care împărtășesc aceeași viziune și sunt de încredere presupune finalizarea proceselor de negociere aflate în curs – Australia fiind un exemplu recent –, precum și inițierea unor noi procese, ținând seama în mod corespunzător de obiectivul de consolidare a securității economice și de punere în aplicare a comunicării din 2022 privind comerțul și dezvoltarea durabilă. Acordurile mai vechi ar trebui, de asemenea, modernizate pentru a îndeplini noile criterii de referință. În plus, UE ar trebui să promoveze în mod constant un sistem comercial multilateral deschis, durabil și bazat pe norme, pentru a consolida condițiile de concurență echitabile și a contracara protecționismul și fragmentarea economică.</w:t>
      </w:r>
    </w:p>
    <w:p w14:paraId="2BF3E96C" w14:textId="77777777" w:rsidR="00BF57C1" w:rsidRPr="002B0952" w:rsidRDefault="00BF57C1" w:rsidP="00B30034">
      <w:pPr>
        <w:ind w:left="567" w:hanging="567"/>
      </w:pPr>
    </w:p>
    <w:p w14:paraId="474E9DAA" w14:textId="77777777" w:rsidR="00CE5D30" w:rsidRPr="002B0952" w:rsidRDefault="00AF4E06" w:rsidP="00B30034">
      <w:pPr>
        <w:pStyle w:val="Heading2"/>
        <w:ind w:left="567" w:hanging="567"/>
      </w:pPr>
      <w:r>
        <w:t>Scopul principal al elaborării măsurilor de protecție a comerțului și a contramăsurilor ar trebui să fie de a crea un puternic efect de descurajare și de a preveni materializarea riscurilor generate de actorii străini. Aceasta ar trebui să includă monitorizarea și controlul adecvat al activităților riscante, precum și stabilirea unor limite clare, evitând în același timp stimularea intensificării protecționismului sau a conflictelor comerciale. Orice măsuri comerciale ar trebui să țină cont și de impactul asupra întregului lanț valoric, inclusiv asupra întreprinderilor din aval.</w:t>
      </w:r>
    </w:p>
    <w:p w14:paraId="2E035CE6" w14:textId="77777777" w:rsidR="00CE5D30" w:rsidRPr="002B0952" w:rsidRDefault="00CE5D30" w:rsidP="00B30034"/>
    <w:p w14:paraId="520FAABC" w14:textId="77777777" w:rsidR="001A21FF" w:rsidRPr="002B0952" w:rsidRDefault="00841618" w:rsidP="00B30034">
      <w:pPr>
        <w:pStyle w:val="Heading2"/>
        <w:ind w:left="567" w:hanging="567"/>
      </w:pPr>
      <w:r>
        <w:t>Deși abordarea de bază în materie de securitate economică nu ar trebui să fie una defensivă, este necesar să se combată concurența neloială din partea țărilor terțe, care se manifestă prin subvenții de stat, practici neconforme cu principiile pieței sau standarde diferite. Aceste denaturări ar trebui combătute într-un mod proporțional, specific și în conformitate cu normele OMC.</w:t>
      </w:r>
    </w:p>
    <w:p w14:paraId="3E15DD91" w14:textId="77777777" w:rsidR="0084302C" w:rsidRPr="002B0952" w:rsidRDefault="0084302C" w:rsidP="00B30034"/>
    <w:p w14:paraId="67E1D366" w14:textId="46F7D2B2" w:rsidR="00CB7FE8" w:rsidRPr="002B0952" w:rsidRDefault="00A2534B" w:rsidP="00B30034">
      <w:pPr>
        <w:keepNext/>
        <w:keepLines/>
        <w:ind w:left="567" w:hanging="567"/>
        <w:rPr>
          <w:i/>
          <w:iCs/>
        </w:rPr>
      </w:pPr>
      <w:r>
        <w:rPr>
          <w:b/>
        </w:rPr>
        <w:t>Recomandarea 1.9</w:t>
      </w:r>
      <w:r>
        <w:t xml:space="preserve"> </w:t>
      </w:r>
      <w:r>
        <w:rPr>
          <w:i/>
        </w:rPr>
        <w:t>(parteneriatele internaționale)</w:t>
      </w:r>
    </w:p>
    <w:p w14:paraId="5D77D415" w14:textId="77777777" w:rsidR="004D169A" w:rsidRPr="002B0952" w:rsidRDefault="004D169A" w:rsidP="00B30034">
      <w:pPr>
        <w:keepNext/>
        <w:keepLines/>
        <w:ind w:left="567" w:hanging="567"/>
        <w:rPr>
          <w:b/>
          <w:bCs/>
        </w:rPr>
      </w:pPr>
    </w:p>
    <w:p w14:paraId="59101646" w14:textId="5BDE1B26" w:rsidR="006D3E78" w:rsidRPr="002B0952" w:rsidRDefault="00E11F18" w:rsidP="00B30034">
      <w:pPr>
        <w:pStyle w:val="Heading2"/>
        <w:ind w:left="567" w:hanging="567"/>
      </w:pPr>
      <w:r>
        <w:t xml:space="preserve">Parteneriatele internaționale reprezintă un instrument semnificativ pentru obținerea de beneficii reciproce în mai multe domenii de cooperare. Condițiile geopolitice și </w:t>
      </w:r>
      <w:proofErr w:type="spellStart"/>
      <w:r>
        <w:t>geoeconomice</w:t>
      </w:r>
      <w:proofErr w:type="spellEnd"/>
      <w:r>
        <w:t xml:space="preserve"> în continuă schimbare, însoțite de evoluții demografice și de mediu, oferă oportunități de a valorifica punctele forte ale UE și ale țărilor partenere în consolidarea dezvoltării durabile din punct de vedere economic, social și ecologic, contribuind în același timp la extinderea și diversificarea parteneriatelor economice. Parteneriatele alternative pot, de asemenea, să aibă un efect disuasiv asupra măsurilor dăunătoare adoptate de alți actori.</w:t>
      </w:r>
    </w:p>
    <w:p w14:paraId="593363CE" w14:textId="77777777" w:rsidR="006D3E78" w:rsidRPr="002B0952" w:rsidRDefault="006D3E78" w:rsidP="00B30034">
      <w:pPr>
        <w:ind w:left="567" w:hanging="567"/>
      </w:pPr>
    </w:p>
    <w:p w14:paraId="2388B0A7" w14:textId="0DB3D3FF" w:rsidR="00E71B89" w:rsidRPr="002B0952" w:rsidRDefault="00395B00" w:rsidP="00D84C52">
      <w:pPr>
        <w:pStyle w:val="Heading2"/>
        <w:ind w:left="567" w:hanging="567"/>
      </w:pPr>
      <w:r>
        <w:t>Se pot obține multiple beneficii prin parteneriate cu țări din sudul global, cum ar fi țările africane și latino-americane și India, în domenii precum apa, alte resurse naturale, energia și clima, printre altele. Oportunitățile oferite de Global Gateway ar trebui să fie valorificate pe deplin pentru a crea ecosisteme de afaceri, inclusiv printr-o guvernanță îmbunătățită, nefragmentată, printr-o transparență sporită și prin implicarea prealabilă a societății civile, și să beneficieze de sprijin din partea inițiativei „Europa globală” și a altor instrumente de finanțare.</w:t>
      </w:r>
    </w:p>
    <w:p w14:paraId="327F9549" w14:textId="77777777" w:rsidR="00A11663" w:rsidRPr="002B0952" w:rsidRDefault="00A11663" w:rsidP="00633D46"/>
    <w:p w14:paraId="638EE49D" w14:textId="46D89349" w:rsidR="000E3217" w:rsidRPr="002B0952" w:rsidRDefault="000E3217" w:rsidP="00B30034">
      <w:pPr>
        <w:pStyle w:val="Heading2"/>
        <w:ind w:left="567" w:hanging="567"/>
      </w:pPr>
      <w:r>
        <w:t xml:space="preserve">Acest tip de cooperare prezintă un potențial semnificativ de consolidare a dezvoltării durabile din punct de vedere economic, ecologic și social, contribuind în același timp la extinderea și diversificarea parteneriatelor economice. Pe lângă parteneriatele bilaterale, UE ar trebui și să se poziționeze în prima linie a </w:t>
      </w:r>
      <w:proofErr w:type="spellStart"/>
      <w:r>
        <w:t>Summitului</w:t>
      </w:r>
      <w:proofErr w:type="spellEnd"/>
      <w:r>
        <w:t xml:space="preserve"> Viitorului organizat de ONU și al agendei post-2030, cu scopul de a consolida progresul sustenabil la nivel global prin cooperare multilaterală, inclusiv reforme în materie de guvernanță orientate spre viitor.</w:t>
      </w:r>
    </w:p>
    <w:p w14:paraId="7BE545BB" w14:textId="77777777" w:rsidR="000E3217" w:rsidRPr="002B0952" w:rsidRDefault="000E3217" w:rsidP="00B30034"/>
    <w:p w14:paraId="25B109F3" w14:textId="77777777" w:rsidR="008C5CA6" w:rsidRPr="002B0952" w:rsidRDefault="00250A0B" w:rsidP="00B30034">
      <w:pPr>
        <w:pStyle w:val="Heading2"/>
        <w:ind w:left="567" w:hanging="567"/>
      </w:pPr>
      <w:r>
        <w:t>Cooperarea economică cu țările candidate presupune măsuri menite să extindă piața internă, consolidând astfel securitatea economică a UE. Cooperarea cu Ucraina și sprijinirea acesteia sunt esențiale din perspectiva securității geopolitice în ansamblu și în vederea reconstrucției postbelice a țării. De asemenea, este important să se recunoască vulnerabilitățile specifice și acute în materie de securitate economică cu care se confruntă regiunile estice ale UE care se învecinează cu Rusia, Belarus și Ucraina</w:t>
      </w:r>
      <w:r w:rsidR="00275386" w:rsidRPr="002B0952">
        <w:rPr>
          <w:rStyle w:val="FootnoteReference"/>
        </w:rPr>
        <w:footnoteReference w:id="5"/>
      </w:r>
      <w:r>
        <w:t>.</w:t>
      </w:r>
    </w:p>
    <w:p w14:paraId="13D7823A" w14:textId="77777777" w:rsidR="004D169A" w:rsidRPr="002B0952" w:rsidRDefault="004D169A" w:rsidP="00B30034">
      <w:pPr>
        <w:overflowPunct/>
        <w:adjustRightInd/>
        <w:textAlignment w:val="auto"/>
        <w:rPr>
          <w:b/>
          <w:bCs/>
        </w:rPr>
      </w:pPr>
    </w:p>
    <w:p w14:paraId="5D929C96" w14:textId="4052CF32" w:rsidR="004D169A" w:rsidRPr="002B0952" w:rsidRDefault="00D749D4" w:rsidP="00B30034">
      <w:pPr>
        <w:keepNext/>
        <w:keepLines/>
        <w:overflowPunct/>
        <w:adjustRightInd/>
        <w:textAlignment w:val="auto"/>
        <w:rPr>
          <w:i/>
          <w:iCs/>
        </w:rPr>
      </w:pPr>
      <w:r>
        <w:rPr>
          <w:b/>
        </w:rPr>
        <w:t>Recomandarea 1.10</w:t>
      </w:r>
      <w:r>
        <w:t xml:space="preserve"> </w:t>
      </w:r>
      <w:r>
        <w:rPr>
          <w:i/>
        </w:rPr>
        <w:t>(implicare)</w:t>
      </w:r>
    </w:p>
    <w:p w14:paraId="5C8E0593" w14:textId="77777777" w:rsidR="004D169A" w:rsidRPr="002B0952" w:rsidRDefault="004D169A" w:rsidP="00B30034">
      <w:pPr>
        <w:keepNext/>
        <w:keepLines/>
        <w:overflowPunct/>
        <w:adjustRightInd/>
        <w:textAlignment w:val="auto"/>
        <w:rPr>
          <w:b/>
          <w:bCs/>
        </w:rPr>
      </w:pPr>
    </w:p>
    <w:p w14:paraId="41CECA79" w14:textId="03BFA895" w:rsidR="00175DAE" w:rsidRDefault="001A35B7" w:rsidP="00B30034">
      <w:pPr>
        <w:pStyle w:val="Heading2"/>
        <w:ind w:left="567" w:hanging="567"/>
      </w:pPr>
      <w:r>
        <w:t>Consolidarea securității economice a UE necesită o abordare la nivelul întregii societăți. În acest sens, în loc să se creeze noi grupuri consultative suplimentare de încredere, este necesară o implicare solidă, structurată și semnificativă a partenerilor sociali, a organizațiilor societății civile și instituțiilor academice de la nivel european, național, local și sectorial în evaluarea riscurilor și a oportunităților, precum și în elaborarea, punerea în aplicare și monitorizarea politicilor și măsurilor de securitate economică. Acest tip de cooperare permite o mai bună anticipare a riscurilor și o înțelegere mai cuprinzătoare a nevoilor și constrângerilor practice. Ca atare, ea asigură și o legitimitate mai largă pentru reforme.</w:t>
      </w:r>
    </w:p>
    <w:p w14:paraId="07EB3E5D" w14:textId="77777777" w:rsidR="002A11ED" w:rsidRPr="004C2A3C" w:rsidRDefault="002A11ED" w:rsidP="001C3289"/>
    <w:p w14:paraId="2C623CC3" w14:textId="454943B2" w:rsidR="00371992" w:rsidRDefault="00371992" w:rsidP="00371992">
      <w:pPr>
        <w:pStyle w:val="Header"/>
        <w:overflowPunct/>
        <w:autoSpaceDE/>
        <w:autoSpaceDN/>
        <w:adjustRightInd/>
        <w:textAlignment w:val="auto"/>
        <w:rPr>
          <w:szCs w:val="22"/>
        </w:rPr>
      </w:pPr>
      <w:r>
        <w:t>Bruxelles, 22 mai 2026</w:t>
      </w:r>
    </w:p>
    <w:p w14:paraId="4FC1DCCE" w14:textId="77777777" w:rsidR="00371992" w:rsidRDefault="00371992" w:rsidP="00371992">
      <w:pPr>
        <w:pStyle w:val="Header"/>
        <w:overflowPunct/>
        <w:autoSpaceDE/>
        <w:autoSpaceDN/>
        <w:adjustRightInd/>
        <w:textAlignment w:val="auto"/>
        <w:rPr>
          <w:szCs w:val="22"/>
        </w:rPr>
      </w:pPr>
    </w:p>
    <w:p w14:paraId="5B40AE1D" w14:textId="77777777" w:rsidR="00371992" w:rsidRDefault="00371992" w:rsidP="00371992">
      <w:pPr>
        <w:pStyle w:val="Header"/>
        <w:overflowPunct/>
        <w:autoSpaceDE/>
        <w:autoSpaceDN/>
        <w:adjustRightInd/>
        <w:textAlignment w:val="auto"/>
        <w:rPr>
          <w:szCs w:val="22"/>
        </w:rPr>
      </w:pPr>
    </w:p>
    <w:p w14:paraId="5B648239" w14:textId="43705B95" w:rsidR="00371992" w:rsidRPr="00161237" w:rsidRDefault="00371992" w:rsidP="00371992">
      <w:pPr>
        <w:rPr>
          <w:i/>
          <w:iCs/>
        </w:rPr>
      </w:pPr>
      <w:r>
        <w:rPr>
          <w:i/>
        </w:rPr>
        <w:t>Președintele Secțiunii pentru relații externe,</w:t>
      </w:r>
    </w:p>
    <w:p w14:paraId="39E4AFEE" w14:textId="128F3A78" w:rsidR="00371992" w:rsidRPr="00351840" w:rsidRDefault="00371992" w:rsidP="00371992">
      <w:pPr>
        <w:pStyle w:val="Header"/>
        <w:overflowPunct/>
        <w:autoSpaceDE/>
        <w:autoSpaceDN/>
        <w:adjustRightInd/>
        <w:textAlignment w:val="auto"/>
      </w:pPr>
      <w:proofErr w:type="spellStart"/>
      <w:r>
        <w:t>Stefano</w:t>
      </w:r>
      <w:proofErr w:type="spellEnd"/>
      <w:r>
        <w:t xml:space="preserve"> </w:t>
      </w:r>
      <w:r w:rsidR="00DB5D67">
        <w:t>PALMIERI</w:t>
      </w:r>
    </w:p>
    <w:p w14:paraId="11AB04C2" w14:textId="77777777" w:rsidR="00371992" w:rsidRPr="00371992" w:rsidRDefault="00371992" w:rsidP="001C3289"/>
    <w:bookmarkEnd w:id="0"/>
    <w:p w14:paraId="4F7FAAEC" w14:textId="59D592CC" w:rsidR="00253D18" w:rsidRPr="002B0952" w:rsidRDefault="00253D18" w:rsidP="00B30034">
      <w:pPr>
        <w:jc w:val="center"/>
      </w:pPr>
      <w:r>
        <w:t>_____________</w:t>
      </w:r>
    </w:p>
    <w:sectPr w:rsidR="00253D18" w:rsidRPr="002B0952" w:rsidSect="00987D85">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B31E" w14:textId="77777777" w:rsidR="00CB36D1" w:rsidRPr="00F767AB" w:rsidRDefault="00CB36D1">
      <w:r w:rsidRPr="00F767AB">
        <w:separator/>
      </w:r>
    </w:p>
  </w:endnote>
  <w:endnote w:type="continuationSeparator" w:id="0">
    <w:p w14:paraId="42A34F2A" w14:textId="77777777" w:rsidR="00CB36D1" w:rsidRPr="00F767AB" w:rsidRDefault="00CB36D1">
      <w:r w:rsidRPr="00F767AB">
        <w:continuationSeparator/>
      </w:r>
    </w:p>
  </w:endnote>
  <w:endnote w:type="continuationNotice" w:id="1">
    <w:p w14:paraId="1D820395" w14:textId="77777777" w:rsidR="00CB36D1" w:rsidRDefault="00CB36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2D3" w14:textId="542CCF02" w:rsidR="00CB5F3C" w:rsidRPr="00987D85" w:rsidRDefault="00987D85" w:rsidP="00987D85">
    <w:pPr>
      <w:pStyle w:val="Footer"/>
    </w:pPr>
    <w:r>
      <w:t xml:space="preserve">REX/614 – EESC-2026-00590-00-00-SA-TRA (EN) </w:t>
    </w:r>
    <w:r>
      <w:fldChar w:fldCharType="begin"/>
    </w:r>
    <w:r>
      <w:instrText xml:space="preserve"> PAGE  \* Arabic  \* MERGEFORMAT </w:instrText>
    </w:r>
    <w:r>
      <w:fldChar w:fldCharType="separate"/>
    </w:r>
    <w:r w:rsidR="00FF40FB">
      <w:t>1</w:t>
    </w:r>
    <w:r>
      <w:fldChar w:fldCharType="end"/>
    </w:r>
    <w:r>
      <w:t>/</w:t>
    </w:r>
    <w:r w:rsidR="00B716AB">
      <w:fldChar w:fldCharType="begin"/>
    </w:r>
    <w:r w:rsidR="00B716AB">
      <w:instrText xml:space="preserve"> NUMPAGES </w:instrText>
    </w:r>
    <w:r w:rsidR="00B716AB">
      <w:fldChar w:fldCharType="separate"/>
    </w:r>
    <w:r w:rsidR="00FF40FB">
      <w:t>1</w:t>
    </w:r>
    <w:r w:rsidR="00B716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4387" w14:textId="77777777" w:rsidR="00B43AAA" w:rsidRPr="00987D85" w:rsidRDefault="00B43AAA" w:rsidP="0098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72C9" w14:textId="560E7523" w:rsidR="00646AC2" w:rsidRPr="00987D85" w:rsidRDefault="00987D85" w:rsidP="00987D85">
    <w:pPr>
      <w:pStyle w:val="Footer"/>
    </w:pPr>
    <w:r>
      <w:t xml:space="preserve">REX/614 – EESC-2026-00590-00-00-AS-TRA (EN) </w:t>
    </w:r>
    <w:r>
      <w:fldChar w:fldCharType="begin"/>
    </w:r>
    <w:r>
      <w:instrText xml:space="preserve"> PAGE  \* Arabic  \* MERGEFORMAT </w:instrText>
    </w:r>
    <w:r>
      <w:fldChar w:fldCharType="separate"/>
    </w:r>
    <w:r>
      <w:t>2</w:t>
    </w:r>
    <w:r>
      <w:fldChar w:fldCharType="end"/>
    </w:r>
    <w:r>
      <w:t>/</w:t>
    </w:r>
    <w:r w:rsidR="00B716AB">
      <w:fldChar w:fldCharType="begin"/>
    </w:r>
    <w:r w:rsidR="00B716AB">
      <w:instrText xml:space="preserve"> NUMPAGES </w:instrText>
    </w:r>
    <w:r w:rsidR="00B716AB">
      <w:fldChar w:fldCharType="separate"/>
    </w:r>
    <w:r>
      <w:t>11</w:t>
    </w:r>
    <w:r w:rsidR="00B716A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B321" w14:textId="77777777" w:rsidR="00B43AAA" w:rsidRPr="00987D85" w:rsidRDefault="00B43AAA" w:rsidP="0098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CFE8" w14:textId="77777777" w:rsidR="00CB36D1" w:rsidRPr="00F767AB" w:rsidRDefault="00CB36D1">
      <w:r w:rsidRPr="00F767AB">
        <w:separator/>
      </w:r>
    </w:p>
  </w:footnote>
  <w:footnote w:type="continuationSeparator" w:id="0">
    <w:p w14:paraId="49A95EA6" w14:textId="77777777" w:rsidR="00CB36D1" w:rsidRPr="00F767AB" w:rsidRDefault="00CB36D1">
      <w:r w:rsidRPr="00F767AB">
        <w:continuationSeparator/>
      </w:r>
    </w:p>
  </w:footnote>
  <w:footnote w:type="continuationNotice" w:id="1">
    <w:p w14:paraId="125F6428" w14:textId="77777777" w:rsidR="00CB36D1" w:rsidRDefault="00CB36D1">
      <w:pPr>
        <w:spacing w:line="240" w:lineRule="auto"/>
      </w:pPr>
    </w:p>
  </w:footnote>
  <w:footnote w:id="2">
    <w:p w14:paraId="627D79D3" w14:textId="342D75B7" w:rsidR="00BE3A4C" w:rsidRPr="00633D46" w:rsidRDefault="00BE3A4C">
      <w:pPr>
        <w:pStyle w:val="FootnoteText"/>
      </w:pPr>
      <w:r>
        <w:rPr>
          <w:rStyle w:val="FootnoteReference"/>
        </w:rPr>
        <w:footnoteRef/>
      </w:r>
      <w:r>
        <w:t xml:space="preserve"> </w:t>
      </w:r>
      <w:r>
        <w:tab/>
      </w:r>
      <w:hyperlink r:id="rId1" w:history="1">
        <w:r>
          <w:rPr>
            <w:rStyle w:val="Hyperlink"/>
          </w:rPr>
          <w:t>https://eur-lex.europa.eu/eli/treaty/teu_2012/art_2/oj</w:t>
        </w:r>
      </w:hyperlink>
      <w:r>
        <w:t>.</w:t>
      </w:r>
    </w:p>
  </w:footnote>
  <w:footnote w:id="3">
    <w:p w14:paraId="02B76F4B" w14:textId="3DA8F0A6" w:rsidR="00D453C1" w:rsidRPr="001C3289" w:rsidRDefault="00D453C1">
      <w:pPr>
        <w:pStyle w:val="FootnoteText"/>
      </w:pPr>
      <w:r>
        <w:rPr>
          <w:rStyle w:val="FootnoteReference"/>
        </w:rPr>
        <w:footnoteRef/>
      </w:r>
      <w:r>
        <w:t xml:space="preserve"> </w:t>
      </w:r>
      <w:r>
        <w:tab/>
        <w:t>REX/579.</w:t>
      </w:r>
    </w:p>
  </w:footnote>
  <w:footnote w:id="4">
    <w:p w14:paraId="52354957" w14:textId="06760BB6" w:rsidR="00794387" w:rsidRPr="001C3289" w:rsidRDefault="00794387">
      <w:pPr>
        <w:pStyle w:val="FootnoteText"/>
      </w:pPr>
      <w:r>
        <w:rPr>
          <w:rStyle w:val="FootnoteReference"/>
        </w:rPr>
        <w:footnoteRef/>
      </w:r>
      <w:r>
        <w:t xml:space="preserve"> </w:t>
      </w:r>
      <w:r>
        <w:tab/>
        <w:t>INT/1011.</w:t>
      </w:r>
    </w:p>
  </w:footnote>
  <w:footnote w:id="5">
    <w:p w14:paraId="614B782E" w14:textId="45A92107" w:rsidR="00275386" w:rsidRPr="001C3289" w:rsidRDefault="00275386" w:rsidP="00B30034">
      <w:pPr>
        <w:pStyle w:val="FootnoteText"/>
        <w:ind w:left="567" w:hanging="567"/>
      </w:pPr>
      <w:r>
        <w:rPr>
          <w:rStyle w:val="FootnoteReference"/>
        </w:rPr>
        <w:footnoteRef/>
      </w:r>
      <w:r>
        <w:t xml:space="preserve"> </w:t>
      </w:r>
      <w:r>
        <w:tab/>
      </w:r>
      <w:hyperlink r:id="rId2" w:history="1">
        <w:r>
          <w:rPr>
            <w:rStyle w:val="Hyperlink"/>
          </w:rPr>
          <w:t>https://eur-lex.europa.eu/legal-content/RO/TXT/PDF/?uri=CELEX:52026DC0082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F000" w14:textId="77777777" w:rsidR="00B43AAA" w:rsidRPr="00987D85" w:rsidRDefault="00B43AAA" w:rsidP="00987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CE34" w14:textId="0E3D2AF1" w:rsidR="00646AC2" w:rsidRPr="00987D85" w:rsidRDefault="00646AC2" w:rsidP="00987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30BA" w14:textId="77777777" w:rsidR="00B43AAA" w:rsidRPr="00987D85" w:rsidRDefault="00B43AAA" w:rsidP="0098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EFAA9C2"/>
    <w:lvl w:ilvl="0">
      <w:start w:val="1"/>
      <w:numFmt w:val="decimal"/>
      <w:pStyle w:val="Heading1"/>
      <w:lvlText w:val="%1."/>
      <w:lvlJc w:val="left"/>
      <w:pPr>
        <w:ind w:left="0" w:firstLine="0"/>
      </w:pPr>
      <w:rPr>
        <w:rFonts w:hint="default"/>
        <w:b w:val="0"/>
        <w:i w:val="0"/>
        <w:iCs w:val="0"/>
      </w:rPr>
    </w:lvl>
    <w:lvl w:ilvl="1">
      <w:start w:val="1"/>
      <w:numFmt w:val="decimal"/>
      <w:pStyle w:val="Heading2"/>
      <w:lvlText w:val="%1.%2"/>
      <w:lvlJc w:val="left"/>
      <w:pPr>
        <w:ind w:left="0" w:firstLine="0"/>
      </w:pPr>
      <w:rPr>
        <w:rFonts w:hint="default"/>
        <w:i w:val="0"/>
        <w:iCs w: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007F"/>
    <w:rsid w:val="000014D2"/>
    <w:rsid w:val="00001B9F"/>
    <w:rsid w:val="00001C6F"/>
    <w:rsid w:val="00002319"/>
    <w:rsid w:val="00003327"/>
    <w:rsid w:val="00003F0D"/>
    <w:rsid w:val="00004BC3"/>
    <w:rsid w:val="00005AB9"/>
    <w:rsid w:val="00005EB9"/>
    <w:rsid w:val="00006E24"/>
    <w:rsid w:val="00007481"/>
    <w:rsid w:val="00007824"/>
    <w:rsid w:val="00007A40"/>
    <w:rsid w:val="00010A7F"/>
    <w:rsid w:val="00010D88"/>
    <w:rsid w:val="00010F21"/>
    <w:rsid w:val="00011147"/>
    <w:rsid w:val="00011A6F"/>
    <w:rsid w:val="00011DE9"/>
    <w:rsid w:val="00012F89"/>
    <w:rsid w:val="00012FD9"/>
    <w:rsid w:val="00013643"/>
    <w:rsid w:val="00013DFE"/>
    <w:rsid w:val="000141D8"/>
    <w:rsid w:val="00014B32"/>
    <w:rsid w:val="0001563C"/>
    <w:rsid w:val="0001566B"/>
    <w:rsid w:val="00016993"/>
    <w:rsid w:val="000169B5"/>
    <w:rsid w:val="00016B2C"/>
    <w:rsid w:val="00017258"/>
    <w:rsid w:val="00017B45"/>
    <w:rsid w:val="00017FBD"/>
    <w:rsid w:val="000206D1"/>
    <w:rsid w:val="00020E6E"/>
    <w:rsid w:val="00021840"/>
    <w:rsid w:val="00021EB4"/>
    <w:rsid w:val="00021F40"/>
    <w:rsid w:val="00022556"/>
    <w:rsid w:val="000251EB"/>
    <w:rsid w:val="00026642"/>
    <w:rsid w:val="00026A08"/>
    <w:rsid w:val="00026FCC"/>
    <w:rsid w:val="000271B3"/>
    <w:rsid w:val="000319DF"/>
    <w:rsid w:val="00031A4B"/>
    <w:rsid w:val="00031FF1"/>
    <w:rsid w:val="000335C2"/>
    <w:rsid w:val="00033913"/>
    <w:rsid w:val="00033DB4"/>
    <w:rsid w:val="00033E5B"/>
    <w:rsid w:val="00033FE4"/>
    <w:rsid w:val="000340D2"/>
    <w:rsid w:val="000348F3"/>
    <w:rsid w:val="000351A1"/>
    <w:rsid w:val="00035711"/>
    <w:rsid w:val="000357A8"/>
    <w:rsid w:val="000363A2"/>
    <w:rsid w:val="0003666A"/>
    <w:rsid w:val="00036799"/>
    <w:rsid w:val="000401C5"/>
    <w:rsid w:val="0004111E"/>
    <w:rsid w:val="000418EA"/>
    <w:rsid w:val="00041D25"/>
    <w:rsid w:val="00042138"/>
    <w:rsid w:val="000424D4"/>
    <w:rsid w:val="000427B4"/>
    <w:rsid w:val="00042A84"/>
    <w:rsid w:val="00042EFA"/>
    <w:rsid w:val="000430A6"/>
    <w:rsid w:val="00044923"/>
    <w:rsid w:val="00044F3F"/>
    <w:rsid w:val="00045F8B"/>
    <w:rsid w:val="00046A52"/>
    <w:rsid w:val="000470AF"/>
    <w:rsid w:val="000472E0"/>
    <w:rsid w:val="0005018C"/>
    <w:rsid w:val="00050FDA"/>
    <w:rsid w:val="0005192E"/>
    <w:rsid w:val="00052007"/>
    <w:rsid w:val="00052343"/>
    <w:rsid w:val="0005249C"/>
    <w:rsid w:val="00052AC3"/>
    <w:rsid w:val="00052FCA"/>
    <w:rsid w:val="000534A5"/>
    <w:rsid w:val="00053CDA"/>
    <w:rsid w:val="00053E00"/>
    <w:rsid w:val="00054292"/>
    <w:rsid w:val="0005448A"/>
    <w:rsid w:val="000552E7"/>
    <w:rsid w:val="00055492"/>
    <w:rsid w:val="00055D52"/>
    <w:rsid w:val="0005680D"/>
    <w:rsid w:val="00056CBE"/>
    <w:rsid w:val="00057301"/>
    <w:rsid w:val="00057E37"/>
    <w:rsid w:val="000600A5"/>
    <w:rsid w:val="00060809"/>
    <w:rsid w:val="000613E5"/>
    <w:rsid w:val="000617BC"/>
    <w:rsid w:val="00061E65"/>
    <w:rsid w:val="0006229B"/>
    <w:rsid w:val="00062313"/>
    <w:rsid w:val="00062AD8"/>
    <w:rsid w:val="0006382A"/>
    <w:rsid w:val="00063876"/>
    <w:rsid w:val="00063FB4"/>
    <w:rsid w:val="000641B1"/>
    <w:rsid w:val="000645EE"/>
    <w:rsid w:val="000650E7"/>
    <w:rsid w:val="000657B1"/>
    <w:rsid w:val="00065B44"/>
    <w:rsid w:val="00065F71"/>
    <w:rsid w:val="00066165"/>
    <w:rsid w:val="000663C8"/>
    <w:rsid w:val="00066536"/>
    <w:rsid w:val="00066768"/>
    <w:rsid w:val="00066AC4"/>
    <w:rsid w:val="0006727A"/>
    <w:rsid w:val="0006793E"/>
    <w:rsid w:val="000703EB"/>
    <w:rsid w:val="0007062D"/>
    <w:rsid w:val="0007095C"/>
    <w:rsid w:val="00070AD7"/>
    <w:rsid w:val="00070E3D"/>
    <w:rsid w:val="0007146C"/>
    <w:rsid w:val="00071837"/>
    <w:rsid w:val="0007218F"/>
    <w:rsid w:val="000725B8"/>
    <w:rsid w:val="000725E5"/>
    <w:rsid w:val="000728F7"/>
    <w:rsid w:val="00072E0F"/>
    <w:rsid w:val="00073377"/>
    <w:rsid w:val="000735E5"/>
    <w:rsid w:val="0007392F"/>
    <w:rsid w:val="000748D2"/>
    <w:rsid w:val="00074E01"/>
    <w:rsid w:val="00075B51"/>
    <w:rsid w:val="000766DC"/>
    <w:rsid w:val="00076815"/>
    <w:rsid w:val="000777DB"/>
    <w:rsid w:val="0007794E"/>
    <w:rsid w:val="00077AC9"/>
    <w:rsid w:val="00077D6F"/>
    <w:rsid w:val="0008083D"/>
    <w:rsid w:val="00080B7E"/>
    <w:rsid w:val="000810D0"/>
    <w:rsid w:val="000818A9"/>
    <w:rsid w:val="0008333F"/>
    <w:rsid w:val="00083E14"/>
    <w:rsid w:val="0008461E"/>
    <w:rsid w:val="000850F7"/>
    <w:rsid w:val="000850FF"/>
    <w:rsid w:val="000858CB"/>
    <w:rsid w:val="00085A88"/>
    <w:rsid w:val="00085ED7"/>
    <w:rsid w:val="00086131"/>
    <w:rsid w:val="0008671C"/>
    <w:rsid w:val="0008673E"/>
    <w:rsid w:val="00087055"/>
    <w:rsid w:val="00087B39"/>
    <w:rsid w:val="000909EE"/>
    <w:rsid w:val="00090E1F"/>
    <w:rsid w:val="00091721"/>
    <w:rsid w:val="00091892"/>
    <w:rsid w:val="00091F2C"/>
    <w:rsid w:val="00092254"/>
    <w:rsid w:val="000933DF"/>
    <w:rsid w:val="0009384F"/>
    <w:rsid w:val="000938A3"/>
    <w:rsid w:val="00093DE0"/>
    <w:rsid w:val="00093E3B"/>
    <w:rsid w:val="0009415A"/>
    <w:rsid w:val="00094402"/>
    <w:rsid w:val="00094C6C"/>
    <w:rsid w:val="00094F91"/>
    <w:rsid w:val="0009532E"/>
    <w:rsid w:val="00096502"/>
    <w:rsid w:val="000972A0"/>
    <w:rsid w:val="000A0D4A"/>
    <w:rsid w:val="000A0E94"/>
    <w:rsid w:val="000A1A76"/>
    <w:rsid w:val="000A200F"/>
    <w:rsid w:val="000A2399"/>
    <w:rsid w:val="000A2691"/>
    <w:rsid w:val="000A318A"/>
    <w:rsid w:val="000A338D"/>
    <w:rsid w:val="000A3C21"/>
    <w:rsid w:val="000A3CB2"/>
    <w:rsid w:val="000A49BB"/>
    <w:rsid w:val="000A4C94"/>
    <w:rsid w:val="000A5670"/>
    <w:rsid w:val="000A5C5E"/>
    <w:rsid w:val="000A5D85"/>
    <w:rsid w:val="000A5ED0"/>
    <w:rsid w:val="000A5F37"/>
    <w:rsid w:val="000A5F74"/>
    <w:rsid w:val="000A7646"/>
    <w:rsid w:val="000A7649"/>
    <w:rsid w:val="000B0155"/>
    <w:rsid w:val="000B0D64"/>
    <w:rsid w:val="000B1931"/>
    <w:rsid w:val="000B20E2"/>
    <w:rsid w:val="000B21E4"/>
    <w:rsid w:val="000B22E0"/>
    <w:rsid w:val="000B250D"/>
    <w:rsid w:val="000B25D6"/>
    <w:rsid w:val="000B2D50"/>
    <w:rsid w:val="000B5D64"/>
    <w:rsid w:val="000B5ED6"/>
    <w:rsid w:val="000B66F5"/>
    <w:rsid w:val="000B7AEA"/>
    <w:rsid w:val="000C0244"/>
    <w:rsid w:val="000C0271"/>
    <w:rsid w:val="000C125A"/>
    <w:rsid w:val="000C150C"/>
    <w:rsid w:val="000C18F3"/>
    <w:rsid w:val="000C1BD8"/>
    <w:rsid w:val="000C1C1F"/>
    <w:rsid w:val="000C1D13"/>
    <w:rsid w:val="000C1E7F"/>
    <w:rsid w:val="000C24A1"/>
    <w:rsid w:val="000C2916"/>
    <w:rsid w:val="000C30A2"/>
    <w:rsid w:val="000C3441"/>
    <w:rsid w:val="000C3926"/>
    <w:rsid w:val="000C3C8E"/>
    <w:rsid w:val="000C4084"/>
    <w:rsid w:val="000C46E9"/>
    <w:rsid w:val="000C4D2E"/>
    <w:rsid w:val="000C4D8A"/>
    <w:rsid w:val="000C535F"/>
    <w:rsid w:val="000C55A4"/>
    <w:rsid w:val="000C600C"/>
    <w:rsid w:val="000C6492"/>
    <w:rsid w:val="000C66AD"/>
    <w:rsid w:val="000C6D07"/>
    <w:rsid w:val="000C7177"/>
    <w:rsid w:val="000C7B29"/>
    <w:rsid w:val="000C7F53"/>
    <w:rsid w:val="000D06FA"/>
    <w:rsid w:val="000D08DD"/>
    <w:rsid w:val="000D096F"/>
    <w:rsid w:val="000D112A"/>
    <w:rsid w:val="000D162B"/>
    <w:rsid w:val="000D1864"/>
    <w:rsid w:val="000D1C6D"/>
    <w:rsid w:val="000D24BC"/>
    <w:rsid w:val="000D2F8E"/>
    <w:rsid w:val="000D3975"/>
    <w:rsid w:val="000D4017"/>
    <w:rsid w:val="000D412A"/>
    <w:rsid w:val="000D4938"/>
    <w:rsid w:val="000D62B1"/>
    <w:rsid w:val="000D6655"/>
    <w:rsid w:val="000D6C05"/>
    <w:rsid w:val="000E09BE"/>
    <w:rsid w:val="000E0E63"/>
    <w:rsid w:val="000E1161"/>
    <w:rsid w:val="000E133C"/>
    <w:rsid w:val="000E18B2"/>
    <w:rsid w:val="000E25C4"/>
    <w:rsid w:val="000E294E"/>
    <w:rsid w:val="000E2A21"/>
    <w:rsid w:val="000E2F96"/>
    <w:rsid w:val="000E3217"/>
    <w:rsid w:val="000E3517"/>
    <w:rsid w:val="000E4722"/>
    <w:rsid w:val="000E73F5"/>
    <w:rsid w:val="000E77D3"/>
    <w:rsid w:val="000F0884"/>
    <w:rsid w:val="000F092A"/>
    <w:rsid w:val="000F1217"/>
    <w:rsid w:val="000F1241"/>
    <w:rsid w:val="000F1481"/>
    <w:rsid w:val="000F196B"/>
    <w:rsid w:val="000F259F"/>
    <w:rsid w:val="000F2B1F"/>
    <w:rsid w:val="000F2C03"/>
    <w:rsid w:val="000F2C75"/>
    <w:rsid w:val="000F2E85"/>
    <w:rsid w:val="000F344A"/>
    <w:rsid w:val="000F35C2"/>
    <w:rsid w:val="000F3716"/>
    <w:rsid w:val="000F4049"/>
    <w:rsid w:val="000F40FA"/>
    <w:rsid w:val="000F4217"/>
    <w:rsid w:val="000F5425"/>
    <w:rsid w:val="000F54F5"/>
    <w:rsid w:val="000F5B8E"/>
    <w:rsid w:val="000F5FAF"/>
    <w:rsid w:val="000F61E4"/>
    <w:rsid w:val="000F668F"/>
    <w:rsid w:val="000F6BBC"/>
    <w:rsid w:val="001011E2"/>
    <w:rsid w:val="00102C78"/>
    <w:rsid w:val="00103BDC"/>
    <w:rsid w:val="001045B6"/>
    <w:rsid w:val="001046B3"/>
    <w:rsid w:val="001047A5"/>
    <w:rsid w:val="00104DAA"/>
    <w:rsid w:val="00105124"/>
    <w:rsid w:val="00105361"/>
    <w:rsid w:val="001069C3"/>
    <w:rsid w:val="00106D31"/>
    <w:rsid w:val="00107083"/>
    <w:rsid w:val="001101F8"/>
    <w:rsid w:val="00110218"/>
    <w:rsid w:val="00110F47"/>
    <w:rsid w:val="00110F89"/>
    <w:rsid w:val="001115A0"/>
    <w:rsid w:val="00111995"/>
    <w:rsid w:val="00111BAE"/>
    <w:rsid w:val="00111C66"/>
    <w:rsid w:val="0011206F"/>
    <w:rsid w:val="00112379"/>
    <w:rsid w:val="001125CC"/>
    <w:rsid w:val="00115369"/>
    <w:rsid w:val="00115A62"/>
    <w:rsid w:val="0011602A"/>
    <w:rsid w:val="0011656A"/>
    <w:rsid w:val="00116A56"/>
    <w:rsid w:val="00116DCD"/>
    <w:rsid w:val="00117798"/>
    <w:rsid w:val="00120365"/>
    <w:rsid w:val="00120439"/>
    <w:rsid w:val="001205F5"/>
    <w:rsid w:val="0012061C"/>
    <w:rsid w:val="00120BA2"/>
    <w:rsid w:val="00120BC2"/>
    <w:rsid w:val="001210EF"/>
    <w:rsid w:val="00121540"/>
    <w:rsid w:val="00121E0D"/>
    <w:rsid w:val="0012220C"/>
    <w:rsid w:val="001227C1"/>
    <w:rsid w:val="00123834"/>
    <w:rsid w:val="00123A1C"/>
    <w:rsid w:val="00123A68"/>
    <w:rsid w:val="001248E3"/>
    <w:rsid w:val="00124D55"/>
    <w:rsid w:val="00125002"/>
    <w:rsid w:val="00125729"/>
    <w:rsid w:val="0012572E"/>
    <w:rsid w:val="00125868"/>
    <w:rsid w:val="00125C37"/>
    <w:rsid w:val="00126D0F"/>
    <w:rsid w:val="001271CE"/>
    <w:rsid w:val="001274C1"/>
    <w:rsid w:val="0012769F"/>
    <w:rsid w:val="0012797A"/>
    <w:rsid w:val="00130755"/>
    <w:rsid w:val="00130A36"/>
    <w:rsid w:val="00130DD2"/>
    <w:rsid w:val="00132070"/>
    <w:rsid w:val="0013297F"/>
    <w:rsid w:val="00133051"/>
    <w:rsid w:val="00133F3C"/>
    <w:rsid w:val="001344FE"/>
    <w:rsid w:val="00134744"/>
    <w:rsid w:val="00134BB2"/>
    <w:rsid w:val="00134D4B"/>
    <w:rsid w:val="00135516"/>
    <w:rsid w:val="0013625E"/>
    <w:rsid w:val="001364D0"/>
    <w:rsid w:val="00136EA3"/>
    <w:rsid w:val="0013706B"/>
    <w:rsid w:val="001370AA"/>
    <w:rsid w:val="00137575"/>
    <w:rsid w:val="0013760E"/>
    <w:rsid w:val="001378D8"/>
    <w:rsid w:val="001379EC"/>
    <w:rsid w:val="00137C12"/>
    <w:rsid w:val="00140277"/>
    <w:rsid w:val="00140360"/>
    <w:rsid w:val="0014043D"/>
    <w:rsid w:val="00140509"/>
    <w:rsid w:val="0014059A"/>
    <w:rsid w:val="0014098E"/>
    <w:rsid w:val="0014114D"/>
    <w:rsid w:val="00141FAE"/>
    <w:rsid w:val="00142506"/>
    <w:rsid w:val="00142935"/>
    <w:rsid w:val="00142B20"/>
    <w:rsid w:val="00142BA8"/>
    <w:rsid w:val="001437D0"/>
    <w:rsid w:val="00144231"/>
    <w:rsid w:val="00145470"/>
    <w:rsid w:val="00146202"/>
    <w:rsid w:val="00146B2F"/>
    <w:rsid w:val="00146D5E"/>
    <w:rsid w:val="00147C3B"/>
    <w:rsid w:val="00147DF2"/>
    <w:rsid w:val="0015024C"/>
    <w:rsid w:val="00150434"/>
    <w:rsid w:val="00150994"/>
    <w:rsid w:val="00150F41"/>
    <w:rsid w:val="001510D4"/>
    <w:rsid w:val="001515B9"/>
    <w:rsid w:val="001518B8"/>
    <w:rsid w:val="00151BAF"/>
    <w:rsid w:val="001529EA"/>
    <w:rsid w:val="00152F98"/>
    <w:rsid w:val="00153882"/>
    <w:rsid w:val="00153BD3"/>
    <w:rsid w:val="00154208"/>
    <w:rsid w:val="001549A0"/>
    <w:rsid w:val="00154F19"/>
    <w:rsid w:val="00155721"/>
    <w:rsid w:val="00155FA3"/>
    <w:rsid w:val="00156413"/>
    <w:rsid w:val="00156E92"/>
    <w:rsid w:val="00157F7E"/>
    <w:rsid w:val="001606E3"/>
    <w:rsid w:val="00160A7D"/>
    <w:rsid w:val="00161F57"/>
    <w:rsid w:val="00162EAF"/>
    <w:rsid w:val="001630B1"/>
    <w:rsid w:val="001636C1"/>
    <w:rsid w:val="001639B5"/>
    <w:rsid w:val="00164540"/>
    <w:rsid w:val="0016503F"/>
    <w:rsid w:val="001656BC"/>
    <w:rsid w:val="001657B4"/>
    <w:rsid w:val="001663BD"/>
    <w:rsid w:val="0016674F"/>
    <w:rsid w:val="00166835"/>
    <w:rsid w:val="00166FE3"/>
    <w:rsid w:val="0016769D"/>
    <w:rsid w:val="00167CA0"/>
    <w:rsid w:val="00167CE9"/>
    <w:rsid w:val="00170884"/>
    <w:rsid w:val="00170E6A"/>
    <w:rsid w:val="0017120D"/>
    <w:rsid w:val="001714F6"/>
    <w:rsid w:val="001719CD"/>
    <w:rsid w:val="00171E14"/>
    <w:rsid w:val="0017216F"/>
    <w:rsid w:val="00172198"/>
    <w:rsid w:val="00172516"/>
    <w:rsid w:val="0017252E"/>
    <w:rsid w:val="001725F8"/>
    <w:rsid w:val="00172BF3"/>
    <w:rsid w:val="0017373B"/>
    <w:rsid w:val="0017383D"/>
    <w:rsid w:val="00174750"/>
    <w:rsid w:val="00174ABE"/>
    <w:rsid w:val="00174AF3"/>
    <w:rsid w:val="00175DAE"/>
    <w:rsid w:val="00175DB5"/>
    <w:rsid w:val="0017606E"/>
    <w:rsid w:val="00176168"/>
    <w:rsid w:val="00176324"/>
    <w:rsid w:val="0017690D"/>
    <w:rsid w:val="00177158"/>
    <w:rsid w:val="00177521"/>
    <w:rsid w:val="0017771C"/>
    <w:rsid w:val="00177B09"/>
    <w:rsid w:val="00177D65"/>
    <w:rsid w:val="001805E9"/>
    <w:rsid w:val="0018143B"/>
    <w:rsid w:val="001817A0"/>
    <w:rsid w:val="00183A95"/>
    <w:rsid w:val="00183B57"/>
    <w:rsid w:val="00183F88"/>
    <w:rsid w:val="00184876"/>
    <w:rsid w:val="00184FD4"/>
    <w:rsid w:val="001853B4"/>
    <w:rsid w:val="0018585A"/>
    <w:rsid w:val="001861F9"/>
    <w:rsid w:val="00186B04"/>
    <w:rsid w:val="00186CF3"/>
    <w:rsid w:val="00186D4C"/>
    <w:rsid w:val="00186F1E"/>
    <w:rsid w:val="001870D2"/>
    <w:rsid w:val="001878E6"/>
    <w:rsid w:val="00190666"/>
    <w:rsid w:val="00190836"/>
    <w:rsid w:val="0019184E"/>
    <w:rsid w:val="00191E37"/>
    <w:rsid w:val="001930C4"/>
    <w:rsid w:val="0019327B"/>
    <w:rsid w:val="00193930"/>
    <w:rsid w:val="00193C76"/>
    <w:rsid w:val="001948C5"/>
    <w:rsid w:val="00194B36"/>
    <w:rsid w:val="00195609"/>
    <w:rsid w:val="00196115"/>
    <w:rsid w:val="001963A5"/>
    <w:rsid w:val="00196F1E"/>
    <w:rsid w:val="001979A4"/>
    <w:rsid w:val="00197FCA"/>
    <w:rsid w:val="001A0796"/>
    <w:rsid w:val="001A0904"/>
    <w:rsid w:val="001A1545"/>
    <w:rsid w:val="001A21FF"/>
    <w:rsid w:val="001A27DB"/>
    <w:rsid w:val="001A3270"/>
    <w:rsid w:val="001A35B7"/>
    <w:rsid w:val="001A3C8A"/>
    <w:rsid w:val="001A471D"/>
    <w:rsid w:val="001A4A5F"/>
    <w:rsid w:val="001A4D98"/>
    <w:rsid w:val="001A4DA0"/>
    <w:rsid w:val="001A4F36"/>
    <w:rsid w:val="001A5D35"/>
    <w:rsid w:val="001A6852"/>
    <w:rsid w:val="001A6F68"/>
    <w:rsid w:val="001B0087"/>
    <w:rsid w:val="001B059C"/>
    <w:rsid w:val="001B09DD"/>
    <w:rsid w:val="001B0C90"/>
    <w:rsid w:val="001B0CE4"/>
    <w:rsid w:val="001B12DC"/>
    <w:rsid w:val="001B1688"/>
    <w:rsid w:val="001B1846"/>
    <w:rsid w:val="001B1999"/>
    <w:rsid w:val="001B2010"/>
    <w:rsid w:val="001B2270"/>
    <w:rsid w:val="001B262A"/>
    <w:rsid w:val="001B286A"/>
    <w:rsid w:val="001B2D02"/>
    <w:rsid w:val="001B3647"/>
    <w:rsid w:val="001B3E53"/>
    <w:rsid w:val="001B4293"/>
    <w:rsid w:val="001B436E"/>
    <w:rsid w:val="001B48E5"/>
    <w:rsid w:val="001B4C16"/>
    <w:rsid w:val="001B5586"/>
    <w:rsid w:val="001B55DA"/>
    <w:rsid w:val="001B5FA5"/>
    <w:rsid w:val="001B5FFB"/>
    <w:rsid w:val="001B6710"/>
    <w:rsid w:val="001B6ACF"/>
    <w:rsid w:val="001B7012"/>
    <w:rsid w:val="001B77FA"/>
    <w:rsid w:val="001C06BB"/>
    <w:rsid w:val="001C0ABE"/>
    <w:rsid w:val="001C1116"/>
    <w:rsid w:val="001C1625"/>
    <w:rsid w:val="001C1DD6"/>
    <w:rsid w:val="001C2F4C"/>
    <w:rsid w:val="001C3289"/>
    <w:rsid w:val="001C37C0"/>
    <w:rsid w:val="001C414F"/>
    <w:rsid w:val="001C4587"/>
    <w:rsid w:val="001C4A15"/>
    <w:rsid w:val="001C5068"/>
    <w:rsid w:val="001C5852"/>
    <w:rsid w:val="001C63CE"/>
    <w:rsid w:val="001C6713"/>
    <w:rsid w:val="001C6968"/>
    <w:rsid w:val="001C69B2"/>
    <w:rsid w:val="001C7009"/>
    <w:rsid w:val="001C795D"/>
    <w:rsid w:val="001C79C6"/>
    <w:rsid w:val="001C7BF4"/>
    <w:rsid w:val="001C7CB0"/>
    <w:rsid w:val="001D04BB"/>
    <w:rsid w:val="001D09B7"/>
    <w:rsid w:val="001D11DA"/>
    <w:rsid w:val="001D169A"/>
    <w:rsid w:val="001D1AA3"/>
    <w:rsid w:val="001D1D74"/>
    <w:rsid w:val="001D24CA"/>
    <w:rsid w:val="001D33D0"/>
    <w:rsid w:val="001D38D8"/>
    <w:rsid w:val="001D4396"/>
    <w:rsid w:val="001D45F0"/>
    <w:rsid w:val="001D478B"/>
    <w:rsid w:val="001D4AC9"/>
    <w:rsid w:val="001D4B6C"/>
    <w:rsid w:val="001D612D"/>
    <w:rsid w:val="001D62DF"/>
    <w:rsid w:val="001D650E"/>
    <w:rsid w:val="001D6DA0"/>
    <w:rsid w:val="001D6E1E"/>
    <w:rsid w:val="001D7063"/>
    <w:rsid w:val="001D70D4"/>
    <w:rsid w:val="001D7473"/>
    <w:rsid w:val="001D7820"/>
    <w:rsid w:val="001D793D"/>
    <w:rsid w:val="001E0003"/>
    <w:rsid w:val="001E0272"/>
    <w:rsid w:val="001E06FB"/>
    <w:rsid w:val="001E0F33"/>
    <w:rsid w:val="001E1335"/>
    <w:rsid w:val="001E1BE0"/>
    <w:rsid w:val="001E21AD"/>
    <w:rsid w:val="001E2989"/>
    <w:rsid w:val="001E496B"/>
    <w:rsid w:val="001E4A33"/>
    <w:rsid w:val="001E4CB3"/>
    <w:rsid w:val="001E55EE"/>
    <w:rsid w:val="001E5712"/>
    <w:rsid w:val="001E58DF"/>
    <w:rsid w:val="001E5A7A"/>
    <w:rsid w:val="001E5C27"/>
    <w:rsid w:val="001E670F"/>
    <w:rsid w:val="001E6DA9"/>
    <w:rsid w:val="001E6F45"/>
    <w:rsid w:val="001E755A"/>
    <w:rsid w:val="001E7DB9"/>
    <w:rsid w:val="001F07A4"/>
    <w:rsid w:val="001F0A8C"/>
    <w:rsid w:val="001F2225"/>
    <w:rsid w:val="001F26C0"/>
    <w:rsid w:val="001F29C0"/>
    <w:rsid w:val="001F388E"/>
    <w:rsid w:val="001F58AF"/>
    <w:rsid w:val="001F5A4E"/>
    <w:rsid w:val="001F5B19"/>
    <w:rsid w:val="001F5E83"/>
    <w:rsid w:val="001F602B"/>
    <w:rsid w:val="001F6AC8"/>
    <w:rsid w:val="001F73C3"/>
    <w:rsid w:val="001F7C36"/>
    <w:rsid w:val="001F7FF9"/>
    <w:rsid w:val="002001AA"/>
    <w:rsid w:val="002003AD"/>
    <w:rsid w:val="00200A34"/>
    <w:rsid w:val="00200BF0"/>
    <w:rsid w:val="002029FD"/>
    <w:rsid w:val="00202A38"/>
    <w:rsid w:val="00202C0A"/>
    <w:rsid w:val="00202C55"/>
    <w:rsid w:val="00202D40"/>
    <w:rsid w:val="00203394"/>
    <w:rsid w:val="002037D5"/>
    <w:rsid w:val="00203A48"/>
    <w:rsid w:val="002044CC"/>
    <w:rsid w:val="00204C67"/>
    <w:rsid w:val="00204FF7"/>
    <w:rsid w:val="00205231"/>
    <w:rsid w:val="00205D36"/>
    <w:rsid w:val="00206F90"/>
    <w:rsid w:val="00206FF3"/>
    <w:rsid w:val="0020758A"/>
    <w:rsid w:val="00207F8D"/>
    <w:rsid w:val="002122C7"/>
    <w:rsid w:val="00212B03"/>
    <w:rsid w:val="00213218"/>
    <w:rsid w:val="00213527"/>
    <w:rsid w:val="00213724"/>
    <w:rsid w:val="00213DC6"/>
    <w:rsid w:val="0021458B"/>
    <w:rsid w:val="002145DA"/>
    <w:rsid w:val="00214E39"/>
    <w:rsid w:val="0021523E"/>
    <w:rsid w:val="0021526C"/>
    <w:rsid w:val="00215C10"/>
    <w:rsid w:val="00215C2D"/>
    <w:rsid w:val="00215C85"/>
    <w:rsid w:val="00215D06"/>
    <w:rsid w:val="002161EA"/>
    <w:rsid w:val="00216B53"/>
    <w:rsid w:val="00216BE6"/>
    <w:rsid w:val="0021732E"/>
    <w:rsid w:val="00217994"/>
    <w:rsid w:val="00217AEF"/>
    <w:rsid w:val="00220238"/>
    <w:rsid w:val="002202E5"/>
    <w:rsid w:val="00220488"/>
    <w:rsid w:val="0022113D"/>
    <w:rsid w:val="002211F9"/>
    <w:rsid w:val="002212F7"/>
    <w:rsid w:val="00221DE1"/>
    <w:rsid w:val="00222712"/>
    <w:rsid w:val="00222E49"/>
    <w:rsid w:val="00223636"/>
    <w:rsid w:val="00223B40"/>
    <w:rsid w:val="00223CB0"/>
    <w:rsid w:val="00223E4D"/>
    <w:rsid w:val="002240AE"/>
    <w:rsid w:val="00224C66"/>
    <w:rsid w:val="002252C4"/>
    <w:rsid w:val="002255EF"/>
    <w:rsid w:val="0022575A"/>
    <w:rsid w:val="002257B4"/>
    <w:rsid w:val="00225A26"/>
    <w:rsid w:val="00225DF4"/>
    <w:rsid w:val="00226A19"/>
    <w:rsid w:val="00226BF4"/>
    <w:rsid w:val="002270DA"/>
    <w:rsid w:val="00230263"/>
    <w:rsid w:val="002304D6"/>
    <w:rsid w:val="00230542"/>
    <w:rsid w:val="0023140A"/>
    <w:rsid w:val="0023183E"/>
    <w:rsid w:val="00231BB1"/>
    <w:rsid w:val="00232B04"/>
    <w:rsid w:val="00232D41"/>
    <w:rsid w:val="00232FC5"/>
    <w:rsid w:val="00233227"/>
    <w:rsid w:val="00233E16"/>
    <w:rsid w:val="00235138"/>
    <w:rsid w:val="002351EE"/>
    <w:rsid w:val="002363AD"/>
    <w:rsid w:val="00236900"/>
    <w:rsid w:val="0024075E"/>
    <w:rsid w:val="00241479"/>
    <w:rsid w:val="00241CCE"/>
    <w:rsid w:val="00242551"/>
    <w:rsid w:val="00243E36"/>
    <w:rsid w:val="00243E76"/>
    <w:rsid w:val="0024445E"/>
    <w:rsid w:val="00244ABF"/>
    <w:rsid w:val="00245124"/>
    <w:rsid w:val="0024540B"/>
    <w:rsid w:val="002454DF"/>
    <w:rsid w:val="00245A0B"/>
    <w:rsid w:val="00245EF4"/>
    <w:rsid w:val="0024625D"/>
    <w:rsid w:val="002479F6"/>
    <w:rsid w:val="00250118"/>
    <w:rsid w:val="002503D6"/>
    <w:rsid w:val="00250772"/>
    <w:rsid w:val="00250A0B"/>
    <w:rsid w:val="00250E11"/>
    <w:rsid w:val="0025115B"/>
    <w:rsid w:val="00251383"/>
    <w:rsid w:val="002514A9"/>
    <w:rsid w:val="0025171B"/>
    <w:rsid w:val="00251CC7"/>
    <w:rsid w:val="002522C9"/>
    <w:rsid w:val="00252A21"/>
    <w:rsid w:val="002532A2"/>
    <w:rsid w:val="00253BA5"/>
    <w:rsid w:val="00253D18"/>
    <w:rsid w:val="00253E4F"/>
    <w:rsid w:val="002541C5"/>
    <w:rsid w:val="002541F5"/>
    <w:rsid w:val="002542E4"/>
    <w:rsid w:val="00255E33"/>
    <w:rsid w:val="0025615C"/>
    <w:rsid w:val="002561EF"/>
    <w:rsid w:val="0025649B"/>
    <w:rsid w:val="00256892"/>
    <w:rsid w:val="0025789A"/>
    <w:rsid w:val="00257C9F"/>
    <w:rsid w:val="00261053"/>
    <w:rsid w:val="0026131D"/>
    <w:rsid w:val="00261617"/>
    <w:rsid w:val="002622B3"/>
    <w:rsid w:val="00262420"/>
    <w:rsid w:val="00262AE2"/>
    <w:rsid w:val="00262C51"/>
    <w:rsid w:val="00262F6D"/>
    <w:rsid w:val="00262FDE"/>
    <w:rsid w:val="0026314B"/>
    <w:rsid w:val="00263243"/>
    <w:rsid w:val="002633B8"/>
    <w:rsid w:val="00263629"/>
    <w:rsid w:val="00263C84"/>
    <w:rsid w:val="00264E4B"/>
    <w:rsid w:val="00266D73"/>
    <w:rsid w:val="00271869"/>
    <w:rsid w:val="00273DE5"/>
    <w:rsid w:val="00274482"/>
    <w:rsid w:val="00274827"/>
    <w:rsid w:val="00274918"/>
    <w:rsid w:val="00274C8F"/>
    <w:rsid w:val="00275386"/>
    <w:rsid w:val="002760AC"/>
    <w:rsid w:val="002768E3"/>
    <w:rsid w:val="002769BD"/>
    <w:rsid w:val="002802E8"/>
    <w:rsid w:val="002809EA"/>
    <w:rsid w:val="00280A54"/>
    <w:rsid w:val="00280BE8"/>
    <w:rsid w:val="00281067"/>
    <w:rsid w:val="00281741"/>
    <w:rsid w:val="00281812"/>
    <w:rsid w:val="00281AF8"/>
    <w:rsid w:val="00281EE5"/>
    <w:rsid w:val="002827C0"/>
    <w:rsid w:val="00283F81"/>
    <w:rsid w:val="00284962"/>
    <w:rsid w:val="00285426"/>
    <w:rsid w:val="00285908"/>
    <w:rsid w:val="00285C50"/>
    <w:rsid w:val="00285FE9"/>
    <w:rsid w:val="00286327"/>
    <w:rsid w:val="002867E5"/>
    <w:rsid w:val="002874E0"/>
    <w:rsid w:val="002876D2"/>
    <w:rsid w:val="00287919"/>
    <w:rsid w:val="00287B0E"/>
    <w:rsid w:val="00290CD8"/>
    <w:rsid w:val="0029206D"/>
    <w:rsid w:val="0029279B"/>
    <w:rsid w:val="00292AF1"/>
    <w:rsid w:val="00293375"/>
    <w:rsid w:val="0029367A"/>
    <w:rsid w:val="002949D5"/>
    <w:rsid w:val="002949EA"/>
    <w:rsid w:val="00294F7C"/>
    <w:rsid w:val="002950FA"/>
    <w:rsid w:val="0029549C"/>
    <w:rsid w:val="002954B9"/>
    <w:rsid w:val="0029568D"/>
    <w:rsid w:val="00295852"/>
    <w:rsid w:val="0029592F"/>
    <w:rsid w:val="00295970"/>
    <w:rsid w:val="0029631C"/>
    <w:rsid w:val="00296896"/>
    <w:rsid w:val="00296C35"/>
    <w:rsid w:val="00297FBF"/>
    <w:rsid w:val="002A045D"/>
    <w:rsid w:val="002A0B53"/>
    <w:rsid w:val="002A0EEF"/>
    <w:rsid w:val="002A11AD"/>
    <w:rsid w:val="002A11ED"/>
    <w:rsid w:val="002A1275"/>
    <w:rsid w:val="002A151B"/>
    <w:rsid w:val="002A1687"/>
    <w:rsid w:val="002A2315"/>
    <w:rsid w:val="002A23C0"/>
    <w:rsid w:val="002A4571"/>
    <w:rsid w:val="002A5819"/>
    <w:rsid w:val="002A73E0"/>
    <w:rsid w:val="002A7433"/>
    <w:rsid w:val="002B0952"/>
    <w:rsid w:val="002B15F1"/>
    <w:rsid w:val="002B2A09"/>
    <w:rsid w:val="002B2BFB"/>
    <w:rsid w:val="002B2DF7"/>
    <w:rsid w:val="002B2F16"/>
    <w:rsid w:val="002B31C1"/>
    <w:rsid w:val="002B320D"/>
    <w:rsid w:val="002B329B"/>
    <w:rsid w:val="002B4631"/>
    <w:rsid w:val="002B46F0"/>
    <w:rsid w:val="002B58CD"/>
    <w:rsid w:val="002B59C5"/>
    <w:rsid w:val="002B6700"/>
    <w:rsid w:val="002B6AD9"/>
    <w:rsid w:val="002C0003"/>
    <w:rsid w:val="002C015C"/>
    <w:rsid w:val="002C0843"/>
    <w:rsid w:val="002C13A2"/>
    <w:rsid w:val="002C1817"/>
    <w:rsid w:val="002C1D46"/>
    <w:rsid w:val="002C2502"/>
    <w:rsid w:val="002C346C"/>
    <w:rsid w:val="002C34C1"/>
    <w:rsid w:val="002C3BF4"/>
    <w:rsid w:val="002C40CC"/>
    <w:rsid w:val="002C4ADD"/>
    <w:rsid w:val="002C5245"/>
    <w:rsid w:val="002C7082"/>
    <w:rsid w:val="002C71DA"/>
    <w:rsid w:val="002C7267"/>
    <w:rsid w:val="002C749F"/>
    <w:rsid w:val="002C78A7"/>
    <w:rsid w:val="002C7CF0"/>
    <w:rsid w:val="002C7F6C"/>
    <w:rsid w:val="002D03F3"/>
    <w:rsid w:val="002D13BE"/>
    <w:rsid w:val="002D164A"/>
    <w:rsid w:val="002D2287"/>
    <w:rsid w:val="002D24FF"/>
    <w:rsid w:val="002D3283"/>
    <w:rsid w:val="002D33A8"/>
    <w:rsid w:val="002D349C"/>
    <w:rsid w:val="002D5677"/>
    <w:rsid w:val="002D5679"/>
    <w:rsid w:val="002D5D94"/>
    <w:rsid w:val="002D60B6"/>
    <w:rsid w:val="002D6113"/>
    <w:rsid w:val="002D6666"/>
    <w:rsid w:val="002D6E19"/>
    <w:rsid w:val="002D70FC"/>
    <w:rsid w:val="002D77A7"/>
    <w:rsid w:val="002D7C3D"/>
    <w:rsid w:val="002E07E4"/>
    <w:rsid w:val="002E128F"/>
    <w:rsid w:val="002E12A6"/>
    <w:rsid w:val="002E16C8"/>
    <w:rsid w:val="002E2944"/>
    <w:rsid w:val="002E3DC0"/>
    <w:rsid w:val="002E4D54"/>
    <w:rsid w:val="002E54B7"/>
    <w:rsid w:val="002E594A"/>
    <w:rsid w:val="002E61A7"/>
    <w:rsid w:val="002E61D7"/>
    <w:rsid w:val="002E66DE"/>
    <w:rsid w:val="002E70B8"/>
    <w:rsid w:val="002E7464"/>
    <w:rsid w:val="002E7F85"/>
    <w:rsid w:val="002F059B"/>
    <w:rsid w:val="002F09E6"/>
    <w:rsid w:val="002F0B41"/>
    <w:rsid w:val="002F0F77"/>
    <w:rsid w:val="002F1224"/>
    <w:rsid w:val="002F1321"/>
    <w:rsid w:val="002F19B8"/>
    <w:rsid w:val="002F229B"/>
    <w:rsid w:val="002F24CB"/>
    <w:rsid w:val="002F2B62"/>
    <w:rsid w:val="002F2EB1"/>
    <w:rsid w:val="002F39DC"/>
    <w:rsid w:val="002F484E"/>
    <w:rsid w:val="002F4A04"/>
    <w:rsid w:val="002F52E9"/>
    <w:rsid w:val="002F5B0B"/>
    <w:rsid w:val="002F67FD"/>
    <w:rsid w:val="002F6CC0"/>
    <w:rsid w:val="002F77B5"/>
    <w:rsid w:val="002F7971"/>
    <w:rsid w:val="002F7E69"/>
    <w:rsid w:val="00300924"/>
    <w:rsid w:val="00300EFE"/>
    <w:rsid w:val="0030126F"/>
    <w:rsid w:val="0030207D"/>
    <w:rsid w:val="0030285D"/>
    <w:rsid w:val="00302DFB"/>
    <w:rsid w:val="00303595"/>
    <w:rsid w:val="00303892"/>
    <w:rsid w:val="00303DDA"/>
    <w:rsid w:val="00304217"/>
    <w:rsid w:val="0030451F"/>
    <w:rsid w:val="00305309"/>
    <w:rsid w:val="00305440"/>
    <w:rsid w:val="0030596E"/>
    <w:rsid w:val="003060F1"/>
    <w:rsid w:val="00307337"/>
    <w:rsid w:val="003073C3"/>
    <w:rsid w:val="00311BF2"/>
    <w:rsid w:val="0031202C"/>
    <w:rsid w:val="00313C78"/>
    <w:rsid w:val="00313DE9"/>
    <w:rsid w:val="00316216"/>
    <w:rsid w:val="0031634E"/>
    <w:rsid w:val="003176D7"/>
    <w:rsid w:val="003214B9"/>
    <w:rsid w:val="003219C7"/>
    <w:rsid w:val="003222E0"/>
    <w:rsid w:val="0032296F"/>
    <w:rsid w:val="00323637"/>
    <w:rsid w:val="00323872"/>
    <w:rsid w:val="00323E2A"/>
    <w:rsid w:val="00324D2D"/>
    <w:rsid w:val="00324E8A"/>
    <w:rsid w:val="003250EF"/>
    <w:rsid w:val="00325927"/>
    <w:rsid w:val="003261FF"/>
    <w:rsid w:val="003262C3"/>
    <w:rsid w:val="00326E93"/>
    <w:rsid w:val="00327371"/>
    <w:rsid w:val="00331ABF"/>
    <w:rsid w:val="00331D87"/>
    <w:rsid w:val="00332318"/>
    <w:rsid w:val="00332801"/>
    <w:rsid w:val="00332850"/>
    <w:rsid w:val="00333133"/>
    <w:rsid w:val="003331D6"/>
    <w:rsid w:val="00333A6C"/>
    <w:rsid w:val="003342C2"/>
    <w:rsid w:val="0033430D"/>
    <w:rsid w:val="00334478"/>
    <w:rsid w:val="003346B4"/>
    <w:rsid w:val="00334AE6"/>
    <w:rsid w:val="003358C3"/>
    <w:rsid w:val="00335A99"/>
    <w:rsid w:val="00335FF6"/>
    <w:rsid w:val="003365D0"/>
    <w:rsid w:val="0033723B"/>
    <w:rsid w:val="003379A4"/>
    <w:rsid w:val="00337D03"/>
    <w:rsid w:val="00340372"/>
    <w:rsid w:val="0034057D"/>
    <w:rsid w:val="00340C7A"/>
    <w:rsid w:val="0034153E"/>
    <w:rsid w:val="003418D7"/>
    <w:rsid w:val="00341C68"/>
    <w:rsid w:val="003436B8"/>
    <w:rsid w:val="003439AB"/>
    <w:rsid w:val="003449C5"/>
    <w:rsid w:val="00344FD4"/>
    <w:rsid w:val="0034515B"/>
    <w:rsid w:val="003453E4"/>
    <w:rsid w:val="0034602B"/>
    <w:rsid w:val="0034617C"/>
    <w:rsid w:val="00346C62"/>
    <w:rsid w:val="00346D38"/>
    <w:rsid w:val="003479C5"/>
    <w:rsid w:val="0035008D"/>
    <w:rsid w:val="00350B7E"/>
    <w:rsid w:val="00350CF0"/>
    <w:rsid w:val="00351840"/>
    <w:rsid w:val="00352FCE"/>
    <w:rsid w:val="00353A5E"/>
    <w:rsid w:val="00353F19"/>
    <w:rsid w:val="00354558"/>
    <w:rsid w:val="00354695"/>
    <w:rsid w:val="00354EAE"/>
    <w:rsid w:val="003552EE"/>
    <w:rsid w:val="00355471"/>
    <w:rsid w:val="0035549B"/>
    <w:rsid w:val="00355563"/>
    <w:rsid w:val="00355683"/>
    <w:rsid w:val="00355EBE"/>
    <w:rsid w:val="00356EB5"/>
    <w:rsid w:val="0035746B"/>
    <w:rsid w:val="00357810"/>
    <w:rsid w:val="00360337"/>
    <w:rsid w:val="00360346"/>
    <w:rsid w:val="003606D1"/>
    <w:rsid w:val="003611D9"/>
    <w:rsid w:val="003616CE"/>
    <w:rsid w:val="00361889"/>
    <w:rsid w:val="00362AD7"/>
    <w:rsid w:val="00362D80"/>
    <w:rsid w:val="003643A7"/>
    <w:rsid w:val="00364497"/>
    <w:rsid w:val="00365543"/>
    <w:rsid w:val="0036557E"/>
    <w:rsid w:val="00365916"/>
    <w:rsid w:val="0036691C"/>
    <w:rsid w:val="00366B26"/>
    <w:rsid w:val="00366DC2"/>
    <w:rsid w:val="0036779A"/>
    <w:rsid w:val="00367B2E"/>
    <w:rsid w:val="00367B3F"/>
    <w:rsid w:val="00367E72"/>
    <w:rsid w:val="00367EDE"/>
    <w:rsid w:val="0037082C"/>
    <w:rsid w:val="00370A90"/>
    <w:rsid w:val="00370B5C"/>
    <w:rsid w:val="00370BE5"/>
    <w:rsid w:val="00371581"/>
    <w:rsid w:val="00371652"/>
    <w:rsid w:val="003717B9"/>
    <w:rsid w:val="00371992"/>
    <w:rsid w:val="00371B9F"/>
    <w:rsid w:val="00371C95"/>
    <w:rsid w:val="00371CA2"/>
    <w:rsid w:val="00372563"/>
    <w:rsid w:val="00372E3E"/>
    <w:rsid w:val="00372E72"/>
    <w:rsid w:val="003749C9"/>
    <w:rsid w:val="003755C8"/>
    <w:rsid w:val="00375687"/>
    <w:rsid w:val="003757AB"/>
    <w:rsid w:val="00375BCF"/>
    <w:rsid w:val="00375C20"/>
    <w:rsid w:val="00375EF9"/>
    <w:rsid w:val="00376FD5"/>
    <w:rsid w:val="0037761D"/>
    <w:rsid w:val="00377C45"/>
    <w:rsid w:val="00380AE0"/>
    <w:rsid w:val="003813B2"/>
    <w:rsid w:val="00381B89"/>
    <w:rsid w:val="00381DE2"/>
    <w:rsid w:val="00382AEC"/>
    <w:rsid w:val="00382D7F"/>
    <w:rsid w:val="00382D93"/>
    <w:rsid w:val="00383324"/>
    <w:rsid w:val="00383346"/>
    <w:rsid w:val="003834E8"/>
    <w:rsid w:val="00383603"/>
    <w:rsid w:val="00383B3A"/>
    <w:rsid w:val="00383E02"/>
    <w:rsid w:val="00384659"/>
    <w:rsid w:val="0038536F"/>
    <w:rsid w:val="00385E8C"/>
    <w:rsid w:val="00386789"/>
    <w:rsid w:val="00386846"/>
    <w:rsid w:val="00386EF5"/>
    <w:rsid w:val="00387A75"/>
    <w:rsid w:val="00387BF1"/>
    <w:rsid w:val="003904FD"/>
    <w:rsid w:val="00390CE0"/>
    <w:rsid w:val="00392594"/>
    <w:rsid w:val="00392976"/>
    <w:rsid w:val="00392E1C"/>
    <w:rsid w:val="00393D73"/>
    <w:rsid w:val="00394254"/>
    <w:rsid w:val="00394D5A"/>
    <w:rsid w:val="00395B00"/>
    <w:rsid w:val="00395B8F"/>
    <w:rsid w:val="00396415"/>
    <w:rsid w:val="00396420"/>
    <w:rsid w:val="00396D18"/>
    <w:rsid w:val="00397A55"/>
    <w:rsid w:val="003A030E"/>
    <w:rsid w:val="003A0410"/>
    <w:rsid w:val="003A05D4"/>
    <w:rsid w:val="003A07ED"/>
    <w:rsid w:val="003A08FE"/>
    <w:rsid w:val="003A13FE"/>
    <w:rsid w:val="003A15C2"/>
    <w:rsid w:val="003A1950"/>
    <w:rsid w:val="003A1E1E"/>
    <w:rsid w:val="003A1F75"/>
    <w:rsid w:val="003A1FAA"/>
    <w:rsid w:val="003A2050"/>
    <w:rsid w:val="003A24D9"/>
    <w:rsid w:val="003A271B"/>
    <w:rsid w:val="003A2738"/>
    <w:rsid w:val="003A326E"/>
    <w:rsid w:val="003A3600"/>
    <w:rsid w:val="003A3890"/>
    <w:rsid w:val="003A4334"/>
    <w:rsid w:val="003A4436"/>
    <w:rsid w:val="003A495B"/>
    <w:rsid w:val="003A54C6"/>
    <w:rsid w:val="003A5705"/>
    <w:rsid w:val="003A5803"/>
    <w:rsid w:val="003A5DEC"/>
    <w:rsid w:val="003A6043"/>
    <w:rsid w:val="003A61AA"/>
    <w:rsid w:val="003A63E0"/>
    <w:rsid w:val="003A74C8"/>
    <w:rsid w:val="003A7802"/>
    <w:rsid w:val="003B0BD3"/>
    <w:rsid w:val="003B0C32"/>
    <w:rsid w:val="003B0D7B"/>
    <w:rsid w:val="003B0FA1"/>
    <w:rsid w:val="003B1E3A"/>
    <w:rsid w:val="003B30D9"/>
    <w:rsid w:val="003B31AB"/>
    <w:rsid w:val="003B34C7"/>
    <w:rsid w:val="003B4014"/>
    <w:rsid w:val="003B4080"/>
    <w:rsid w:val="003B54EA"/>
    <w:rsid w:val="003B5596"/>
    <w:rsid w:val="003B576D"/>
    <w:rsid w:val="003B58E4"/>
    <w:rsid w:val="003B595E"/>
    <w:rsid w:val="003B5EA4"/>
    <w:rsid w:val="003B6AE1"/>
    <w:rsid w:val="003B6CA5"/>
    <w:rsid w:val="003B6E60"/>
    <w:rsid w:val="003B73E8"/>
    <w:rsid w:val="003B7CB3"/>
    <w:rsid w:val="003C0AEA"/>
    <w:rsid w:val="003C0E19"/>
    <w:rsid w:val="003C1FC3"/>
    <w:rsid w:val="003C22A4"/>
    <w:rsid w:val="003C2903"/>
    <w:rsid w:val="003C2919"/>
    <w:rsid w:val="003C29FF"/>
    <w:rsid w:val="003C2BFB"/>
    <w:rsid w:val="003C346C"/>
    <w:rsid w:val="003C3835"/>
    <w:rsid w:val="003C38DF"/>
    <w:rsid w:val="003C3AF8"/>
    <w:rsid w:val="003C3CFD"/>
    <w:rsid w:val="003C436B"/>
    <w:rsid w:val="003C4EC0"/>
    <w:rsid w:val="003C5188"/>
    <w:rsid w:val="003C5337"/>
    <w:rsid w:val="003C5A6A"/>
    <w:rsid w:val="003C5F92"/>
    <w:rsid w:val="003C68FF"/>
    <w:rsid w:val="003C6B2A"/>
    <w:rsid w:val="003C6D03"/>
    <w:rsid w:val="003C789F"/>
    <w:rsid w:val="003C7A9F"/>
    <w:rsid w:val="003C7ADB"/>
    <w:rsid w:val="003C7D92"/>
    <w:rsid w:val="003D0245"/>
    <w:rsid w:val="003D0596"/>
    <w:rsid w:val="003D08B0"/>
    <w:rsid w:val="003D0EC3"/>
    <w:rsid w:val="003D1261"/>
    <w:rsid w:val="003D1A8B"/>
    <w:rsid w:val="003D1F26"/>
    <w:rsid w:val="003D274B"/>
    <w:rsid w:val="003D2B24"/>
    <w:rsid w:val="003D2BD4"/>
    <w:rsid w:val="003D330C"/>
    <w:rsid w:val="003D3AB4"/>
    <w:rsid w:val="003D3CAC"/>
    <w:rsid w:val="003D40B4"/>
    <w:rsid w:val="003D4925"/>
    <w:rsid w:val="003D61B3"/>
    <w:rsid w:val="003D790D"/>
    <w:rsid w:val="003D7A8C"/>
    <w:rsid w:val="003D7C00"/>
    <w:rsid w:val="003E053C"/>
    <w:rsid w:val="003E0703"/>
    <w:rsid w:val="003E0A07"/>
    <w:rsid w:val="003E0E39"/>
    <w:rsid w:val="003E0EB4"/>
    <w:rsid w:val="003E16BF"/>
    <w:rsid w:val="003E1759"/>
    <w:rsid w:val="003E1A9E"/>
    <w:rsid w:val="003E1FFE"/>
    <w:rsid w:val="003E26AA"/>
    <w:rsid w:val="003E2864"/>
    <w:rsid w:val="003E2E70"/>
    <w:rsid w:val="003E423D"/>
    <w:rsid w:val="003E48F6"/>
    <w:rsid w:val="003E5394"/>
    <w:rsid w:val="003E56E5"/>
    <w:rsid w:val="003E591C"/>
    <w:rsid w:val="003E65EA"/>
    <w:rsid w:val="003E66D8"/>
    <w:rsid w:val="003E7B6E"/>
    <w:rsid w:val="003E7E60"/>
    <w:rsid w:val="003F0077"/>
    <w:rsid w:val="003F00D4"/>
    <w:rsid w:val="003F043A"/>
    <w:rsid w:val="003F06F1"/>
    <w:rsid w:val="003F09D2"/>
    <w:rsid w:val="003F0B30"/>
    <w:rsid w:val="003F0E92"/>
    <w:rsid w:val="003F1BA9"/>
    <w:rsid w:val="003F1FD8"/>
    <w:rsid w:val="003F2209"/>
    <w:rsid w:val="003F229C"/>
    <w:rsid w:val="003F2500"/>
    <w:rsid w:val="003F250A"/>
    <w:rsid w:val="003F3160"/>
    <w:rsid w:val="003F3D39"/>
    <w:rsid w:val="003F48F6"/>
    <w:rsid w:val="003F5283"/>
    <w:rsid w:val="003F548E"/>
    <w:rsid w:val="003F56BE"/>
    <w:rsid w:val="003F646A"/>
    <w:rsid w:val="003F6761"/>
    <w:rsid w:val="003F67AD"/>
    <w:rsid w:val="003F6A0A"/>
    <w:rsid w:val="003F6FF5"/>
    <w:rsid w:val="003F71F6"/>
    <w:rsid w:val="003F766D"/>
    <w:rsid w:val="003F7CB8"/>
    <w:rsid w:val="00400208"/>
    <w:rsid w:val="004024F5"/>
    <w:rsid w:val="0040254B"/>
    <w:rsid w:val="00402DE1"/>
    <w:rsid w:val="00402FD7"/>
    <w:rsid w:val="00403277"/>
    <w:rsid w:val="0040345C"/>
    <w:rsid w:val="004036AD"/>
    <w:rsid w:val="00403D26"/>
    <w:rsid w:val="00403D8B"/>
    <w:rsid w:val="0040422A"/>
    <w:rsid w:val="00404396"/>
    <w:rsid w:val="004047DA"/>
    <w:rsid w:val="00404E7F"/>
    <w:rsid w:val="004058F1"/>
    <w:rsid w:val="004059AE"/>
    <w:rsid w:val="00405D5D"/>
    <w:rsid w:val="00405E60"/>
    <w:rsid w:val="00405EFE"/>
    <w:rsid w:val="00406635"/>
    <w:rsid w:val="00406B72"/>
    <w:rsid w:val="00406C1B"/>
    <w:rsid w:val="00406E66"/>
    <w:rsid w:val="00407159"/>
    <w:rsid w:val="00407E7D"/>
    <w:rsid w:val="0041057C"/>
    <w:rsid w:val="004107ED"/>
    <w:rsid w:val="00411090"/>
    <w:rsid w:val="00411665"/>
    <w:rsid w:val="00411B5E"/>
    <w:rsid w:val="0041283D"/>
    <w:rsid w:val="00412CBE"/>
    <w:rsid w:val="004132AC"/>
    <w:rsid w:val="00413AB4"/>
    <w:rsid w:val="00413FD2"/>
    <w:rsid w:val="00414C94"/>
    <w:rsid w:val="0041579C"/>
    <w:rsid w:val="0041594D"/>
    <w:rsid w:val="00415EBC"/>
    <w:rsid w:val="004178EA"/>
    <w:rsid w:val="00420F5F"/>
    <w:rsid w:val="00421117"/>
    <w:rsid w:val="00421373"/>
    <w:rsid w:val="00421735"/>
    <w:rsid w:val="00421B52"/>
    <w:rsid w:val="00421FB7"/>
    <w:rsid w:val="00422325"/>
    <w:rsid w:val="004227DB"/>
    <w:rsid w:val="00422816"/>
    <w:rsid w:val="00422A8A"/>
    <w:rsid w:val="00422B97"/>
    <w:rsid w:val="00422D87"/>
    <w:rsid w:val="00423641"/>
    <w:rsid w:val="00424A6F"/>
    <w:rsid w:val="00425AC4"/>
    <w:rsid w:val="00426041"/>
    <w:rsid w:val="004262B8"/>
    <w:rsid w:val="004270B2"/>
    <w:rsid w:val="0042763B"/>
    <w:rsid w:val="00427D1C"/>
    <w:rsid w:val="00427DF4"/>
    <w:rsid w:val="0043024C"/>
    <w:rsid w:val="004309CC"/>
    <w:rsid w:val="00431C61"/>
    <w:rsid w:val="00431CA0"/>
    <w:rsid w:val="00432B03"/>
    <w:rsid w:val="0043456E"/>
    <w:rsid w:val="00434D54"/>
    <w:rsid w:val="00434D5D"/>
    <w:rsid w:val="00434EB1"/>
    <w:rsid w:val="0043580C"/>
    <w:rsid w:val="00435FB5"/>
    <w:rsid w:val="00435FFF"/>
    <w:rsid w:val="00436280"/>
    <w:rsid w:val="00436706"/>
    <w:rsid w:val="004368DB"/>
    <w:rsid w:val="00436E35"/>
    <w:rsid w:val="00436E44"/>
    <w:rsid w:val="00437C1A"/>
    <w:rsid w:val="00437C38"/>
    <w:rsid w:val="00440160"/>
    <w:rsid w:val="00440798"/>
    <w:rsid w:val="004411C2"/>
    <w:rsid w:val="00441237"/>
    <w:rsid w:val="004415BF"/>
    <w:rsid w:val="004417A4"/>
    <w:rsid w:val="00441CDC"/>
    <w:rsid w:val="00441E71"/>
    <w:rsid w:val="00442B1A"/>
    <w:rsid w:val="00442BDD"/>
    <w:rsid w:val="00443960"/>
    <w:rsid w:val="00443D17"/>
    <w:rsid w:val="00443D38"/>
    <w:rsid w:val="00444441"/>
    <w:rsid w:val="004455B5"/>
    <w:rsid w:val="004455F9"/>
    <w:rsid w:val="00445742"/>
    <w:rsid w:val="00446904"/>
    <w:rsid w:val="00450E39"/>
    <w:rsid w:val="00450E7A"/>
    <w:rsid w:val="004511CE"/>
    <w:rsid w:val="00451378"/>
    <w:rsid w:val="00452847"/>
    <w:rsid w:val="00452F51"/>
    <w:rsid w:val="00453FC2"/>
    <w:rsid w:val="0045488B"/>
    <w:rsid w:val="004549FC"/>
    <w:rsid w:val="00454A1D"/>
    <w:rsid w:val="00454A4D"/>
    <w:rsid w:val="00455677"/>
    <w:rsid w:val="00455FF1"/>
    <w:rsid w:val="00456AF8"/>
    <w:rsid w:val="00457034"/>
    <w:rsid w:val="0045792A"/>
    <w:rsid w:val="004613F4"/>
    <w:rsid w:val="00461687"/>
    <w:rsid w:val="004617BE"/>
    <w:rsid w:val="004620DB"/>
    <w:rsid w:val="004623AE"/>
    <w:rsid w:val="0046271D"/>
    <w:rsid w:val="00463DF5"/>
    <w:rsid w:val="004650EF"/>
    <w:rsid w:val="004659B9"/>
    <w:rsid w:val="00466574"/>
    <w:rsid w:val="00467BEC"/>
    <w:rsid w:val="00467D0F"/>
    <w:rsid w:val="00470B15"/>
    <w:rsid w:val="00470C5E"/>
    <w:rsid w:val="004716C0"/>
    <w:rsid w:val="004716CD"/>
    <w:rsid w:val="0047185A"/>
    <w:rsid w:val="004724C8"/>
    <w:rsid w:val="00474F07"/>
    <w:rsid w:val="0047557D"/>
    <w:rsid w:val="00475869"/>
    <w:rsid w:val="00475A77"/>
    <w:rsid w:val="00475E76"/>
    <w:rsid w:val="004763C4"/>
    <w:rsid w:val="004765AC"/>
    <w:rsid w:val="00476C99"/>
    <w:rsid w:val="00476FC9"/>
    <w:rsid w:val="00477EF1"/>
    <w:rsid w:val="004801EB"/>
    <w:rsid w:val="00480B66"/>
    <w:rsid w:val="00481152"/>
    <w:rsid w:val="00481729"/>
    <w:rsid w:val="00481B5F"/>
    <w:rsid w:val="00481EFC"/>
    <w:rsid w:val="004820B7"/>
    <w:rsid w:val="0048288E"/>
    <w:rsid w:val="004829D6"/>
    <w:rsid w:val="00482D84"/>
    <w:rsid w:val="00482DDC"/>
    <w:rsid w:val="00483229"/>
    <w:rsid w:val="00483372"/>
    <w:rsid w:val="00483581"/>
    <w:rsid w:val="004836C2"/>
    <w:rsid w:val="00483A6D"/>
    <w:rsid w:val="00483E36"/>
    <w:rsid w:val="00483E6C"/>
    <w:rsid w:val="0048400D"/>
    <w:rsid w:val="00484136"/>
    <w:rsid w:val="00484421"/>
    <w:rsid w:val="00484CC0"/>
    <w:rsid w:val="00484CC8"/>
    <w:rsid w:val="00484E2B"/>
    <w:rsid w:val="0048609E"/>
    <w:rsid w:val="004860F1"/>
    <w:rsid w:val="004862F3"/>
    <w:rsid w:val="004866A9"/>
    <w:rsid w:val="00486B35"/>
    <w:rsid w:val="00487162"/>
    <w:rsid w:val="00490F21"/>
    <w:rsid w:val="00492774"/>
    <w:rsid w:val="00492829"/>
    <w:rsid w:val="00492A64"/>
    <w:rsid w:val="00492A78"/>
    <w:rsid w:val="00493DAC"/>
    <w:rsid w:val="00494BEA"/>
    <w:rsid w:val="00495997"/>
    <w:rsid w:val="00496691"/>
    <w:rsid w:val="00496D7A"/>
    <w:rsid w:val="004A065E"/>
    <w:rsid w:val="004A1585"/>
    <w:rsid w:val="004A2CA0"/>
    <w:rsid w:val="004A2F76"/>
    <w:rsid w:val="004A31BC"/>
    <w:rsid w:val="004A3228"/>
    <w:rsid w:val="004A3F1A"/>
    <w:rsid w:val="004A3F45"/>
    <w:rsid w:val="004A61AF"/>
    <w:rsid w:val="004A6ADD"/>
    <w:rsid w:val="004B0448"/>
    <w:rsid w:val="004B0E22"/>
    <w:rsid w:val="004B0EEE"/>
    <w:rsid w:val="004B1453"/>
    <w:rsid w:val="004B18C9"/>
    <w:rsid w:val="004B1AFA"/>
    <w:rsid w:val="004B1CFF"/>
    <w:rsid w:val="004B1D02"/>
    <w:rsid w:val="004B2515"/>
    <w:rsid w:val="004B267C"/>
    <w:rsid w:val="004B4B76"/>
    <w:rsid w:val="004B4E3D"/>
    <w:rsid w:val="004B51D2"/>
    <w:rsid w:val="004B588B"/>
    <w:rsid w:val="004B6047"/>
    <w:rsid w:val="004B68FB"/>
    <w:rsid w:val="004B6E56"/>
    <w:rsid w:val="004B7088"/>
    <w:rsid w:val="004B7177"/>
    <w:rsid w:val="004B7965"/>
    <w:rsid w:val="004C1094"/>
    <w:rsid w:val="004C1982"/>
    <w:rsid w:val="004C1C80"/>
    <w:rsid w:val="004C27D2"/>
    <w:rsid w:val="004C2A3C"/>
    <w:rsid w:val="004C3EF6"/>
    <w:rsid w:val="004C3F0F"/>
    <w:rsid w:val="004C3F51"/>
    <w:rsid w:val="004C4B32"/>
    <w:rsid w:val="004C504B"/>
    <w:rsid w:val="004C5245"/>
    <w:rsid w:val="004C52D1"/>
    <w:rsid w:val="004C53F3"/>
    <w:rsid w:val="004C5B76"/>
    <w:rsid w:val="004C64F2"/>
    <w:rsid w:val="004C679A"/>
    <w:rsid w:val="004C6806"/>
    <w:rsid w:val="004D02CD"/>
    <w:rsid w:val="004D0863"/>
    <w:rsid w:val="004D0B24"/>
    <w:rsid w:val="004D0C3C"/>
    <w:rsid w:val="004D142B"/>
    <w:rsid w:val="004D169A"/>
    <w:rsid w:val="004D17F4"/>
    <w:rsid w:val="004D1FD5"/>
    <w:rsid w:val="004D2D13"/>
    <w:rsid w:val="004D2D52"/>
    <w:rsid w:val="004D30AA"/>
    <w:rsid w:val="004D30DB"/>
    <w:rsid w:val="004D336F"/>
    <w:rsid w:val="004D3693"/>
    <w:rsid w:val="004D426E"/>
    <w:rsid w:val="004D4B90"/>
    <w:rsid w:val="004D55EF"/>
    <w:rsid w:val="004D56A4"/>
    <w:rsid w:val="004D5CCD"/>
    <w:rsid w:val="004D5FBF"/>
    <w:rsid w:val="004D6B95"/>
    <w:rsid w:val="004D6DC0"/>
    <w:rsid w:val="004D770F"/>
    <w:rsid w:val="004D7F41"/>
    <w:rsid w:val="004E03A2"/>
    <w:rsid w:val="004E0887"/>
    <w:rsid w:val="004E17A9"/>
    <w:rsid w:val="004E1E95"/>
    <w:rsid w:val="004E1FC5"/>
    <w:rsid w:val="004E22E1"/>
    <w:rsid w:val="004E2F11"/>
    <w:rsid w:val="004E2F17"/>
    <w:rsid w:val="004E307E"/>
    <w:rsid w:val="004E317E"/>
    <w:rsid w:val="004E3832"/>
    <w:rsid w:val="004E3954"/>
    <w:rsid w:val="004E4345"/>
    <w:rsid w:val="004E44F3"/>
    <w:rsid w:val="004E4835"/>
    <w:rsid w:val="004E4AA0"/>
    <w:rsid w:val="004E5856"/>
    <w:rsid w:val="004E5CE1"/>
    <w:rsid w:val="004E60AA"/>
    <w:rsid w:val="004E6677"/>
    <w:rsid w:val="004E6F45"/>
    <w:rsid w:val="004E73B6"/>
    <w:rsid w:val="004E7661"/>
    <w:rsid w:val="004F0484"/>
    <w:rsid w:val="004F09B3"/>
    <w:rsid w:val="004F1390"/>
    <w:rsid w:val="004F1972"/>
    <w:rsid w:val="004F2330"/>
    <w:rsid w:val="004F2D9B"/>
    <w:rsid w:val="004F2DDA"/>
    <w:rsid w:val="004F3132"/>
    <w:rsid w:val="004F3678"/>
    <w:rsid w:val="004F3F8A"/>
    <w:rsid w:val="004F4523"/>
    <w:rsid w:val="004F5237"/>
    <w:rsid w:val="004F53C6"/>
    <w:rsid w:val="004F5C3C"/>
    <w:rsid w:val="004F5DC5"/>
    <w:rsid w:val="004F69DB"/>
    <w:rsid w:val="004F6B29"/>
    <w:rsid w:val="004F6B87"/>
    <w:rsid w:val="004F7283"/>
    <w:rsid w:val="004F7B32"/>
    <w:rsid w:val="004F7C6A"/>
    <w:rsid w:val="0050013D"/>
    <w:rsid w:val="005015F4"/>
    <w:rsid w:val="00501A6D"/>
    <w:rsid w:val="00501C2D"/>
    <w:rsid w:val="005025E0"/>
    <w:rsid w:val="00502637"/>
    <w:rsid w:val="005027CA"/>
    <w:rsid w:val="00502D59"/>
    <w:rsid w:val="00502F9A"/>
    <w:rsid w:val="0050406B"/>
    <w:rsid w:val="00504568"/>
    <w:rsid w:val="00504A68"/>
    <w:rsid w:val="00504AD7"/>
    <w:rsid w:val="00504C69"/>
    <w:rsid w:val="00505117"/>
    <w:rsid w:val="00505508"/>
    <w:rsid w:val="005057FF"/>
    <w:rsid w:val="00505B6C"/>
    <w:rsid w:val="00505F1B"/>
    <w:rsid w:val="005069AF"/>
    <w:rsid w:val="00506AF2"/>
    <w:rsid w:val="00507299"/>
    <w:rsid w:val="005073E7"/>
    <w:rsid w:val="00511140"/>
    <w:rsid w:val="005112C1"/>
    <w:rsid w:val="00511801"/>
    <w:rsid w:val="00512A79"/>
    <w:rsid w:val="00512C09"/>
    <w:rsid w:val="00512C50"/>
    <w:rsid w:val="00512E6F"/>
    <w:rsid w:val="00513CFE"/>
    <w:rsid w:val="0051439A"/>
    <w:rsid w:val="00515161"/>
    <w:rsid w:val="005159F9"/>
    <w:rsid w:val="005163AB"/>
    <w:rsid w:val="00516C56"/>
    <w:rsid w:val="00517687"/>
    <w:rsid w:val="0052088C"/>
    <w:rsid w:val="00521210"/>
    <w:rsid w:val="0052171B"/>
    <w:rsid w:val="00521B6B"/>
    <w:rsid w:val="00521F13"/>
    <w:rsid w:val="00522048"/>
    <w:rsid w:val="0052247E"/>
    <w:rsid w:val="0052253F"/>
    <w:rsid w:val="00522E55"/>
    <w:rsid w:val="00523361"/>
    <w:rsid w:val="005238D0"/>
    <w:rsid w:val="00523B6A"/>
    <w:rsid w:val="00524093"/>
    <w:rsid w:val="00525165"/>
    <w:rsid w:val="00525F6C"/>
    <w:rsid w:val="00526106"/>
    <w:rsid w:val="005274A7"/>
    <w:rsid w:val="00527509"/>
    <w:rsid w:val="005279AE"/>
    <w:rsid w:val="00530625"/>
    <w:rsid w:val="00530F9A"/>
    <w:rsid w:val="005331B8"/>
    <w:rsid w:val="0053345D"/>
    <w:rsid w:val="005335EC"/>
    <w:rsid w:val="00535894"/>
    <w:rsid w:val="00535961"/>
    <w:rsid w:val="00536523"/>
    <w:rsid w:val="005372D6"/>
    <w:rsid w:val="00537CD6"/>
    <w:rsid w:val="0054054A"/>
    <w:rsid w:val="00541788"/>
    <w:rsid w:val="00542200"/>
    <w:rsid w:val="0054338F"/>
    <w:rsid w:val="00543E1B"/>
    <w:rsid w:val="005447D6"/>
    <w:rsid w:val="00544FB5"/>
    <w:rsid w:val="00545636"/>
    <w:rsid w:val="00546AB4"/>
    <w:rsid w:val="00546AC1"/>
    <w:rsid w:val="00546BDE"/>
    <w:rsid w:val="005476EC"/>
    <w:rsid w:val="00547CDD"/>
    <w:rsid w:val="00550CA6"/>
    <w:rsid w:val="00550F12"/>
    <w:rsid w:val="005511EA"/>
    <w:rsid w:val="005513EF"/>
    <w:rsid w:val="005514E5"/>
    <w:rsid w:val="00551737"/>
    <w:rsid w:val="00551AF8"/>
    <w:rsid w:val="005526F2"/>
    <w:rsid w:val="0055270B"/>
    <w:rsid w:val="00552A10"/>
    <w:rsid w:val="00552DE0"/>
    <w:rsid w:val="00555713"/>
    <w:rsid w:val="00556593"/>
    <w:rsid w:val="0055728C"/>
    <w:rsid w:val="005572CC"/>
    <w:rsid w:val="0055745F"/>
    <w:rsid w:val="00557578"/>
    <w:rsid w:val="005607FE"/>
    <w:rsid w:val="005608BA"/>
    <w:rsid w:val="00560D47"/>
    <w:rsid w:val="00562154"/>
    <w:rsid w:val="00562FF5"/>
    <w:rsid w:val="00563478"/>
    <w:rsid w:val="00563C84"/>
    <w:rsid w:val="00563D00"/>
    <w:rsid w:val="00563DD7"/>
    <w:rsid w:val="00563E5D"/>
    <w:rsid w:val="00563F5C"/>
    <w:rsid w:val="00564B51"/>
    <w:rsid w:val="0056547B"/>
    <w:rsid w:val="005667DB"/>
    <w:rsid w:val="00566AFA"/>
    <w:rsid w:val="00566EC3"/>
    <w:rsid w:val="00567907"/>
    <w:rsid w:val="00570E27"/>
    <w:rsid w:val="005711B9"/>
    <w:rsid w:val="00571321"/>
    <w:rsid w:val="00571349"/>
    <w:rsid w:val="00571A52"/>
    <w:rsid w:val="00571F24"/>
    <w:rsid w:val="00573ECF"/>
    <w:rsid w:val="005740E3"/>
    <w:rsid w:val="005743D1"/>
    <w:rsid w:val="00574DEE"/>
    <w:rsid w:val="00574EF4"/>
    <w:rsid w:val="005762F6"/>
    <w:rsid w:val="00576969"/>
    <w:rsid w:val="00576C16"/>
    <w:rsid w:val="00576D03"/>
    <w:rsid w:val="0057735E"/>
    <w:rsid w:val="00577522"/>
    <w:rsid w:val="00577A81"/>
    <w:rsid w:val="00577EC3"/>
    <w:rsid w:val="00577ED0"/>
    <w:rsid w:val="005801C3"/>
    <w:rsid w:val="00580F02"/>
    <w:rsid w:val="00581B86"/>
    <w:rsid w:val="00583112"/>
    <w:rsid w:val="00583470"/>
    <w:rsid w:val="00583A78"/>
    <w:rsid w:val="00583AE6"/>
    <w:rsid w:val="00583FF1"/>
    <w:rsid w:val="0058440E"/>
    <w:rsid w:val="005847A4"/>
    <w:rsid w:val="0058481E"/>
    <w:rsid w:val="00584FBE"/>
    <w:rsid w:val="00585483"/>
    <w:rsid w:val="00585585"/>
    <w:rsid w:val="00585968"/>
    <w:rsid w:val="00586DAE"/>
    <w:rsid w:val="00587378"/>
    <w:rsid w:val="0058798E"/>
    <w:rsid w:val="00587C05"/>
    <w:rsid w:val="00587D3E"/>
    <w:rsid w:val="005905C1"/>
    <w:rsid w:val="005906C9"/>
    <w:rsid w:val="00590AAB"/>
    <w:rsid w:val="00590CD4"/>
    <w:rsid w:val="00590DFC"/>
    <w:rsid w:val="0059145C"/>
    <w:rsid w:val="005919D8"/>
    <w:rsid w:val="00592251"/>
    <w:rsid w:val="005923FC"/>
    <w:rsid w:val="00592874"/>
    <w:rsid w:val="00592C78"/>
    <w:rsid w:val="005938C3"/>
    <w:rsid w:val="00594183"/>
    <w:rsid w:val="0059419A"/>
    <w:rsid w:val="0059458D"/>
    <w:rsid w:val="0059468C"/>
    <w:rsid w:val="00595125"/>
    <w:rsid w:val="00595271"/>
    <w:rsid w:val="005957EA"/>
    <w:rsid w:val="00595CB5"/>
    <w:rsid w:val="005968A4"/>
    <w:rsid w:val="00596AB1"/>
    <w:rsid w:val="00596E1E"/>
    <w:rsid w:val="00596F21"/>
    <w:rsid w:val="0059709A"/>
    <w:rsid w:val="005972AD"/>
    <w:rsid w:val="005A0562"/>
    <w:rsid w:val="005A0715"/>
    <w:rsid w:val="005A1030"/>
    <w:rsid w:val="005A20CA"/>
    <w:rsid w:val="005A220E"/>
    <w:rsid w:val="005A22C0"/>
    <w:rsid w:val="005A2856"/>
    <w:rsid w:val="005A35C3"/>
    <w:rsid w:val="005A39FB"/>
    <w:rsid w:val="005A3BDA"/>
    <w:rsid w:val="005A4BB7"/>
    <w:rsid w:val="005A5D8C"/>
    <w:rsid w:val="005A7920"/>
    <w:rsid w:val="005A7B8E"/>
    <w:rsid w:val="005B0069"/>
    <w:rsid w:val="005B1CDD"/>
    <w:rsid w:val="005B1CFD"/>
    <w:rsid w:val="005B1E19"/>
    <w:rsid w:val="005B1F9F"/>
    <w:rsid w:val="005B2016"/>
    <w:rsid w:val="005B290F"/>
    <w:rsid w:val="005B3883"/>
    <w:rsid w:val="005B41A7"/>
    <w:rsid w:val="005B48F6"/>
    <w:rsid w:val="005B506E"/>
    <w:rsid w:val="005B55FC"/>
    <w:rsid w:val="005B6456"/>
    <w:rsid w:val="005B6467"/>
    <w:rsid w:val="005B6E5B"/>
    <w:rsid w:val="005B72B0"/>
    <w:rsid w:val="005B7A8D"/>
    <w:rsid w:val="005B7B63"/>
    <w:rsid w:val="005C0892"/>
    <w:rsid w:val="005C250D"/>
    <w:rsid w:val="005C2D5E"/>
    <w:rsid w:val="005C3184"/>
    <w:rsid w:val="005C3B81"/>
    <w:rsid w:val="005C3C4B"/>
    <w:rsid w:val="005C4782"/>
    <w:rsid w:val="005C4BFF"/>
    <w:rsid w:val="005C4E7D"/>
    <w:rsid w:val="005C5E94"/>
    <w:rsid w:val="005C650C"/>
    <w:rsid w:val="005C6613"/>
    <w:rsid w:val="005C74B9"/>
    <w:rsid w:val="005C7DB9"/>
    <w:rsid w:val="005D0476"/>
    <w:rsid w:val="005D086C"/>
    <w:rsid w:val="005D11D3"/>
    <w:rsid w:val="005D1E92"/>
    <w:rsid w:val="005D1EA4"/>
    <w:rsid w:val="005D1FC1"/>
    <w:rsid w:val="005D2DA9"/>
    <w:rsid w:val="005D339A"/>
    <w:rsid w:val="005D3683"/>
    <w:rsid w:val="005D3E2A"/>
    <w:rsid w:val="005D43EB"/>
    <w:rsid w:val="005D4E1F"/>
    <w:rsid w:val="005D4FB3"/>
    <w:rsid w:val="005D518C"/>
    <w:rsid w:val="005D55D8"/>
    <w:rsid w:val="005D5C55"/>
    <w:rsid w:val="005D639D"/>
    <w:rsid w:val="005D63E3"/>
    <w:rsid w:val="005D64EE"/>
    <w:rsid w:val="005D6DDE"/>
    <w:rsid w:val="005D77BE"/>
    <w:rsid w:val="005D7AA2"/>
    <w:rsid w:val="005E05B0"/>
    <w:rsid w:val="005E1F50"/>
    <w:rsid w:val="005E26F5"/>
    <w:rsid w:val="005E2757"/>
    <w:rsid w:val="005E2A45"/>
    <w:rsid w:val="005E2C93"/>
    <w:rsid w:val="005E2F07"/>
    <w:rsid w:val="005E2FEA"/>
    <w:rsid w:val="005E536E"/>
    <w:rsid w:val="005E5407"/>
    <w:rsid w:val="005E5571"/>
    <w:rsid w:val="005E5A27"/>
    <w:rsid w:val="005E6006"/>
    <w:rsid w:val="005E681B"/>
    <w:rsid w:val="005E6F40"/>
    <w:rsid w:val="005E7CD9"/>
    <w:rsid w:val="005F03AA"/>
    <w:rsid w:val="005F1544"/>
    <w:rsid w:val="005F1684"/>
    <w:rsid w:val="005F314B"/>
    <w:rsid w:val="005F31F6"/>
    <w:rsid w:val="005F3F9C"/>
    <w:rsid w:val="005F41E4"/>
    <w:rsid w:val="005F453E"/>
    <w:rsid w:val="005F56D1"/>
    <w:rsid w:val="005F64F9"/>
    <w:rsid w:val="005F695A"/>
    <w:rsid w:val="005F6B89"/>
    <w:rsid w:val="005F71A4"/>
    <w:rsid w:val="005F7F7F"/>
    <w:rsid w:val="00600061"/>
    <w:rsid w:val="006000A0"/>
    <w:rsid w:val="00600C8C"/>
    <w:rsid w:val="006020B4"/>
    <w:rsid w:val="00602149"/>
    <w:rsid w:val="00602E58"/>
    <w:rsid w:val="006030C1"/>
    <w:rsid w:val="00603119"/>
    <w:rsid w:val="00603478"/>
    <w:rsid w:val="00603571"/>
    <w:rsid w:val="0060396E"/>
    <w:rsid w:val="00603D9A"/>
    <w:rsid w:val="00604029"/>
    <w:rsid w:val="006042F6"/>
    <w:rsid w:val="006061DE"/>
    <w:rsid w:val="006072FD"/>
    <w:rsid w:val="00611186"/>
    <w:rsid w:val="0061130B"/>
    <w:rsid w:val="00611AF2"/>
    <w:rsid w:val="0061212B"/>
    <w:rsid w:val="006122B6"/>
    <w:rsid w:val="00612522"/>
    <w:rsid w:val="00612637"/>
    <w:rsid w:val="006127AF"/>
    <w:rsid w:val="00612EB5"/>
    <w:rsid w:val="0061311D"/>
    <w:rsid w:val="0061384E"/>
    <w:rsid w:val="006141DF"/>
    <w:rsid w:val="00614630"/>
    <w:rsid w:val="00614D73"/>
    <w:rsid w:val="00615439"/>
    <w:rsid w:val="00615469"/>
    <w:rsid w:val="006155E4"/>
    <w:rsid w:val="006159A9"/>
    <w:rsid w:val="00615EC3"/>
    <w:rsid w:val="00615FB2"/>
    <w:rsid w:val="00616F6D"/>
    <w:rsid w:val="0061711E"/>
    <w:rsid w:val="00617BD1"/>
    <w:rsid w:val="00617CE8"/>
    <w:rsid w:val="006203BE"/>
    <w:rsid w:val="00620E8E"/>
    <w:rsid w:val="0062123D"/>
    <w:rsid w:val="006215D2"/>
    <w:rsid w:val="00622405"/>
    <w:rsid w:val="006225C1"/>
    <w:rsid w:val="00622772"/>
    <w:rsid w:val="00623C26"/>
    <w:rsid w:val="00624CE0"/>
    <w:rsid w:val="00625C0F"/>
    <w:rsid w:val="00625D3E"/>
    <w:rsid w:val="00625D3F"/>
    <w:rsid w:val="006264BE"/>
    <w:rsid w:val="006267D1"/>
    <w:rsid w:val="00626972"/>
    <w:rsid w:val="006270A9"/>
    <w:rsid w:val="006278A0"/>
    <w:rsid w:val="00627C7F"/>
    <w:rsid w:val="0063095F"/>
    <w:rsid w:val="00630EE3"/>
    <w:rsid w:val="00631048"/>
    <w:rsid w:val="006311F6"/>
    <w:rsid w:val="00633B22"/>
    <w:rsid w:val="00633CCA"/>
    <w:rsid w:val="00633D46"/>
    <w:rsid w:val="00634536"/>
    <w:rsid w:val="00634710"/>
    <w:rsid w:val="006366A1"/>
    <w:rsid w:val="00636D45"/>
    <w:rsid w:val="00636F6C"/>
    <w:rsid w:val="00637941"/>
    <w:rsid w:val="006400AD"/>
    <w:rsid w:val="0064323E"/>
    <w:rsid w:val="006436FF"/>
    <w:rsid w:val="00643DC9"/>
    <w:rsid w:val="0064442B"/>
    <w:rsid w:val="0064505A"/>
    <w:rsid w:val="006466A6"/>
    <w:rsid w:val="00646AC2"/>
    <w:rsid w:val="0064778B"/>
    <w:rsid w:val="0065019E"/>
    <w:rsid w:val="00650238"/>
    <w:rsid w:val="00650390"/>
    <w:rsid w:val="00651D35"/>
    <w:rsid w:val="006520E2"/>
    <w:rsid w:val="006530C5"/>
    <w:rsid w:val="006531EA"/>
    <w:rsid w:val="00653301"/>
    <w:rsid w:val="006537C8"/>
    <w:rsid w:val="006538C0"/>
    <w:rsid w:val="00654359"/>
    <w:rsid w:val="0065439F"/>
    <w:rsid w:val="00654486"/>
    <w:rsid w:val="00654A74"/>
    <w:rsid w:val="00654DAB"/>
    <w:rsid w:val="006555A4"/>
    <w:rsid w:val="00655A33"/>
    <w:rsid w:val="00656624"/>
    <w:rsid w:val="00656D39"/>
    <w:rsid w:val="00657D7C"/>
    <w:rsid w:val="00657DDF"/>
    <w:rsid w:val="0066027A"/>
    <w:rsid w:val="006603B8"/>
    <w:rsid w:val="006609DF"/>
    <w:rsid w:val="00660AEA"/>
    <w:rsid w:val="00660B2B"/>
    <w:rsid w:val="00661169"/>
    <w:rsid w:val="0066204A"/>
    <w:rsid w:val="006620F4"/>
    <w:rsid w:val="00664328"/>
    <w:rsid w:val="006647EC"/>
    <w:rsid w:val="00664A9C"/>
    <w:rsid w:val="00664B6B"/>
    <w:rsid w:val="00664E9E"/>
    <w:rsid w:val="00665E78"/>
    <w:rsid w:val="006664E1"/>
    <w:rsid w:val="00666D41"/>
    <w:rsid w:val="006670FF"/>
    <w:rsid w:val="00667413"/>
    <w:rsid w:val="006679BF"/>
    <w:rsid w:val="00667E33"/>
    <w:rsid w:val="00670246"/>
    <w:rsid w:val="0067078F"/>
    <w:rsid w:val="0067098D"/>
    <w:rsid w:val="00670E3C"/>
    <w:rsid w:val="006714B0"/>
    <w:rsid w:val="00671D9C"/>
    <w:rsid w:val="00672210"/>
    <w:rsid w:val="00672380"/>
    <w:rsid w:val="0067239B"/>
    <w:rsid w:val="00672414"/>
    <w:rsid w:val="0067297F"/>
    <w:rsid w:val="00672D26"/>
    <w:rsid w:val="00672D2B"/>
    <w:rsid w:val="00672D73"/>
    <w:rsid w:val="00672FA5"/>
    <w:rsid w:val="00673535"/>
    <w:rsid w:val="006735EF"/>
    <w:rsid w:val="006736EB"/>
    <w:rsid w:val="006738A1"/>
    <w:rsid w:val="00673D18"/>
    <w:rsid w:val="006747E3"/>
    <w:rsid w:val="0067525A"/>
    <w:rsid w:val="00675D37"/>
    <w:rsid w:val="00675ED3"/>
    <w:rsid w:val="006761AA"/>
    <w:rsid w:val="006762C6"/>
    <w:rsid w:val="00676676"/>
    <w:rsid w:val="00676770"/>
    <w:rsid w:val="00676D5E"/>
    <w:rsid w:val="00676E34"/>
    <w:rsid w:val="0067797F"/>
    <w:rsid w:val="006779F6"/>
    <w:rsid w:val="00677F57"/>
    <w:rsid w:val="00680533"/>
    <w:rsid w:val="006805F1"/>
    <w:rsid w:val="00681088"/>
    <w:rsid w:val="00681E5E"/>
    <w:rsid w:val="0068220A"/>
    <w:rsid w:val="00682C71"/>
    <w:rsid w:val="00683926"/>
    <w:rsid w:val="00683FF7"/>
    <w:rsid w:val="0068584A"/>
    <w:rsid w:val="00685EC7"/>
    <w:rsid w:val="0068633C"/>
    <w:rsid w:val="00686764"/>
    <w:rsid w:val="00686EB4"/>
    <w:rsid w:val="006876F4"/>
    <w:rsid w:val="006877E0"/>
    <w:rsid w:val="00687FC2"/>
    <w:rsid w:val="00690F5A"/>
    <w:rsid w:val="00691090"/>
    <w:rsid w:val="00691ABB"/>
    <w:rsid w:val="00692059"/>
    <w:rsid w:val="0069255F"/>
    <w:rsid w:val="00692963"/>
    <w:rsid w:val="00692C2C"/>
    <w:rsid w:val="00692C6C"/>
    <w:rsid w:val="00692FA3"/>
    <w:rsid w:val="00693A7B"/>
    <w:rsid w:val="006943F6"/>
    <w:rsid w:val="006946C2"/>
    <w:rsid w:val="006949DE"/>
    <w:rsid w:val="00694B83"/>
    <w:rsid w:val="00695654"/>
    <w:rsid w:val="0069577E"/>
    <w:rsid w:val="00695B9B"/>
    <w:rsid w:val="0069634B"/>
    <w:rsid w:val="00696623"/>
    <w:rsid w:val="0069681F"/>
    <w:rsid w:val="00697756"/>
    <w:rsid w:val="00697CE5"/>
    <w:rsid w:val="006A04E9"/>
    <w:rsid w:val="006A0737"/>
    <w:rsid w:val="006A0A03"/>
    <w:rsid w:val="006A0B8B"/>
    <w:rsid w:val="006A0D62"/>
    <w:rsid w:val="006A18B0"/>
    <w:rsid w:val="006A1E58"/>
    <w:rsid w:val="006A2503"/>
    <w:rsid w:val="006A2808"/>
    <w:rsid w:val="006A2A54"/>
    <w:rsid w:val="006A335E"/>
    <w:rsid w:val="006A3F40"/>
    <w:rsid w:val="006A40A7"/>
    <w:rsid w:val="006A4A03"/>
    <w:rsid w:val="006A4D3F"/>
    <w:rsid w:val="006A4E69"/>
    <w:rsid w:val="006A4F21"/>
    <w:rsid w:val="006A585F"/>
    <w:rsid w:val="006A6A81"/>
    <w:rsid w:val="006A7543"/>
    <w:rsid w:val="006A7EBE"/>
    <w:rsid w:val="006B0FAE"/>
    <w:rsid w:val="006B12CF"/>
    <w:rsid w:val="006B14D9"/>
    <w:rsid w:val="006B16DE"/>
    <w:rsid w:val="006B2643"/>
    <w:rsid w:val="006B26E2"/>
    <w:rsid w:val="006B2D5F"/>
    <w:rsid w:val="006B2D76"/>
    <w:rsid w:val="006B3585"/>
    <w:rsid w:val="006B39AA"/>
    <w:rsid w:val="006B45F0"/>
    <w:rsid w:val="006B4FAD"/>
    <w:rsid w:val="006B50E1"/>
    <w:rsid w:val="006B5704"/>
    <w:rsid w:val="006B5982"/>
    <w:rsid w:val="006B5DCA"/>
    <w:rsid w:val="006B62F8"/>
    <w:rsid w:val="006B668B"/>
    <w:rsid w:val="006B6A24"/>
    <w:rsid w:val="006B6B36"/>
    <w:rsid w:val="006B725C"/>
    <w:rsid w:val="006B75FC"/>
    <w:rsid w:val="006B7938"/>
    <w:rsid w:val="006B797A"/>
    <w:rsid w:val="006C066D"/>
    <w:rsid w:val="006C1677"/>
    <w:rsid w:val="006C16B8"/>
    <w:rsid w:val="006C273D"/>
    <w:rsid w:val="006C35BA"/>
    <w:rsid w:val="006C4934"/>
    <w:rsid w:val="006C4C95"/>
    <w:rsid w:val="006C4FC5"/>
    <w:rsid w:val="006C57B8"/>
    <w:rsid w:val="006C5C4F"/>
    <w:rsid w:val="006C6282"/>
    <w:rsid w:val="006C6DB5"/>
    <w:rsid w:val="006C6DE0"/>
    <w:rsid w:val="006C762A"/>
    <w:rsid w:val="006C7666"/>
    <w:rsid w:val="006D024D"/>
    <w:rsid w:val="006D05A0"/>
    <w:rsid w:val="006D10CD"/>
    <w:rsid w:val="006D1344"/>
    <w:rsid w:val="006D1CF2"/>
    <w:rsid w:val="006D25ED"/>
    <w:rsid w:val="006D2948"/>
    <w:rsid w:val="006D3388"/>
    <w:rsid w:val="006D3C15"/>
    <w:rsid w:val="006D3E78"/>
    <w:rsid w:val="006D428F"/>
    <w:rsid w:val="006D47D3"/>
    <w:rsid w:val="006D4C28"/>
    <w:rsid w:val="006D4FF1"/>
    <w:rsid w:val="006D50F7"/>
    <w:rsid w:val="006D55C2"/>
    <w:rsid w:val="006D5831"/>
    <w:rsid w:val="006D583C"/>
    <w:rsid w:val="006D5990"/>
    <w:rsid w:val="006D59C4"/>
    <w:rsid w:val="006D5A3B"/>
    <w:rsid w:val="006D5F30"/>
    <w:rsid w:val="006D5FF9"/>
    <w:rsid w:val="006D70C2"/>
    <w:rsid w:val="006D75F3"/>
    <w:rsid w:val="006D771D"/>
    <w:rsid w:val="006D7DAD"/>
    <w:rsid w:val="006E0772"/>
    <w:rsid w:val="006E0F86"/>
    <w:rsid w:val="006E1A26"/>
    <w:rsid w:val="006E27FD"/>
    <w:rsid w:val="006E2A06"/>
    <w:rsid w:val="006E2D64"/>
    <w:rsid w:val="006E30CF"/>
    <w:rsid w:val="006E34DB"/>
    <w:rsid w:val="006E3E0B"/>
    <w:rsid w:val="006E5DC7"/>
    <w:rsid w:val="006E61DD"/>
    <w:rsid w:val="006E69CF"/>
    <w:rsid w:val="006E7967"/>
    <w:rsid w:val="006E7ACD"/>
    <w:rsid w:val="006E7D48"/>
    <w:rsid w:val="006F04E9"/>
    <w:rsid w:val="006F079E"/>
    <w:rsid w:val="006F0895"/>
    <w:rsid w:val="006F0B15"/>
    <w:rsid w:val="006F0CA7"/>
    <w:rsid w:val="006F0DB1"/>
    <w:rsid w:val="006F0DCC"/>
    <w:rsid w:val="006F1F11"/>
    <w:rsid w:val="006F20FB"/>
    <w:rsid w:val="006F2699"/>
    <w:rsid w:val="006F30C6"/>
    <w:rsid w:val="006F3A61"/>
    <w:rsid w:val="006F3CC3"/>
    <w:rsid w:val="006F46F0"/>
    <w:rsid w:val="006F521E"/>
    <w:rsid w:val="006F53EC"/>
    <w:rsid w:val="006F64E1"/>
    <w:rsid w:val="006F6562"/>
    <w:rsid w:val="006F70E8"/>
    <w:rsid w:val="006F76EF"/>
    <w:rsid w:val="007009CE"/>
    <w:rsid w:val="00701EDD"/>
    <w:rsid w:val="00702386"/>
    <w:rsid w:val="007026E5"/>
    <w:rsid w:val="00703521"/>
    <w:rsid w:val="007037B7"/>
    <w:rsid w:val="00703BF2"/>
    <w:rsid w:val="00703DA8"/>
    <w:rsid w:val="00703DF9"/>
    <w:rsid w:val="00703E45"/>
    <w:rsid w:val="00704621"/>
    <w:rsid w:val="007048D3"/>
    <w:rsid w:val="007048EB"/>
    <w:rsid w:val="00704FBB"/>
    <w:rsid w:val="007062A2"/>
    <w:rsid w:val="0070726A"/>
    <w:rsid w:val="0070756E"/>
    <w:rsid w:val="00710D6B"/>
    <w:rsid w:val="0071130C"/>
    <w:rsid w:val="00711430"/>
    <w:rsid w:val="00711E45"/>
    <w:rsid w:val="0071226B"/>
    <w:rsid w:val="00712426"/>
    <w:rsid w:val="00712850"/>
    <w:rsid w:val="00714C87"/>
    <w:rsid w:val="0071586D"/>
    <w:rsid w:val="00715921"/>
    <w:rsid w:val="00715C8D"/>
    <w:rsid w:val="00715FFA"/>
    <w:rsid w:val="00717040"/>
    <w:rsid w:val="00717184"/>
    <w:rsid w:val="00720013"/>
    <w:rsid w:val="00720471"/>
    <w:rsid w:val="0072172B"/>
    <w:rsid w:val="00721D8C"/>
    <w:rsid w:val="00722EA4"/>
    <w:rsid w:val="007237A5"/>
    <w:rsid w:val="0072402D"/>
    <w:rsid w:val="0072421A"/>
    <w:rsid w:val="00724CEF"/>
    <w:rsid w:val="00726047"/>
    <w:rsid w:val="007260E2"/>
    <w:rsid w:val="007264EC"/>
    <w:rsid w:val="00726837"/>
    <w:rsid w:val="007269CD"/>
    <w:rsid w:val="00726E8C"/>
    <w:rsid w:val="00727E47"/>
    <w:rsid w:val="007301D3"/>
    <w:rsid w:val="007306DD"/>
    <w:rsid w:val="00730FE2"/>
    <w:rsid w:val="00731EA4"/>
    <w:rsid w:val="007327C9"/>
    <w:rsid w:val="007330CD"/>
    <w:rsid w:val="00733423"/>
    <w:rsid w:val="00733EAE"/>
    <w:rsid w:val="007343C0"/>
    <w:rsid w:val="007345CB"/>
    <w:rsid w:val="0073468E"/>
    <w:rsid w:val="00734A32"/>
    <w:rsid w:val="00734A7D"/>
    <w:rsid w:val="00734D67"/>
    <w:rsid w:val="007350A4"/>
    <w:rsid w:val="0073533C"/>
    <w:rsid w:val="00735507"/>
    <w:rsid w:val="0073583B"/>
    <w:rsid w:val="00735D1A"/>
    <w:rsid w:val="00736319"/>
    <w:rsid w:val="0073656E"/>
    <w:rsid w:val="00737075"/>
    <w:rsid w:val="0073748F"/>
    <w:rsid w:val="00737815"/>
    <w:rsid w:val="007408CF"/>
    <w:rsid w:val="00741E36"/>
    <w:rsid w:val="0074268C"/>
    <w:rsid w:val="00742CC8"/>
    <w:rsid w:val="007430A0"/>
    <w:rsid w:val="00743305"/>
    <w:rsid w:val="00743B99"/>
    <w:rsid w:val="0074479A"/>
    <w:rsid w:val="00744BC9"/>
    <w:rsid w:val="00745401"/>
    <w:rsid w:val="0074547F"/>
    <w:rsid w:val="00746963"/>
    <w:rsid w:val="0074698A"/>
    <w:rsid w:val="0074737D"/>
    <w:rsid w:val="0074753C"/>
    <w:rsid w:val="007475E8"/>
    <w:rsid w:val="0074762E"/>
    <w:rsid w:val="00747783"/>
    <w:rsid w:val="00747AD9"/>
    <w:rsid w:val="00747BA2"/>
    <w:rsid w:val="007512CB"/>
    <w:rsid w:val="00751457"/>
    <w:rsid w:val="007515BA"/>
    <w:rsid w:val="00751DA8"/>
    <w:rsid w:val="00752208"/>
    <w:rsid w:val="007522D6"/>
    <w:rsid w:val="00752804"/>
    <w:rsid w:val="00752BCF"/>
    <w:rsid w:val="0075308F"/>
    <w:rsid w:val="0075403F"/>
    <w:rsid w:val="0075426F"/>
    <w:rsid w:val="007546E4"/>
    <w:rsid w:val="00754743"/>
    <w:rsid w:val="00754BAC"/>
    <w:rsid w:val="00754D0A"/>
    <w:rsid w:val="00754DC1"/>
    <w:rsid w:val="0075558B"/>
    <w:rsid w:val="007563BA"/>
    <w:rsid w:val="0075773E"/>
    <w:rsid w:val="0076264D"/>
    <w:rsid w:val="0076347D"/>
    <w:rsid w:val="00763B9E"/>
    <w:rsid w:val="007645A9"/>
    <w:rsid w:val="007647E7"/>
    <w:rsid w:val="007650FF"/>
    <w:rsid w:val="00765241"/>
    <w:rsid w:val="007653E2"/>
    <w:rsid w:val="007654FF"/>
    <w:rsid w:val="00765897"/>
    <w:rsid w:val="00765CA3"/>
    <w:rsid w:val="007660DA"/>
    <w:rsid w:val="00766316"/>
    <w:rsid w:val="00766CC0"/>
    <w:rsid w:val="00767391"/>
    <w:rsid w:val="0076776A"/>
    <w:rsid w:val="00770470"/>
    <w:rsid w:val="00770B63"/>
    <w:rsid w:val="00770BA4"/>
    <w:rsid w:val="00770FAA"/>
    <w:rsid w:val="00771B2C"/>
    <w:rsid w:val="00771DA2"/>
    <w:rsid w:val="00772510"/>
    <w:rsid w:val="00772F74"/>
    <w:rsid w:val="00774A38"/>
    <w:rsid w:val="00774DE1"/>
    <w:rsid w:val="007750A2"/>
    <w:rsid w:val="007750E2"/>
    <w:rsid w:val="00775784"/>
    <w:rsid w:val="00776983"/>
    <w:rsid w:val="00776B23"/>
    <w:rsid w:val="00776FE5"/>
    <w:rsid w:val="007776D0"/>
    <w:rsid w:val="007817D6"/>
    <w:rsid w:val="00782212"/>
    <w:rsid w:val="00782556"/>
    <w:rsid w:val="007827C1"/>
    <w:rsid w:val="00783AF4"/>
    <w:rsid w:val="00783CE2"/>
    <w:rsid w:val="00783D4E"/>
    <w:rsid w:val="007849B0"/>
    <w:rsid w:val="007849CF"/>
    <w:rsid w:val="007865F1"/>
    <w:rsid w:val="00787912"/>
    <w:rsid w:val="00787A9B"/>
    <w:rsid w:val="00787C73"/>
    <w:rsid w:val="007911E8"/>
    <w:rsid w:val="007914B3"/>
    <w:rsid w:val="00791537"/>
    <w:rsid w:val="0079177A"/>
    <w:rsid w:val="00791851"/>
    <w:rsid w:val="00791932"/>
    <w:rsid w:val="007923A8"/>
    <w:rsid w:val="00792640"/>
    <w:rsid w:val="0079297A"/>
    <w:rsid w:val="00792A0D"/>
    <w:rsid w:val="00794387"/>
    <w:rsid w:val="00794571"/>
    <w:rsid w:val="00794836"/>
    <w:rsid w:val="007948D5"/>
    <w:rsid w:val="0079736F"/>
    <w:rsid w:val="007A01D6"/>
    <w:rsid w:val="007A1173"/>
    <w:rsid w:val="007A15C9"/>
    <w:rsid w:val="007A34A0"/>
    <w:rsid w:val="007A3606"/>
    <w:rsid w:val="007A3F16"/>
    <w:rsid w:val="007A6676"/>
    <w:rsid w:val="007A686A"/>
    <w:rsid w:val="007A74BA"/>
    <w:rsid w:val="007A7A08"/>
    <w:rsid w:val="007A7E55"/>
    <w:rsid w:val="007B0325"/>
    <w:rsid w:val="007B0A32"/>
    <w:rsid w:val="007B14D1"/>
    <w:rsid w:val="007B293B"/>
    <w:rsid w:val="007B29F4"/>
    <w:rsid w:val="007B2FC0"/>
    <w:rsid w:val="007B41D4"/>
    <w:rsid w:val="007B4BD0"/>
    <w:rsid w:val="007B4D16"/>
    <w:rsid w:val="007B5E24"/>
    <w:rsid w:val="007B6906"/>
    <w:rsid w:val="007B6B4F"/>
    <w:rsid w:val="007B772F"/>
    <w:rsid w:val="007B77DD"/>
    <w:rsid w:val="007B7E52"/>
    <w:rsid w:val="007B7FF5"/>
    <w:rsid w:val="007C15B6"/>
    <w:rsid w:val="007C1AFF"/>
    <w:rsid w:val="007C2FFC"/>
    <w:rsid w:val="007C3191"/>
    <w:rsid w:val="007C32BF"/>
    <w:rsid w:val="007C3B8D"/>
    <w:rsid w:val="007C3E77"/>
    <w:rsid w:val="007C3FC6"/>
    <w:rsid w:val="007C61DD"/>
    <w:rsid w:val="007C7AA1"/>
    <w:rsid w:val="007C7AF0"/>
    <w:rsid w:val="007C7BCE"/>
    <w:rsid w:val="007C7F76"/>
    <w:rsid w:val="007D0FC9"/>
    <w:rsid w:val="007D1025"/>
    <w:rsid w:val="007D13E2"/>
    <w:rsid w:val="007D195D"/>
    <w:rsid w:val="007D216E"/>
    <w:rsid w:val="007D23C7"/>
    <w:rsid w:val="007D2CE9"/>
    <w:rsid w:val="007D3472"/>
    <w:rsid w:val="007D4780"/>
    <w:rsid w:val="007D4916"/>
    <w:rsid w:val="007D4FED"/>
    <w:rsid w:val="007D55BC"/>
    <w:rsid w:val="007D58F3"/>
    <w:rsid w:val="007D67E3"/>
    <w:rsid w:val="007D69DA"/>
    <w:rsid w:val="007D6E9F"/>
    <w:rsid w:val="007D7000"/>
    <w:rsid w:val="007D70B1"/>
    <w:rsid w:val="007D7140"/>
    <w:rsid w:val="007D71E6"/>
    <w:rsid w:val="007D75C6"/>
    <w:rsid w:val="007D7706"/>
    <w:rsid w:val="007D7CC6"/>
    <w:rsid w:val="007E0069"/>
    <w:rsid w:val="007E0969"/>
    <w:rsid w:val="007E17ED"/>
    <w:rsid w:val="007E189C"/>
    <w:rsid w:val="007E18B6"/>
    <w:rsid w:val="007E1C73"/>
    <w:rsid w:val="007E1CDB"/>
    <w:rsid w:val="007E2170"/>
    <w:rsid w:val="007E288C"/>
    <w:rsid w:val="007E2A1D"/>
    <w:rsid w:val="007E2EBC"/>
    <w:rsid w:val="007E408C"/>
    <w:rsid w:val="007E4642"/>
    <w:rsid w:val="007E4A46"/>
    <w:rsid w:val="007E4ABF"/>
    <w:rsid w:val="007E4E3C"/>
    <w:rsid w:val="007E5140"/>
    <w:rsid w:val="007E5268"/>
    <w:rsid w:val="007E595F"/>
    <w:rsid w:val="007E5AF9"/>
    <w:rsid w:val="007E5E79"/>
    <w:rsid w:val="007E61FE"/>
    <w:rsid w:val="007E630B"/>
    <w:rsid w:val="007E6641"/>
    <w:rsid w:val="007E6C10"/>
    <w:rsid w:val="007E71AF"/>
    <w:rsid w:val="007E72ED"/>
    <w:rsid w:val="007E79E0"/>
    <w:rsid w:val="007E7AFA"/>
    <w:rsid w:val="007E7E21"/>
    <w:rsid w:val="007F0460"/>
    <w:rsid w:val="007F0BEB"/>
    <w:rsid w:val="007F0D8E"/>
    <w:rsid w:val="007F0DA2"/>
    <w:rsid w:val="007F15F0"/>
    <w:rsid w:val="007F1959"/>
    <w:rsid w:val="007F1A6C"/>
    <w:rsid w:val="007F3915"/>
    <w:rsid w:val="007F39CE"/>
    <w:rsid w:val="007F41D9"/>
    <w:rsid w:val="007F41F2"/>
    <w:rsid w:val="007F49F9"/>
    <w:rsid w:val="007F5010"/>
    <w:rsid w:val="007F52BF"/>
    <w:rsid w:val="007F56A8"/>
    <w:rsid w:val="007F5DE8"/>
    <w:rsid w:val="007F5E0D"/>
    <w:rsid w:val="007F617A"/>
    <w:rsid w:val="007F6277"/>
    <w:rsid w:val="007F69F5"/>
    <w:rsid w:val="007F6F3F"/>
    <w:rsid w:val="00800C67"/>
    <w:rsid w:val="00801085"/>
    <w:rsid w:val="00801450"/>
    <w:rsid w:val="008015FC"/>
    <w:rsid w:val="00801749"/>
    <w:rsid w:val="00801A89"/>
    <w:rsid w:val="00801DA3"/>
    <w:rsid w:val="008025D7"/>
    <w:rsid w:val="00802FED"/>
    <w:rsid w:val="0080301E"/>
    <w:rsid w:val="008036D4"/>
    <w:rsid w:val="00803D2B"/>
    <w:rsid w:val="00803F21"/>
    <w:rsid w:val="008045BA"/>
    <w:rsid w:val="00804AB6"/>
    <w:rsid w:val="00804EC9"/>
    <w:rsid w:val="00805038"/>
    <w:rsid w:val="0080513A"/>
    <w:rsid w:val="008054BC"/>
    <w:rsid w:val="00805E5A"/>
    <w:rsid w:val="00807267"/>
    <w:rsid w:val="00807999"/>
    <w:rsid w:val="00810045"/>
    <w:rsid w:val="008101F5"/>
    <w:rsid w:val="00810A48"/>
    <w:rsid w:val="00812063"/>
    <w:rsid w:val="00812138"/>
    <w:rsid w:val="00812774"/>
    <w:rsid w:val="00812DC2"/>
    <w:rsid w:val="0081326B"/>
    <w:rsid w:val="00814156"/>
    <w:rsid w:val="00814291"/>
    <w:rsid w:val="00814A9A"/>
    <w:rsid w:val="0081501D"/>
    <w:rsid w:val="008151F2"/>
    <w:rsid w:val="0081568C"/>
    <w:rsid w:val="008163E1"/>
    <w:rsid w:val="00817013"/>
    <w:rsid w:val="00817371"/>
    <w:rsid w:val="0081777A"/>
    <w:rsid w:val="008204F0"/>
    <w:rsid w:val="00820CBA"/>
    <w:rsid w:val="00820F05"/>
    <w:rsid w:val="008210E0"/>
    <w:rsid w:val="008211D9"/>
    <w:rsid w:val="00821A3A"/>
    <w:rsid w:val="00821EB2"/>
    <w:rsid w:val="00822E55"/>
    <w:rsid w:val="00823C10"/>
    <w:rsid w:val="00824079"/>
    <w:rsid w:val="00824F84"/>
    <w:rsid w:val="008270DC"/>
    <w:rsid w:val="00827FC6"/>
    <w:rsid w:val="00830388"/>
    <w:rsid w:val="00830AA2"/>
    <w:rsid w:val="00831078"/>
    <w:rsid w:val="00831348"/>
    <w:rsid w:val="008313E9"/>
    <w:rsid w:val="00831D86"/>
    <w:rsid w:val="00831F0A"/>
    <w:rsid w:val="00831FC7"/>
    <w:rsid w:val="00832431"/>
    <w:rsid w:val="00832F73"/>
    <w:rsid w:val="00833A78"/>
    <w:rsid w:val="00833B68"/>
    <w:rsid w:val="00833D29"/>
    <w:rsid w:val="00833E34"/>
    <w:rsid w:val="00834572"/>
    <w:rsid w:val="008349F2"/>
    <w:rsid w:val="00834F16"/>
    <w:rsid w:val="0083632E"/>
    <w:rsid w:val="008367CD"/>
    <w:rsid w:val="008367D7"/>
    <w:rsid w:val="00836AB6"/>
    <w:rsid w:val="00837021"/>
    <w:rsid w:val="00837079"/>
    <w:rsid w:val="008370EE"/>
    <w:rsid w:val="00837408"/>
    <w:rsid w:val="0084062F"/>
    <w:rsid w:val="008406A1"/>
    <w:rsid w:val="00841007"/>
    <w:rsid w:val="0084114D"/>
    <w:rsid w:val="00841272"/>
    <w:rsid w:val="00841609"/>
    <w:rsid w:val="00841618"/>
    <w:rsid w:val="00841EB2"/>
    <w:rsid w:val="00842B2B"/>
    <w:rsid w:val="0084302C"/>
    <w:rsid w:val="00843556"/>
    <w:rsid w:val="00843B67"/>
    <w:rsid w:val="00843DB4"/>
    <w:rsid w:val="0084431E"/>
    <w:rsid w:val="00844B59"/>
    <w:rsid w:val="00844E67"/>
    <w:rsid w:val="0084585F"/>
    <w:rsid w:val="00846881"/>
    <w:rsid w:val="00846E8A"/>
    <w:rsid w:val="00847314"/>
    <w:rsid w:val="0085035D"/>
    <w:rsid w:val="0085071D"/>
    <w:rsid w:val="0085080B"/>
    <w:rsid w:val="00851349"/>
    <w:rsid w:val="008514A2"/>
    <w:rsid w:val="008514A9"/>
    <w:rsid w:val="00851512"/>
    <w:rsid w:val="0085160B"/>
    <w:rsid w:val="008516B8"/>
    <w:rsid w:val="00852512"/>
    <w:rsid w:val="00853275"/>
    <w:rsid w:val="00853E53"/>
    <w:rsid w:val="008547DA"/>
    <w:rsid w:val="0085552D"/>
    <w:rsid w:val="00855E47"/>
    <w:rsid w:val="00855E7C"/>
    <w:rsid w:val="008561E9"/>
    <w:rsid w:val="00857C0D"/>
    <w:rsid w:val="00857D80"/>
    <w:rsid w:val="00857FB0"/>
    <w:rsid w:val="0086178E"/>
    <w:rsid w:val="0086186C"/>
    <w:rsid w:val="0086224A"/>
    <w:rsid w:val="008627B3"/>
    <w:rsid w:val="008627D6"/>
    <w:rsid w:val="00862FC2"/>
    <w:rsid w:val="00863522"/>
    <w:rsid w:val="008638A9"/>
    <w:rsid w:val="00863986"/>
    <w:rsid w:val="00863FE0"/>
    <w:rsid w:val="0086436C"/>
    <w:rsid w:val="00864A3D"/>
    <w:rsid w:val="00864D76"/>
    <w:rsid w:val="008656C9"/>
    <w:rsid w:val="00865A48"/>
    <w:rsid w:val="00866E5E"/>
    <w:rsid w:val="0086711C"/>
    <w:rsid w:val="00867535"/>
    <w:rsid w:val="008675FF"/>
    <w:rsid w:val="00870C07"/>
    <w:rsid w:val="00871588"/>
    <w:rsid w:val="0087405D"/>
    <w:rsid w:val="0087585A"/>
    <w:rsid w:val="00875BA5"/>
    <w:rsid w:val="00875C5B"/>
    <w:rsid w:val="00875D21"/>
    <w:rsid w:val="00876178"/>
    <w:rsid w:val="008763F9"/>
    <w:rsid w:val="0087644D"/>
    <w:rsid w:val="00876766"/>
    <w:rsid w:val="00876B71"/>
    <w:rsid w:val="00877652"/>
    <w:rsid w:val="00877749"/>
    <w:rsid w:val="00877E52"/>
    <w:rsid w:val="0088052E"/>
    <w:rsid w:val="00881DF3"/>
    <w:rsid w:val="00881FE9"/>
    <w:rsid w:val="008825D4"/>
    <w:rsid w:val="00882B34"/>
    <w:rsid w:val="00883346"/>
    <w:rsid w:val="00883581"/>
    <w:rsid w:val="00883C5F"/>
    <w:rsid w:val="0088462D"/>
    <w:rsid w:val="0088505B"/>
    <w:rsid w:val="00885861"/>
    <w:rsid w:val="00885E83"/>
    <w:rsid w:val="00887157"/>
    <w:rsid w:val="008872D3"/>
    <w:rsid w:val="00887D5C"/>
    <w:rsid w:val="00890771"/>
    <w:rsid w:val="008908BD"/>
    <w:rsid w:val="008908BE"/>
    <w:rsid w:val="00890B76"/>
    <w:rsid w:val="0089136B"/>
    <w:rsid w:val="00891C7D"/>
    <w:rsid w:val="00891EA3"/>
    <w:rsid w:val="00891EC4"/>
    <w:rsid w:val="00892784"/>
    <w:rsid w:val="00892CBF"/>
    <w:rsid w:val="00892FA7"/>
    <w:rsid w:val="0089331F"/>
    <w:rsid w:val="008933AA"/>
    <w:rsid w:val="00893CAF"/>
    <w:rsid w:val="008941CD"/>
    <w:rsid w:val="008941D9"/>
    <w:rsid w:val="00894733"/>
    <w:rsid w:val="00894820"/>
    <w:rsid w:val="00894B57"/>
    <w:rsid w:val="00895F3D"/>
    <w:rsid w:val="00897766"/>
    <w:rsid w:val="00897D62"/>
    <w:rsid w:val="008A0345"/>
    <w:rsid w:val="008A0BF9"/>
    <w:rsid w:val="008A1129"/>
    <w:rsid w:val="008A14E5"/>
    <w:rsid w:val="008A199E"/>
    <w:rsid w:val="008A1E7F"/>
    <w:rsid w:val="008A3301"/>
    <w:rsid w:val="008A4073"/>
    <w:rsid w:val="008A453A"/>
    <w:rsid w:val="008A4C5B"/>
    <w:rsid w:val="008A4DF1"/>
    <w:rsid w:val="008A4F6A"/>
    <w:rsid w:val="008A52B4"/>
    <w:rsid w:val="008A55DF"/>
    <w:rsid w:val="008A5636"/>
    <w:rsid w:val="008A59DE"/>
    <w:rsid w:val="008A664C"/>
    <w:rsid w:val="008A6789"/>
    <w:rsid w:val="008A6D13"/>
    <w:rsid w:val="008A6E19"/>
    <w:rsid w:val="008A7DCC"/>
    <w:rsid w:val="008B026A"/>
    <w:rsid w:val="008B0A87"/>
    <w:rsid w:val="008B125E"/>
    <w:rsid w:val="008B17CE"/>
    <w:rsid w:val="008B188D"/>
    <w:rsid w:val="008B241C"/>
    <w:rsid w:val="008B2C36"/>
    <w:rsid w:val="008B3487"/>
    <w:rsid w:val="008B3DF6"/>
    <w:rsid w:val="008B408B"/>
    <w:rsid w:val="008B45AD"/>
    <w:rsid w:val="008B4B5E"/>
    <w:rsid w:val="008B4CE0"/>
    <w:rsid w:val="008B4EED"/>
    <w:rsid w:val="008B4F11"/>
    <w:rsid w:val="008B4F49"/>
    <w:rsid w:val="008B6537"/>
    <w:rsid w:val="008B655F"/>
    <w:rsid w:val="008B6A53"/>
    <w:rsid w:val="008B7575"/>
    <w:rsid w:val="008B7887"/>
    <w:rsid w:val="008B7973"/>
    <w:rsid w:val="008C068D"/>
    <w:rsid w:val="008C1750"/>
    <w:rsid w:val="008C2362"/>
    <w:rsid w:val="008C27B8"/>
    <w:rsid w:val="008C2BFB"/>
    <w:rsid w:val="008C3049"/>
    <w:rsid w:val="008C476A"/>
    <w:rsid w:val="008C4DA1"/>
    <w:rsid w:val="008C58E4"/>
    <w:rsid w:val="008C5CA6"/>
    <w:rsid w:val="008C60E4"/>
    <w:rsid w:val="008C6ADF"/>
    <w:rsid w:val="008C7098"/>
    <w:rsid w:val="008C74F3"/>
    <w:rsid w:val="008C7553"/>
    <w:rsid w:val="008C7FB9"/>
    <w:rsid w:val="008D01EC"/>
    <w:rsid w:val="008D0278"/>
    <w:rsid w:val="008D067A"/>
    <w:rsid w:val="008D11A2"/>
    <w:rsid w:val="008D1D24"/>
    <w:rsid w:val="008D2E4E"/>
    <w:rsid w:val="008D37FA"/>
    <w:rsid w:val="008D4AE9"/>
    <w:rsid w:val="008D4E8B"/>
    <w:rsid w:val="008D4FFB"/>
    <w:rsid w:val="008D5A44"/>
    <w:rsid w:val="008D5C7D"/>
    <w:rsid w:val="008D5CF3"/>
    <w:rsid w:val="008D62AF"/>
    <w:rsid w:val="008D7886"/>
    <w:rsid w:val="008D7D39"/>
    <w:rsid w:val="008E00B0"/>
    <w:rsid w:val="008E0317"/>
    <w:rsid w:val="008E0402"/>
    <w:rsid w:val="008E0503"/>
    <w:rsid w:val="008E05DF"/>
    <w:rsid w:val="008E0A6B"/>
    <w:rsid w:val="008E0ECB"/>
    <w:rsid w:val="008E0F3D"/>
    <w:rsid w:val="008E0FE0"/>
    <w:rsid w:val="008E10A0"/>
    <w:rsid w:val="008E116E"/>
    <w:rsid w:val="008E1C3D"/>
    <w:rsid w:val="008E2098"/>
    <w:rsid w:val="008E3815"/>
    <w:rsid w:val="008E38AD"/>
    <w:rsid w:val="008E38EC"/>
    <w:rsid w:val="008E3AA1"/>
    <w:rsid w:val="008E44AF"/>
    <w:rsid w:val="008E4574"/>
    <w:rsid w:val="008E4FC6"/>
    <w:rsid w:val="008E539F"/>
    <w:rsid w:val="008E5FD8"/>
    <w:rsid w:val="008E65DB"/>
    <w:rsid w:val="008E6B2F"/>
    <w:rsid w:val="008E73FF"/>
    <w:rsid w:val="008F025C"/>
    <w:rsid w:val="008F0709"/>
    <w:rsid w:val="008F0C33"/>
    <w:rsid w:val="008F1B8A"/>
    <w:rsid w:val="008F2479"/>
    <w:rsid w:val="008F274A"/>
    <w:rsid w:val="008F306D"/>
    <w:rsid w:val="008F34AE"/>
    <w:rsid w:val="008F371B"/>
    <w:rsid w:val="008F4016"/>
    <w:rsid w:val="008F42FE"/>
    <w:rsid w:val="008F4A00"/>
    <w:rsid w:val="008F5402"/>
    <w:rsid w:val="008F586C"/>
    <w:rsid w:val="008F5BA7"/>
    <w:rsid w:val="008F5C9B"/>
    <w:rsid w:val="008F67C3"/>
    <w:rsid w:val="0090053A"/>
    <w:rsid w:val="00900C19"/>
    <w:rsid w:val="00900F36"/>
    <w:rsid w:val="009012C1"/>
    <w:rsid w:val="00901C2A"/>
    <w:rsid w:val="00902F72"/>
    <w:rsid w:val="00903230"/>
    <w:rsid w:val="009041FE"/>
    <w:rsid w:val="00904684"/>
    <w:rsid w:val="00904D49"/>
    <w:rsid w:val="00904DEC"/>
    <w:rsid w:val="00905594"/>
    <w:rsid w:val="00905896"/>
    <w:rsid w:val="009061E6"/>
    <w:rsid w:val="0090646C"/>
    <w:rsid w:val="009076F9"/>
    <w:rsid w:val="009079EC"/>
    <w:rsid w:val="00907CDC"/>
    <w:rsid w:val="0091032B"/>
    <w:rsid w:val="009106CD"/>
    <w:rsid w:val="009118C7"/>
    <w:rsid w:val="00911EB2"/>
    <w:rsid w:val="00912218"/>
    <w:rsid w:val="0091267D"/>
    <w:rsid w:val="00912EDD"/>
    <w:rsid w:val="009133FF"/>
    <w:rsid w:val="00913D9E"/>
    <w:rsid w:val="00913F67"/>
    <w:rsid w:val="00913F86"/>
    <w:rsid w:val="00915B36"/>
    <w:rsid w:val="00915CDD"/>
    <w:rsid w:val="00916137"/>
    <w:rsid w:val="00916BEC"/>
    <w:rsid w:val="0091708C"/>
    <w:rsid w:val="00917269"/>
    <w:rsid w:val="009173E5"/>
    <w:rsid w:val="00917CF4"/>
    <w:rsid w:val="009201A0"/>
    <w:rsid w:val="0092032C"/>
    <w:rsid w:val="00920472"/>
    <w:rsid w:val="009207A3"/>
    <w:rsid w:val="00921EC0"/>
    <w:rsid w:val="0092221E"/>
    <w:rsid w:val="009224FB"/>
    <w:rsid w:val="009225B6"/>
    <w:rsid w:val="00922AF9"/>
    <w:rsid w:val="00923816"/>
    <w:rsid w:val="009238B4"/>
    <w:rsid w:val="00923AA7"/>
    <w:rsid w:val="00923FAF"/>
    <w:rsid w:val="009243A0"/>
    <w:rsid w:val="009250C4"/>
    <w:rsid w:val="00925397"/>
    <w:rsid w:val="00926826"/>
    <w:rsid w:val="00926D44"/>
    <w:rsid w:val="009273FC"/>
    <w:rsid w:val="00930D04"/>
    <w:rsid w:val="00930E7F"/>
    <w:rsid w:val="009312FF"/>
    <w:rsid w:val="00931C8E"/>
    <w:rsid w:val="009324C7"/>
    <w:rsid w:val="009325BD"/>
    <w:rsid w:val="00932C6E"/>
    <w:rsid w:val="00933540"/>
    <w:rsid w:val="00933A21"/>
    <w:rsid w:val="009345CF"/>
    <w:rsid w:val="00934A05"/>
    <w:rsid w:val="00934B5D"/>
    <w:rsid w:val="00934C10"/>
    <w:rsid w:val="0093662A"/>
    <w:rsid w:val="0093669E"/>
    <w:rsid w:val="00936B1B"/>
    <w:rsid w:val="009400C8"/>
    <w:rsid w:val="0094024B"/>
    <w:rsid w:val="0094060C"/>
    <w:rsid w:val="00940A19"/>
    <w:rsid w:val="009410E7"/>
    <w:rsid w:val="00941385"/>
    <w:rsid w:val="00941795"/>
    <w:rsid w:val="00941BED"/>
    <w:rsid w:val="009428B4"/>
    <w:rsid w:val="00943ADE"/>
    <w:rsid w:val="00943FB4"/>
    <w:rsid w:val="0094512E"/>
    <w:rsid w:val="00945144"/>
    <w:rsid w:val="00945355"/>
    <w:rsid w:val="0094543E"/>
    <w:rsid w:val="00945527"/>
    <w:rsid w:val="009455D2"/>
    <w:rsid w:val="00945F4E"/>
    <w:rsid w:val="00946665"/>
    <w:rsid w:val="00946EE6"/>
    <w:rsid w:val="009474A6"/>
    <w:rsid w:val="00950974"/>
    <w:rsid w:val="00951BF2"/>
    <w:rsid w:val="00951C72"/>
    <w:rsid w:val="00952AF4"/>
    <w:rsid w:val="00952E62"/>
    <w:rsid w:val="0095341E"/>
    <w:rsid w:val="0095383E"/>
    <w:rsid w:val="00953A9F"/>
    <w:rsid w:val="0095498B"/>
    <w:rsid w:val="009553E0"/>
    <w:rsid w:val="009556B1"/>
    <w:rsid w:val="009556D1"/>
    <w:rsid w:val="00955A4A"/>
    <w:rsid w:val="0095634B"/>
    <w:rsid w:val="009563A0"/>
    <w:rsid w:val="00956BBE"/>
    <w:rsid w:val="009606A5"/>
    <w:rsid w:val="009607E6"/>
    <w:rsid w:val="00961095"/>
    <w:rsid w:val="00961921"/>
    <w:rsid w:val="00961A89"/>
    <w:rsid w:val="009624CB"/>
    <w:rsid w:val="00962F1F"/>
    <w:rsid w:val="0096354F"/>
    <w:rsid w:val="009638C2"/>
    <w:rsid w:val="009639C0"/>
    <w:rsid w:val="00964F6B"/>
    <w:rsid w:val="00965252"/>
    <w:rsid w:val="00965304"/>
    <w:rsid w:val="00965C50"/>
    <w:rsid w:val="00966C15"/>
    <w:rsid w:val="009673DA"/>
    <w:rsid w:val="00967722"/>
    <w:rsid w:val="00970383"/>
    <w:rsid w:val="00971293"/>
    <w:rsid w:val="00971BEE"/>
    <w:rsid w:val="00972352"/>
    <w:rsid w:val="00972523"/>
    <w:rsid w:val="009725C5"/>
    <w:rsid w:val="0097270B"/>
    <w:rsid w:val="009731B5"/>
    <w:rsid w:val="00973400"/>
    <w:rsid w:val="0097354B"/>
    <w:rsid w:val="00973A3B"/>
    <w:rsid w:val="009740E3"/>
    <w:rsid w:val="00974102"/>
    <w:rsid w:val="00974454"/>
    <w:rsid w:val="009748F7"/>
    <w:rsid w:val="00974906"/>
    <w:rsid w:val="00974D28"/>
    <w:rsid w:val="00975733"/>
    <w:rsid w:val="00975BA6"/>
    <w:rsid w:val="00976438"/>
    <w:rsid w:val="009764BC"/>
    <w:rsid w:val="00976CCA"/>
    <w:rsid w:val="00976F34"/>
    <w:rsid w:val="0097714B"/>
    <w:rsid w:val="009773F5"/>
    <w:rsid w:val="00977AAC"/>
    <w:rsid w:val="00977ECD"/>
    <w:rsid w:val="0098001B"/>
    <w:rsid w:val="0098055F"/>
    <w:rsid w:val="009815BA"/>
    <w:rsid w:val="00982532"/>
    <w:rsid w:val="00982960"/>
    <w:rsid w:val="00982D95"/>
    <w:rsid w:val="00982FD3"/>
    <w:rsid w:val="0098315C"/>
    <w:rsid w:val="00983451"/>
    <w:rsid w:val="00983DE5"/>
    <w:rsid w:val="00983EAE"/>
    <w:rsid w:val="0098434D"/>
    <w:rsid w:val="00984C9D"/>
    <w:rsid w:val="00985340"/>
    <w:rsid w:val="009856FE"/>
    <w:rsid w:val="00986366"/>
    <w:rsid w:val="00986819"/>
    <w:rsid w:val="0098685E"/>
    <w:rsid w:val="00987232"/>
    <w:rsid w:val="0098760B"/>
    <w:rsid w:val="0098780C"/>
    <w:rsid w:val="00987D85"/>
    <w:rsid w:val="00990C2E"/>
    <w:rsid w:val="00991057"/>
    <w:rsid w:val="00991679"/>
    <w:rsid w:val="00991EF0"/>
    <w:rsid w:val="00992094"/>
    <w:rsid w:val="00992923"/>
    <w:rsid w:val="00992988"/>
    <w:rsid w:val="00993537"/>
    <w:rsid w:val="00993577"/>
    <w:rsid w:val="0099408D"/>
    <w:rsid w:val="0099517F"/>
    <w:rsid w:val="00995F0B"/>
    <w:rsid w:val="00996464"/>
    <w:rsid w:val="0099695D"/>
    <w:rsid w:val="009A003E"/>
    <w:rsid w:val="009A0045"/>
    <w:rsid w:val="009A074F"/>
    <w:rsid w:val="009A08E2"/>
    <w:rsid w:val="009A0A87"/>
    <w:rsid w:val="009A11DD"/>
    <w:rsid w:val="009A134C"/>
    <w:rsid w:val="009A2C4B"/>
    <w:rsid w:val="009A348C"/>
    <w:rsid w:val="009A3A2C"/>
    <w:rsid w:val="009A3BED"/>
    <w:rsid w:val="009A454D"/>
    <w:rsid w:val="009A4E03"/>
    <w:rsid w:val="009A557B"/>
    <w:rsid w:val="009A59F8"/>
    <w:rsid w:val="009A613A"/>
    <w:rsid w:val="009A63A3"/>
    <w:rsid w:val="009A6BCC"/>
    <w:rsid w:val="009A7720"/>
    <w:rsid w:val="009A77CF"/>
    <w:rsid w:val="009A7DA8"/>
    <w:rsid w:val="009B24F3"/>
    <w:rsid w:val="009B2955"/>
    <w:rsid w:val="009B2B8F"/>
    <w:rsid w:val="009B2BEA"/>
    <w:rsid w:val="009B30AA"/>
    <w:rsid w:val="009B4137"/>
    <w:rsid w:val="009B421D"/>
    <w:rsid w:val="009B4C6D"/>
    <w:rsid w:val="009B51EB"/>
    <w:rsid w:val="009B5217"/>
    <w:rsid w:val="009B586C"/>
    <w:rsid w:val="009B5C32"/>
    <w:rsid w:val="009B5ED8"/>
    <w:rsid w:val="009B6A30"/>
    <w:rsid w:val="009B7184"/>
    <w:rsid w:val="009B7E45"/>
    <w:rsid w:val="009C1122"/>
    <w:rsid w:val="009C18CF"/>
    <w:rsid w:val="009C2B65"/>
    <w:rsid w:val="009C320D"/>
    <w:rsid w:val="009C3798"/>
    <w:rsid w:val="009C3E8F"/>
    <w:rsid w:val="009C42DD"/>
    <w:rsid w:val="009C4798"/>
    <w:rsid w:val="009C48DE"/>
    <w:rsid w:val="009C4A1A"/>
    <w:rsid w:val="009C54DF"/>
    <w:rsid w:val="009C6126"/>
    <w:rsid w:val="009C6F7B"/>
    <w:rsid w:val="009C75BB"/>
    <w:rsid w:val="009D002D"/>
    <w:rsid w:val="009D06A4"/>
    <w:rsid w:val="009D1020"/>
    <w:rsid w:val="009D19BC"/>
    <w:rsid w:val="009D1D20"/>
    <w:rsid w:val="009D220B"/>
    <w:rsid w:val="009D2FB5"/>
    <w:rsid w:val="009D31AA"/>
    <w:rsid w:val="009D34A0"/>
    <w:rsid w:val="009D3C86"/>
    <w:rsid w:val="009D4656"/>
    <w:rsid w:val="009D46B0"/>
    <w:rsid w:val="009D46B2"/>
    <w:rsid w:val="009D5031"/>
    <w:rsid w:val="009D52D5"/>
    <w:rsid w:val="009D5568"/>
    <w:rsid w:val="009D5B4C"/>
    <w:rsid w:val="009D65C5"/>
    <w:rsid w:val="009D7191"/>
    <w:rsid w:val="009D7507"/>
    <w:rsid w:val="009D76C5"/>
    <w:rsid w:val="009E012C"/>
    <w:rsid w:val="009E1B20"/>
    <w:rsid w:val="009E1E1E"/>
    <w:rsid w:val="009E2856"/>
    <w:rsid w:val="009E3284"/>
    <w:rsid w:val="009E33E3"/>
    <w:rsid w:val="009E4AD6"/>
    <w:rsid w:val="009E5590"/>
    <w:rsid w:val="009E588B"/>
    <w:rsid w:val="009E70FE"/>
    <w:rsid w:val="009E79AA"/>
    <w:rsid w:val="009E7F16"/>
    <w:rsid w:val="009F16CE"/>
    <w:rsid w:val="009F1C7D"/>
    <w:rsid w:val="009F21CA"/>
    <w:rsid w:val="009F23E1"/>
    <w:rsid w:val="009F268A"/>
    <w:rsid w:val="009F28BC"/>
    <w:rsid w:val="009F2C91"/>
    <w:rsid w:val="009F31B3"/>
    <w:rsid w:val="009F3968"/>
    <w:rsid w:val="009F4AE1"/>
    <w:rsid w:val="009F5052"/>
    <w:rsid w:val="009F578D"/>
    <w:rsid w:val="009F59E9"/>
    <w:rsid w:val="009F5C89"/>
    <w:rsid w:val="009F6845"/>
    <w:rsid w:val="009F784C"/>
    <w:rsid w:val="00A0082B"/>
    <w:rsid w:val="00A00842"/>
    <w:rsid w:val="00A0092B"/>
    <w:rsid w:val="00A00CE7"/>
    <w:rsid w:val="00A01782"/>
    <w:rsid w:val="00A01EC6"/>
    <w:rsid w:val="00A0323C"/>
    <w:rsid w:val="00A04C85"/>
    <w:rsid w:val="00A06F82"/>
    <w:rsid w:val="00A077D7"/>
    <w:rsid w:val="00A100F0"/>
    <w:rsid w:val="00A101BA"/>
    <w:rsid w:val="00A10D7E"/>
    <w:rsid w:val="00A11663"/>
    <w:rsid w:val="00A13C4C"/>
    <w:rsid w:val="00A13D52"/>
    <w:rsid w:val="00A140C2"/>
    <w:rsid w:val="00A144BE"/>
    <w:rsid w:val="00A145A5"/>
    <w:rsid w:val="00A149DB"/>
    <w:rsid w:val="00A154EF"/>
    <w:rsid w:val="00A1568B"/>
    <w:rsid w:val="00A156E6"/>
    <w:rsid w:val="00A16C61"/>
    <w:rsid w:val="00A179FE"/>
    <w:rsid w:val="00A21374"/>
    <w:rsid w:val="00A21AE5"/>
    <w:rsid w:val="00A21BDD"/>
    <w:rsid w:val="00A21F05"/>
    <w:rsid w:val="00A22017"/>
    <w:rsid w:val="00A221D3"/>
    <w:rsid w:val="00A226B9"/>
    <w:rsid w:val="00A22ED3"/>
    <w:rsid w:val="00A23040"/>
    <w:rsid w:val="00A23692"/>
    <w:rsid w:val="00A23BCF"/>
    <w:rsid w:val="00A23C86"/>
    <w:rsid w:val="00A23D1A"/>
    <w:rsid w:val="00A23EEA"/>
    <w:rsid w:val="00A241EF"/>
    <w:rsid w:val="00A2534B"/>
    <w:rsid w:val="00A257C5"/>
    <w:rsid w:val="00A26F2A"/>
    <w:rsid w:val="00A27D86"/>
    <w:rsid w:val="00A27F4F"/>
    <w:rsid w:val="00A316C0"/>
    <w:rsid w:val="00A32455"/>
    <w:rsid w:val="00A33151"/>
    <w:rsid w:val="00A331BE"/>
    <w:rsid w:val="00A335D3"/>
    <w:rsid w:val="00A33A99"/>
    <w:rsid w:val="00A35963"/>
    <w:rsid w:val="00A35BEA"/>
    <w:rsid w:val="00A36043"/>
    <w:rsid w:val="00A36970"/>
    <w:rsid w:val="00A41577"/>
    <w:rsid w:val="00A41A4E"/>
    <w:rsid w:val="00A41EB4"/>
    <w:rsid w:val="00A42688"/>
    <w:rsid w:val="00A42721"/>
    <w:rsid w:val="00A42C4D"/>
    <w:rsid w:val="00A43D13"/>
    <w:rsid w:val="00A44BFF"/>
    <w:rsid w:val="00A45D37"/>
    <w:rsid w:val="00A461D4"/>
    <w:rsid w:val="00A470E3"/>
    <w:rsid w:val="00A472E4"/>
    <w:rsid w:val="00A478DC"/>
    <w:rsid w:val="00A501E3"/>
    <w:rsid w:val="00A50F0C"/>
    <w:rsid w:val="00A53B1F"/>
    <w:rsid w:val="00A56441"/>
    <w:rsid w:val="00A56780"/>
    <w:rsid w:val="00A56957"/>
    <w:rsid w:val="00A579BF"/>
    <w:rsid w:val="00A60ED9"/>
    <w:rsid w:val="00A61067"/>
    <w:rsid w:val="00A620A1"/>
    <w:rsid w:val="00A62151"/>
    <w:rsid w:val="00A621D3"/>
    <w:rsid w:val="00A62893"/>
    <w:rsid w:val="00A62B70"/>
    <w:rsid w:val="00A62BEE"/>
    <w:rsid w:val="00A63AD2"/>
    <w:rsid w:val="00A63EBD"/>
    <w:rsid w:val="00A640A4"/>
    <w:rsid w:val="00A643F7"/>
    <w:rsid w:val="00A6503C"/>
    <w:rsid w:val="00A65072"/>
    <w:rsid w:val="00A669C1"/>
    <w:rsid w:val="00A66D23"/>
    <w:rsid w:val="00A670D3"/>
    <w:rsid w:val="00A70D07"/>
    <w:rsid w:val="00A71047"/>
    <w:rsid w:val="00A71141"/>
    <w:rsid w:val="00A71C04"/>
    <w:rsid w:val="00A7226A"/>
    <w:rsid w:val="00A722C6"/>
    <w:rsid w:val="00A72847"/>
    <w:rsid w:val="00A72BB9"/>
    <w:rsid w:val="00A733A5"/>
    <w:rsid w:val="00A736DD"/>
    <w:rsid w:val="00A73BF1"/>
    <w:rsid w:val="00A74CF2"/>
    <w:rsid w:val="00A7677C"/>
    <w:rsid w:val="00A76E52"/>
    <w:rsid w:val="00A7749C"/>
    <w:rsid w:val="00A774EA"/>
    <w:rsid w:val="00A80411"/>
    <w:rsid w:val="00A80C6A"/>
    <w:rsid w:val="00A81C97"/>
    <w:rsid w:val="00A82303"/>
    <w:rsid w:val="00A82869"/>
    <w:rsid w:val="00A8290E"/>
    <w:rsid w:val="00A84777"/>
    <w:rsid w:val="00A85043"/>
    <w:rsid w:val="00A851DD"/>
    <w:rsid w:val="00A8595E"/>
    <w:rsid w:val="00A86521"/>
    <w:rsid w:val="00A86AE2"/>
    <w:rsid w:val="00A86CD1"/>
    <w:rsid w:val="00A872EA"/>
    <w:rsid w:val="00A8758C"/>
    <w:rsid w:val="00A87CF0"/>
    <w:rsid w:val="00A90435"/>
    <w:rsid w:val="00A90BD3"/>
    <w:rsid w:val="00A90E8E"/>
    <w:rsid w:val="00A9269D"/>
    <w:rsid w:val="00A92F40"/>
    <w:rsid w:val="00A92F71"/>
    <w:rsid w:val="00A93381"/>
    <w:rsid w:val="00A93A3B"/>
    <w:rsid w:val="00A93C2C"/>
    <w:rsid w:val="00A93D8C"/>
    <w:rsid w:val="00A93FD8"/>
    <w:rsid w:val="00A94442"/>
    <w:rsid w:val="00A95777"/>
    <w:rsid w:val="00A957A9"/>
    <w:rsid w:val="00A964EF"/>
    <w:rsid w:val="00A9668F"/>
    <w:rsid w:val="00A97B4C"/>
    <w:rsid w:val="00A97F65"/>
    <w:rsid w:val="00AA018F"/>
    <w:rsid w:val="00AA127E"/>
    <w:rsid w:val="00AA19AE"/>
    <w:rsid w:val="00AA2B28"/>
    <w:rsid w:val="00AA2BE6"/>
    <w:rsid w:val="00AA388D"/>
    <w:rsid w:val="00AA3C3B"/>
    <w:rsid w:val="00AA4073"/>
    <w:rsid w:val="00AA423D"/>
    <w:rsid w:val="00AA4666"/>
    <w:rsid w:val="00AA5581"/>
    <w:rsid w:val="00AA6A95"/>
    <w:rsid w:val="00AA6B33"/>
    <w:rsid w:val="00AA73C0"/>
    <w:rsid w:val="00AB0145"/>
    <w:rsid w:val="00AB0F18"/>
    <w:rsid w:val="00AB1048"/>
    <w:rsid w:val="00AB10DE"/>
    <w:rsid w:val="00AB31F6"/>
    <w:rsid w:val="00AB3668"/>
    <w:rsid w:val="00AB39CB"/>
    <w:rsid w:val="00AB558D"/>
    <w:rsid w:val="00AB5964"/>
    <w:rsid w:val="00AB5B8B"/>
    <w:rsid w:val="00AB5ED7"/>
    <w:rsid w:val="00AB6919"/>
    <w:rsid w:val="00AB733D"/>
    <w:rsid w:val="00AB7567"/>
    <w:rsid w:val="00AB7FBA"/>
    <w:rsid w:val="00AC001A"/>
    <w:rsid w:val="00AC010F"/>
    <w:rsid w:val="00AC0B4C"/>
    <w:rsid w:val="00AC1117"/>
    <w:rsid w:val="00AC273B"/>
    <w:rsid w:val="00AC34FB"/>
    <w:rsid w:val="00AC3890"/>
    <w:rsid w:val="00AC38CF"/>
    <w:rsid w:val="00AC3F72"/>
    <w:rsid w:val="00AC41DD"/>
    <w:rsid w:val="00AC4391"/>
    <w:rsid w:val="00AC4CA5"/>
    <w:rsid w:val="00AC4F45"/>
    <w:rsid w:val="00AC556D"/>
    <w:rsid w:val="00AC597E"/>
    <w:rsid w:val="00AC5CA9"/>
    <w:rsid w:val="00AC7385"/>
    <w:rsid w:val="00AD0111"/>
    <w:rsid w:val="00AD022A"/>
    <w:rsid w:val="00AD09DC"/>
    <w:rsid w:val="00AD0AEE"/>
    <w:rsid w:val="00AD0DE5"/>
    <w:rsid w:val="00AD14E3"/>
    <w:rsid w:val="00AD1CEC"/>
    <w:rsid w:val="00AD23BF"/>
    <w:rsid w:val="00AD2450"/>
    <w:rsid w:val="00AD2847"/>
    <w:rsid w:val="00AD3038"/>
    <w:rsid w:val="00AD342E"/>
    <w:rsid w:val="00AD3716"/>
    <w:rsid w:val="00AD3781"/>
    <w:rsid w:val="00AD3FF7"/>
    <w:rsid w:val="00AD49E3"/>
    <w:rsid w:val="00AD4B4F"/>
    <w:rsid w:val="00AD5133"/>
    <w:rsid w:val="00AD5473"/>
    <w:rsid w:val="00AD5CBE"/>
    <w:rsid w:val="00AD6AF2"/>
    <w:rsid w:val="00AD6B63"/>
    <w:rsid w:val="00AD6C09"/>
    <w:rsid w:val="00AD70AE"/>
    <w:rsid w:val="00AD7764"/>
    <w:rsid w:val="00AD77FC"/>
    <w:rsid w:val="00AD787E"/>
    <w:rsid w:val="00AE0275"/>
    <w:rsid w:val="00AE163F"/>
    <w:rsid w:val="00AE1A60"/>
    <w:rsid w:val="00AE23E3"/>
    <w:rsid w:val="00AE25A2"/>
    <w:rsid w:val="00AE28A2"/>
    <w:rsid w:val="00AE3837"/>
    <w:rsid w:val="00AE3FD8"/>
    <w:rsid w:val="00AE6397"/>
    <w:rsid w:val="00AE6456"/>
    <w:rsid w:val="00AE6CAA"/>
    <w:rsid w:val="00AE7250"/>
    <w:rsid w:val="00AE73A9"/>
    <w:rsid w:val="00AF0616"/>
    <w:rsid w:val="00AF0E28"/>
    <w:rsid w:val="00AF1C53"/>
    <w:rsid w:val="00AF22B1"/>
    <w:rsid w:val="00AF2372"/>
    <w:rsid w:val="00AF24F3"/>
    <w:rsid w:val="00AF3294"/>
    <w:rsid w:val="00AF377F"/>
    <w:rsid w:val="00AF392F"/>
    <w:rsid w:val="00AF437E"/>
    <w:rsid w:val="00AF4E06"/>
    <w:rsid w:val="00AF5059"/>
    <w:rsid w:val="00AF5CE5"/>
    <w:rsid w:val="00AF65D3"/>
    <w:rsid w:val="00AF669A"/>
    <w:rsid w:val="00AF6BD7"/>
    <w:rsid w:val="00AF6F9B"/>
    <w:rsid w:val="00AF74E3"/>
    <w:rsid w:val="00AF7629"/>
    <w:rsid w:val="00AF79DA"/>
    <w:rsid w:val="00B002E1"/>
    <w:rsid w:val="00B0080A"/>
    <w:rsid w:val="00B00DB7"/>
    <w:rsid w:val="00B00EA9"/>
    <w:rsid w:val="00B010EA"/>
    <w:rsid w:val="00B01409"/>
    <w:rsid w:val="00B016B2"/>
    <w:rsid w:val="00B0191C"/>
    <w:rsid w:val="00B01FAC"/>
    <w:rsid w:val="00B01FC2"/>
    <w:rsid w:val="00B026D2"/>
    <w:rsid w:val="00B0277F"/>
    <w:rsid w:val="00B03680"/>
    <w:rsid w:val="00B03B13"/>
    <w:rsid w:val="00B041AE"/>
    <w:rsid w:val="00B04865"/>
    <w:rsid w:val="00B04C30"/>
    <w:rsid w:val="00B050BC"/>
    <w:rsid w:val="00B054A2"/>
    <w:rsid w:val="00B05721"/>
    <w:rsid w:val="00B05813"/>
    <w:rsid w:val="00B060C1"/>
    <w:rsid w:val="00B06300"/>
    <w:rsid w:val="00B068BF"/>
    <w:rsid w:val="00B06CE2"/>
    <w:rsid w:val="00B06E06"/>
    <w:rsid w:val="00B0795D"/>
    <w:rsid w:val="00B10127"/>
    <w:rsid w:val="00B10B44"/>
    <w:rsid w:val="00B10DBD"/>
    <w:rsid w:val="00B1111A"/>
    <w:rsid w:val="00B11747"/>
    <w:rsid w:val="00B1187B"/>
    <w:rsid w:val="00B11A0C"/>
    <w:rsid w:val="00B11A9F"/>
    <w:rsid w:val="00B11C9C"/>
    <w:rsid w:val="00B11CCF"/>
    <w:rsid w:val="00B130F9"/>
    <w:rsid w:val="00B13602"/>
    <w:rsid w:val="00B13C08"/>
    <w:rsid w:val="00B14415"/>
    <w:rsid w:val="00B15629"/>
    <w:rsid w:val="00B15AA4"/>
    <w:rsid w:val="00B15E96"/>
    <w:rsid w:val="00B1604E"/>
    <w:rsid w:val="00B164A0"/>
    <w:rsid w:val="00B167F8"/>
    <w:rsid w:val="00B16C78"/>
    <w:rsid w:val="00B17FD4"/>
    <w:rsid w:val="00B20C7E"/>
    <w:rsid w:val="00B20FBE"/>
    <w:rsid w:val="00B21411"/>
    <w:rsid w:val="00B21929"/>
    <w:rsid w:val="00B21A7B"/>
    <w:rsid w:val="00B22ED8"/>
    <w:rsid w:val="00B22F3C"/>
    <w:rsid w:val="00B2372C"/>
    <w:rsid w:val="00B23ADD"/>
    <w:rsid w:val="00B23E33"/>
    <w:rsid w:val="00B23E44"/>
    <w:rsid w:val="00B242F8"/>
    <w:rsid w:val="00B25592"/>
    <w:rsid w:val="00B266D2"/>
    <w:rsid w:val="00B26A07"/>
    <w:rsid w:val="00B26F11"/>
    <w:rsid w:val="00B30034"/>
    <w:rsid w:val="00B3044A"/>
    <w:rsid w:val="00B3200A"/>
    <w:rsid w:val="00B32089"/>
    <w:rsid w:val="00B32F70"/>
    <w:rsid w:val="00B32FB1"/>
    <w:rsid w:val="00B3382D"/>
    <w:rsid w:val="00B33D1F"/>
    <w:rsid w:val="00B33E52"/>
    <w:rsid w:val="00B341DE"/>
    <w:rsid w:val="00B344BD"/>
    <w:rsid w:val="00B345C8"/>
    <w:rsid w:val="00B34A36"/>
    <w:rsid w:val="00B353B3"/>
    <w:rsid w:val="00B36597"/>
    <w:rsid w:val="00B367A3"/>
    <w:rsid w:val="00B36D6C"/>
    <w:rsid w:val="00B373D0"/>
    <w:rsid w:val="00B37B27"/>
    <w:rsid w:val="00B37B51"/>
    <w:rsid w:val="00B40138"/>
    <w:rsid w:val="00B4082D"/>
    <w:rsid w:val="00B408F4"/>
    <w:rsid w:val="00B415A0"/>
    <w:rsid w:val="00B419F9"/>
    <w:rsid w:val="00B4251F"/>
    <w:rsid w:val="00B426C2"/>
    <w:rsid w:val="00B42F0C"/>
    <w:rsid w:val="00B43AAA"/>
    <w:rsid w:val="00B43B6E"/>
    <w:rsid w:val="00B452A7"/>
    <w:rsid w:val="00B45608"/>
    <w:rsid w:val="00B468C6"/>
    <w:rsid w:val="00B46D02"/>
    <w:rsid w:val="00B50026"/>
    <w:rsid w:val="00B50563"/>
    <w:rsid w:val="00B5091E"/>
    <w:rsid w:val="00B50B53"/>
    <w:rsid w:val="00B513CB"/>
    <w:rsid w:val="00B5144B"/>
    <w:rsid w:val="00B51E80"/>
    <w:rsid w:val="00B51F4B"/>
    <w:rsid w:val="00B5229B"/>
    <w:rsid w:val="00B52918"/>
    <w:rsid w:val="00B52B1A"/>
    <w:rsid w:val="00B53139"/>
    <w:rsid w:val="00B53D11"/>
    <w:rsid w:val="00B54AFD"/>
    <w:rsid w:val="00B562CE"/>
    <w:rsid w:val="00B57815"/>
    <w:rsid w:val="00B60126"/>
    <w:rsid w:val="00B602C2"/>
    <w:rsid w:val="00B6035F"/>
    <w:rsid w:val="00B6091E"/>
    <w:rsid w:val="00B60B84"/>
    <w:rsid w:val="00B61085"/>
    <w:rsid w:val="00B61E45"/>
    <w:rsid w:val="00B62DE2"/>
    <w:rsid w:val="00B63455"/>
    <w:rsid w:val="00B63B8E"/>
    <w:rsid w:val="00B63CA0"/>
    <w:rsid w:val="00B6479E"/>
    <w:rsid w:val="00B64D09"/>
    <w:rsid w:val="00B6547A"/>
    <w:rsid w:val="00B661AD"/>
    <w:rsid w:val="00B6640A"/>
    <w:rsid w:val="00B6703D"/>
    <w:rsid w:val="00B670C3"/>
    <w:rsid w:val="00B6738A"/>
    <w:rsid w:val="00B67630"/>
    <w:rsid w:val="00B70381"/>
    <w:rsid w:val="00B714F4"/>
    <w:rsid w:val="00B716AB"/>
    <w:rsid w:val="00B717D8"/>
    <w:rsid w:val="00B71C9D"/>
    <w:rsid w:val="00B724A6"/>
    <w:rsid w:val="00B74417"/>
    <w:rsid w:val="00B757F4"/>
    <w:rsid w:val="00B762F9"/>
    <w:rsid w:val="00B767EB"/>
    <w:rsid w:val="00B77246"/>
    <w:rsid w:val="00B77577"/>
    <w:rsid w:val="00B802DD"/>
    <w:rsid w:val="00B811C5"/>
    <w:rsid w:val="00B81576"/>
    <w:rsid w:val="00B820D2"/>
    <w:rsid w:val="00B82899"/>
    <w:rsid w:val="00B82982"/>
    <w:rsid w:val="00B82A2C"/>
    <w:rsid w:val="00B8363F"/>
    <w:rsid w:val="00B83A96"/>
    <w:rsid w:val="00B83BD0"/>
    <w:rsid w:val="00B8566F"/>
    <w:rsid w:val="00B85892"/>
    <w:rsid w:val="00B8591C"/>
    <w:rsid w:val="00B864DA"/>
    <w:rsid w:val="00B866CD"/>
    <w:rsid w:val="00B8670E"/>
    <w:rsid w:val="00B86BC8"/>
    <w:rsid w:val="00B87501"/>
    <w:rsid w:val="00B87B31"/>
    <w:rsid w:val="00B9047F"/>
    <w:rsid w:val="00B90A77"/>
    <w:rsid w:val="00B90C55"/>
    <w:rsid w:val="00B9173D"/>
    <w:rsid w:val="00B92238"/>
    <w:rsid w:val="00B92EBB"/>
    <w:rsid w:val="00B93034"/>
    <w:rsid w:val="00B93C70"/>
    <w:rsid w:val="00B948C9"/>
    <w:rsid w:val="00B94E14"/>
    <w:rsid w:val="00B953AC"/>
    <w:rsid w:val="00B9570F"/>
    <w:rsid w:val="00B9580E"/>
    <w:rsid w:val="00B95F8E"/>
    <w:rsid w:val="00B96560"/>
    <w:rsid w:val="00B96C13"/>
    <w:rsid w:val="00B96DDC"/>
    <w:rsid w:val="00B97668"/>
    <w:rsid w:val="00B97B2C"/>
    <w:rsid w:val="00B97C5D"/>
    <w:rsid w:val="00BA04B4"/>
    <w:rsid w:val="00BA04DC"/>
    <w:rsid w:val="00BA0632"/>
    <w:rsid w:val="00BA0742"/>
    <w:rsid w:val="00BA0FD1"/>
    <w:rsid w:val="00BA102F"/>
    <w:rsid w:val="00BA1097"/>
    <w:rsid w:val="00BA1290"/>
    <w:rsid w:val="00BA1ACB"/>
    <w:rsid w:val="00BA1E1E"/>
    <w:rsid w:val="00BA1E67"/>
    <w:rsid w:val="00BA2BF9"/>
    <w:rsid w:val="00BA3101"/>
    <w:rsid w:val="00BA4B34"/>
    <w:rsid w:val="00BA568E"/>
    <w:rsid w:val="00BA5B48"/>
    <w:rsid w:val="00BA6B7F"/>
    <w:rsid w:val="00BA795E"/>
    <w:rsid w:val="00BB004E"/>
    <w:rsid w:val="00BB02C4"/>
    <w:rsid w:val="00BB0912"/>
    <w:rsid w:val="00BB0A74"/>
    <w:rsid w:val="00BB1A87"/>
    <w:rsid w:val="00BB1B85"/>
    <w:rsid w:val="00BB200A"/>
    <w:rsid w:val="00BB2138"/>
    <w:rsid w:val="00BB272F"/>
    <w:rsid w:val="00BB2792"/>
    <w:rsid w:val="00BB286A"/>
    <w:rsid w:val="00BB4157"/>
    <w:rsid w:val="00BB4334"/>
    <w:rsid w:val="00BB461A"/>
    <w:rsid w:val="00BB47E4"/>
    <w:rsid w:val="00BB5582"/>
    <w:rsid w:val="00BB6122"/>
    <w:rsid w:val="00BB71C1"/>
    <w:rsid w:val="00BB76BF"/>
    <w:rsid w:val="00BC019C"/>
    <w:rsid w:val="00BC114C"/>
    <w:rsid w:val="00BC11F1"/>
    <w:rsid w:val="00BC16E6"/>
    <w:rsid w:val="00BC1ACE"/>
    <w:rsid w:val="00BC1AD1"/>
    <w:rsid w:val="00BC256F"/>
    <w:rsid w:val="00BC3AC6"/>
    <w:rsid w:val="00BC3D54"/>
    <w:rsid w:val="00BC492E"/>
    <w:rsid w:val="00BC4A58"/>
    <w:rsid w:val="00BC5714"/>
    <w:rsid w:val="00BC5DFE"/>
    <w:rsid w:val="00BC613B"/>
    <w:rsid w:val="00BC64CC"/>
    <w:rsid w:val="00BD0343"/>
    <w:rsid w:val="00BD05B8"/>
    <w:rsid w:val="00BD05BB"/>
    <w:rsid w:val="00BD1B35"/>
    <w:rsid w:val="00BD1E0C"/>
    <w:rsid w:val="00BD2417"/>
    <w:rsid w:val="00BD280A"/>
    <w:rsid w:val="00BD2DB0"/>
    <w:rsid w:val="00BD3614"/>
    <w:rsid w:val="00BD51D9"/>
    <w:rsid w:val="00BD5C76"/>
    <w:rsid w:val="00BD6398"/>
    <w:rsid w:val="00BD63D6"/>
    <w:rsid w:val="00BD64E2"/>
    <w:rsid w:val="00BD72F0"/>
    <w:rsid w:val="00BD745D"/>
    <w:rsid w:val="00BD7732"/>
    <w:rsid w:val="00BD7843"/>
    <w:rsid w:val="00BD78BC"/>
    <w:rsid w:val="00BD7E6A"/>
    <w:rsid w:val="00BE03F8"/>
    <w:rsid w:val="00BE0AFC"/>
    <w:rsid w:val="00BE1324"/>
    <w:rsid w:val="00BE1E85"/>
    <w:rsid w:val="00BE2104"/>
    <w:rsid w:val="00BE3320"/>
    <w:rsid w:val="00BE39A5"/>
    <w:rsid w:val="00BE3A4C"/>
    <w:rsid w:val="00BE46F3"/>
    <w:rsid w:val="00BE4995"/>
    <w:rsid w:val="00BE5559"/>
    <w:rsid w:val="00BE5977"/>
    <w:rsid w:val="00BE60FB"/>
    <w:rsid w:val="00BF082E"/>
    <w:rsid w:val="00BF0AE3"/>
    <w:rsid w:val="00BF1F05"/>
    <w:rsid w:val="00BF202F"/>
    <w:rsid w:val="00BF2820"/>
    <w:rsid w:val="00BF2AD2"/>
    <w:rsid w:val="00BF30AE"/>
    <w:rsid w:val="00BF312B"/>
    <w:rsid w:val="00BF37ED"/>
    <w:rsid w:val="00BF39CC"/>
    <w:rsid w:val="00BF3A57"/>
    <w:rsid w:val="00BF429A"/>
    <w:rsid w:val="00BF536A"/>
    <w:rsid w:val="00BF57C1"/>
    <w:rsid w:val="00BF5B51"/>
    <w:rsid w:val="00BF62BE"/>
    <w:rsid w:val="00BF647A"/>
    <w:rsid w:val="00BF6A9E"/>
    <w:rsid w:val="00BF6E1E"/>
    <w:rsid w:val="00BF7942"/>
    <w:rsid w:val="00C002A3"/>
    <w:rsid w:val="00C015EA"/>
    <w:rsid w:val="00C0160B"/>
    <w:rsid w:val="00C01D91"/>
    <w:rsid w:val="00C01E71"/>
    <w:rsid w:val="00C02A0B"/>
    <w:rsid w:val="00C02D25"/>
    <w:rsid w:val="00C036F4"/>
    <w:rsid w:val="00C03706"/>
    <w:rsid w:val="00C03C9C"/>
    <w:rsid w:val="00C0463A"/>
    <w:rsid w:val="00C04D62"/>
    <w:rsid w:val="00C0535C"/>
    <w:rsid w:val="00C05E97"/>
    <w:rsid w:val="00C05FF7"/>
    <w:rsid w:val="00C07126"/>
    <w:rsid w:val="00C075FF"/>
    <w:rsid w:val="00C07AED"/>
    <w:rsid w:val="00C07D1B"/>
    <w:rsid w:val="00C07F00"/>
    <w:rsid w:val="00C10772"/>
    <w:rsid w:val="00C10989"/>
    <w:rsid w:val="00C10CE9"/>
    <w:rsid w:val="00C11B4E"/>
    <w:rsid w:val="00C11C8D"/>
    <w:rsid w:val="00C11CE5"/>
    <w:rsid w:val="00C12EA5"/>
    <w:rsid w:val="00C13DB1"/>
    <w:rsid w:val="00C13FA8"/>
    <w:rsid w:val="00C144E3"/>
    <w:rsid w:val="00C14830"/>
    <w:rsid w:val="00C15270"/>
    <w:rsid w:val="00C15513"/>
    <w:rsid w:val="00C16853"/>
    <w:rsid w:val="00C17A12"/>
    <w:rsid w:val="00C17D2E"/>
    <w:rsid w:val="00C20339"/>
    <w:rsid w:val="00C2097A"/>
    <w:rsid w:val="00C20C2A"/>
    <w:rsid w:val="00C21827"/>
    <w:rsid w:val="00C21BB0"/>
    <w:rsid w:val="00C22DE4"/>
    <w:rsid w:val="00C22DE8"/>
    <w:rsid w:val="00C232BE"/>
    <w:rsid w:val="00C24787"/>
    <w:rsid w:val="00C24ED8"/>
    <w:rsid w:val="00C253A8"/>
    <w:rsid w:val="00C25A50"/>
    <w:rsid w:val="00C25C21"/>
    <w:rsid w:val="00C26260"/>
    <w:rsid w:val="00C263F0"/>
    <w:rsid w:val="00C2698A"/>
    <w:rsid w:val="00C27112"/>
    <w:rsid w:val="00C273FF"/>
    <w:rsid w:val="00C276FF"/>
    <w:rsid w:val="00C27D95"/>
    <w:rsid w:val="00C3003A"/>
    <w:rsid w:val="00C30FC8"/>
    <w:rsid w:val="00C314B6"/>
    <w:rsid w:val="00C31688"/>
    <w:rsid w:val="00C31DB5"/>
    <w:rsid w:val="00C33D41"/>
    <w:rsid w:val="00C349FA"/>
    <w:rsid w:val="00C35DFE"/>
    <w:rsid w:val="00C35E56"/>
    <w:rsid w:val="00C378EC"/>
    <w:rsid w:val="00C37AF9"/>
    <w:rsid w:val="00C40106"/>
    <w:rsid w:val="00C40AFD"/>
    <w:rsid w:val="00C40D09"/>
    <w:rsid w:val="00C40D80"/>
    <w:rsid w:val="00C415EC"/>
    <w:rsid w:val="00C41E20"/>
    <w:rsid w:val="00C42310"/>
    <w:rsid w:val="00C42E3E"/>
    <w:rsid w:val="00C42F3B"/>
    <w:rsid w:val="00C438B1"/>
    <w:rsid w:val="00C44081"/>
    <w:rsid w:val="00C4650E"/>
    <w:rsid w:val="00C479EF"/>
    <w:rsid w:val="00C47C1E"/>
    <w:rsid w:val="00C47EF9"/>
    <w:rsid w:val="00C47F62"/>
    <w:rsid w:val="00C51C13"/>
    <w:rsid w:val="00C51CE2"/>
    <w:rsid w:val="00C525A5"/>
    <w:rsid w:val="00C5295B"/>
    <w:rsid w:val="00C5300F"/>
    <w:rsid w:val="00C53084"/>
    <w:rsid w:val="00C5323E"/>
    <w:rsid w:val="00C5346C"/>
    <w:rsid w:val="00C53719"/>
    <w:rsid w:val="00C53931"/>
    <w:rsid w:val="00C54128"/>
    <w:rsid w:val="00C54146"/>
    <w:rsid w:val="00C54EEE"/>
    <w:rsid w:val="00C554F7"/>
    <w:rsid w:val="00C563C3"/>
    <w:rsid w:val="00C56F36"/>
    <w:rsid w:val="00C5748B"/>
    <w:rsid w:val="00C609D6"/>
    <w:rsid w:val="00C60D90"/>
    <w:rsid w:val="00C612B3"/>
    <w:rsid w:val="00C61328"/>
    <w:rsid w:val="00C61AE3"/>
    <w:rsid w:val="00C63A9A"/>
    <w:rsid w:val="00C63CAF"/>
    <w:rsid w:val="00C64283"/>
    <w:rsid w:val="00C64632"/>
    <w:rsid w:val="00C64764"/>
    <w:rsid w:val="00C6500C"/>
    <w:rsid w:val="00C65EEB"/>
    <w:rsid w:val="00C66CE0"/>
    <w:rsid w:val="00C6737C"/>
    <w:rsid w:val="00C673EE"/>
    <w:rsid w:val="00C67B51"/>
    <w:rsid w:val="00C701DB"/>
    <w:rsid w:val="00C70973"/>
    <w:rsid w:val="00C71BED"/>
    <w:rsid w:val="00C71D41"/>
    <w:rsid w:val="00C737BA"/>
    <w:rsid w:val="00C74108"/>
    <w:rsid w:val="00C7450B"/>
    <w:rsid w:val="00C747C0"/>
    <w:rsid w:val="00C75980"/>
    <w:rsid w:val="00C76F3F"/>
    <w:rsid w:val="00C7700A"/>
    <w:rsid w:val="00C77083"/>
    <w:rsid w:val="00C77534"/>
    <w:rsid w:val="00C804DD"/>
    <w:rsid w:val="00C80EEC"/>
    <w:rsid w:val="00C8149A"/>
    <w:rsid w:val="00C8186D"/>
    <w:rsid w:val="00C81B53"/>
    <w:rsid w:val="00C81EB6"/>
    <w:rsid w:val="00C825F1"/>
    <w:rsid w:val="00C82AD2"/>
    <w:rsid w:val="00C82B30"/>
    <w:rsid w:val="00C830D3"/>
    <w:rsid w:val="00C838C3"/>
    <w:rsid w:val="00C84096"/>
    <w:rsid w:val="00C84509"/>
    <w:rsid w:val="00C848D0"/>
    <w:rsid w:val="00C854CA"/>
    <w:rsid w:val="00C8665A"/>
    <w:rsid w:val="00C879EA"/>
    <w:rsid w:val="00C90D33"/>
    <w:rsid w:val="00C90FB6"/>
    <w:rsid w:val="00C91429"/>
    <w:rsid w:val="00C91983"/>
    <w:rsid w:val="00C91DE6"/>
    <w:rsid w:val="00C91F04"/>
    <w:rsid w:val="00C920D5"/>
    <w:rsid w:val="00C9220E"/>
    <w:rsid w:val="00C924D7"/>
    <w:rsid w:val="00C924E4"/>
    <w:rsid w:val="00C927AA"/>
    <w:rsid w:val="00C93090"/>
    <w:rsid w:val="00C9310F"/>
    <w:rsid w:val="00C932BD"/>
    <w:rsid w:val="00C93429"/>
    <w:rsid w:val="00C94047"/>
    <w:rsid w:val="00C948EC"/>
    <w:rsid w:val="00C94AD4"/>
    <w:rsid w:val="00C94B79"/>
    <w:rsid w:val="00C95098"/>
    <w:rsid w:val="00C953CF"/>
    <w:rsid w:val="00C96123"/>
    <w:rsid w:val="00C9612B"/>
    <w:rsid w:val="00C961FD"/>
    <w:rsid w:val="00C970EB"/>
    <w:rsid w:val="00C97C10"/>
    <w:rsid w:val="00CA08DE"/>
    <w:rsid w:val="00CA0C7F"/>
    <w:rsid w:val="00CA16C5"/>
    <w:rsid w:val="00CA2E03"/>
    <w:rsid w:val="00CA3075"/>
    <w:rsid w:val="00CA3184"/>
    <w:rsid w:val="00CA3757"/>
    <w:rsid w:val="00CA3F7E"/>
    <w:rsid w:val="00CA415A"/>
    <w:rsid w:val="00CA4B2E"/>
    <w:rsid w:val="00CA4CD2"/>
    <w:rsid w:val="00CA58B0"/>
    <w:rsid w:val="00CA5F85"/>
    <w:rsid w:val="00CA6259"/>
    <w:rsid w:val="00CA67DD"/>
    <w:rsid w:val="00CA6DA2"/>
    <w:rsid w:val="00CA7A35"/>
    <w:rsid w:val="00CA7ACC"/>
    <w:rsid w:val="00CA7EC6"/>
    <w:rsid w:val="00CA7FCF"/>
    <w:rsid w:val="00CB000B"/>
    <w:rsid w:val="00CB0525"/>
    <w:rsid w:val="00CB0792"/>
    <w:rsid w:val="00CB1536"/>
    <w:rsid w:val="00CB15CA"/>
    <w:rsid w:val="00CB18D3"/>
    <w:rsid w:val="00CB1A19"/>
    <w:rsid w:val="00CB304E"/>
    <w:rsid w:val="00CB36D1"/>
    <w:rsid w:val="00CB3E67"/>
    <w:rsid w:val="00CB447A"/>
    <w:rsid w:val="00CB534E"/>
    <w:rsid w:val="00CB5885"/>
    <w:rsid w:val="00CB59B6"/>
    <w:rsid w:val="00CB5F3C"/>
    <w:rsid w:val="00CB6AB8"/>
    <w:rsid w:val="00CB744F"/>
    <w:rsid w:val="00CB78BC"/>
    <w:rsid w:val="00CB7FB8"/>
    <w:rsid w:val="00CB7FE8"/>
    <w:rsid w:val="00CC1636"/>
    <w:rsid w:val="00CC17C1"/>
    <w:rsid w:val="00CC1F71"/>
    <w:rsid w:val="00CC328D"/>
    <w:rsid w:val="00CC45D7"/>
    <w:rsid w:val="00CC50EF"/>
    <w:rsid w:val="00CC59B3"/>
    <w:rsid w:val="00CC5C9A"/>
    <w:rsid w:val="00CC5EB3"/>
    <w:rsid w:val="00CC653E"/>
    <w:rsid w:val="00CD0E7B"/>
    <w:rsid w:val="00CD18DC"/>
    <w:rsid w:val="00CD242C"/>
    <w:rsid w:val="00CD2ABD"/>
    <w:rsid w:val="00CD4024"/>
    <w:rsid w:val="00CD44FA"/>
    <w:rsid w:val="00CD4617"/>
    <w:rsid w:val="00CD46D3"/>
    <w:rsid w:val="00CD4855"/>
    <w:rsid w:val="00CD5A3F"/>
    <w:rsid w:val="00CD6AC6"/>
    <w:rsid w:val="00CD6B6A"/>
    <w:rsid w:val="00CE1153"/>
    <w:rsid w:val="00CE1198"/>
    <w:rsid w:val="00CE15A4"/>
    <w:rsid w:val="00CE1905"/>
    <w:rsid w:val="00CE1D6A"/>
    <w:rsid w:val="00CE2241"/>
    <w:rsid w:val="00CE2401"/>
    <w:rsid w:val="00CE24CA"/>
    <w:rsid w:val="00CE2752"/>
    <w:rsid w:val="00CE3219"/>
    <w:rsid w:val="00CE35E8"/>
    <w:rsid w:val="00CE3F5A"/>
    <w:rsid w:val="00CE3FD5"/>
    <w:rsid w:val="00CE55BE"/>
    <w:rsid w:val="00CE56ED"/>
    <w:rsid w:val="00CE5D30"/>
    <w:rsid w:val="00CE6D43"/>
    <w:rsid w:val="00CE6F32"/>
    <w:rsid w:val="00CE7103"/>
    <w:rsid w:val="00CE7662"/>
    <w:rsid w:val="00CE7888"/>
    <w:rsid w:val="00CE79C7"/>
    <w:rsid w:val="00CE7A0F"/>
    <w:rsid w:val="00CF00F1"/>
    <w:rsid w:val="00CF021F"/>
    <w:rsid w:val="00CF02CC"/>
    <w:rsid w:val="00CF03B0"/>
    <w:rsid w:val="00CF0519"/>
    <w:rsid w:val="00CF0588"/>
    <w:rsid w:val="00CF098F"/>
    <w:rsid w:val="00CF13AB"/>
    <w:rsid w:val="00CF4077"/>
    <w:rsid w:val="00CF4255"/>
    <w:rsid w:val="00CF42A4"/>
    <w:rsid w:val="00CF435A"/>
    <w:rsid w:val="00CF494C"/>
    <w:rsid w:val="00CF57A8"/>
    <w:rsid w:val="00CF6AE5"/>
    <w:rsid w:val="00CF6C43"/>
    <w:rsid w:val="00CF735B"/>
    <w:rsid w:val="00D00120"/>
    <w:rsid w:val="00D00E46"/>
    <w:rsid w:val="00D015EF"/>
    <w:rsid w:val="00D01F0B"/>
    <w:rsid w:val="00D02072"/>
    <w:rsid w:val="00D02257"/>
    <w:rsid w:val="00D022F2"/>
    <w:rsid w:val="00D02631"/>
    <w:rsid w:val="00D0279D"/>
    <w:rsid w:val="00D02B80"/>
    <w:rsid w:val="00D02D8E"/>
    <w:rsid w:val="00D033AD"/>
    <w:rsid w:val="00D0355C"/>
    <w:rsid w:val="00D04366"/>
    <w:rsid w:val="00D05CDB"/>
    <w:rsid w:val="00D10E1C"/>
    <w:rsid w:val="00D10E51"/>
    <w:rsid w:val="00D117E3"/>
    <w:rsid w:val="00D11B4C"/>
    <w:rsid w:val="00D120F4"/>
    <w:rsid w:val="00D123F6"/>
    <w:rsid w:val="00D12AC0"/>
    <w:rsid w:val="00D12F60"/>
    <w:rsid w:val="00D135C8"/>
    <w:rsid w:val="00D14499"/>
    <w:rsid w:val="00D14774"/>
    <w:rsid w:val="00D14D8C"/>
    <w:rsid w:val="00D151E3"/>
    <w:rsid w:val="00D161A3"/>
    <w:rsid w:val="00D165E4"/>
    <w:rsid w:val="00D1695E"/>
    <w:rsid w:val="00D16D6F"/>
    <w:rsid w:val="00D17317"/>
    <w:rsid w:val="00D17633"/>
    <w:rsid w:val="00D17ED1"/>
    <w:rsid w:val="00D20167"/>
    <w:rsid w:val="00D20BBD"/>
    <w:rsid w:val="00D215B2"/>
    <w:rsid w:val="00D22E49"/>
    <w:rsid w:val="00D230C7"/>
    <w:rsid w:val="00D23716"/>
    <w:rsid w:val="00D2448E"/>
    <w:rsid w:val="00D24525"/>
    <w:rsid w:val="00D248C4"/>
    <w:rsid w:val="00D24F63"/>
    <w:rsid w:val="00D25150"/>
    <w:rsid w:val="00D25E47"/>
    <w:rsid w:val="00D25ED8"/>
    <w:rsid w:val="00D2698F"/>
    <w:rsid w:val="00D27F8F"/>
    <w:rsid w:val="00D3099B"/>
    <w:rsid w:val="00D30C81"/>
    <w:rsid w:val="00D316B8"/>
    <w:rsid w:val="00D31CFC"/>
    <w:rsid w:val="00D3246B"/>
    <w:rsid w:val="00D3255D"/>
    <w:rsid w:val="00D32749"/>
    <w:rsid w:val="00D32F30"/>
    <w:rsid w:val="00D3366C"/>
    <w:rsid w:val="00D340C3"/>
    <w:rsid w:val="00D34298"/>
    <w:rsid w:val="00D35CDE"/>
    <w:rsid w:val="00D35DBF"/>
    <w:rsid w:val="00D360DE"/>
    <w:rsid w:val="00D36641"/>
    <w:rsid w:val="00D36D41"/>
    <w:rsid w:val="00D37456"/>
    <w:rsid w:val="00D3782C"/>
    <w:rsid w:val="00D37BC1"/>
    <w:rsid w:val="00D37CE4"/>
    <w:rsid w:val="00D40167"/>
    <w:rsid w:val="00D40692"/>
    <w:rsid w:val="00D409CD"/>
    <w:rsid w:val="00D40A28"/>
    <w:rsid w:val="00D40DE9"/>
    <w:rsid w:val="00D40FC0"/>
    <w:rsid w:val="00D41003"/>
    <w:rsid w:val="00D42046"/>
    <w:rsid w:val="00D4215C"/>
    <w:rsid w:val="00D423D4"/>
    <w:rsid w:val="00D428C9"/>
    <w:rsid w:val="00D42CAF"/>
    <w:rsid w:val="00D43259"/>
    <w:rsid w:val="00D43D4C"/>
    <w:rsid w:val="00D4475F"/>
    <w:rsid w:val="00D447A5"/>
    <w:rsid w:val="00D447EF"/>
    <w:rsid w:val="00D44A61"/>
    <w:rsid w:val="00D44C08"/>
    <w:rsid w:val="00D453C1"/>
    <w:rsid w:val="00D4561D"/>
    <w:rsid w:val="00D45719"/>
    <w:rsid w:val="00D45A4D"/>
    <w:rsid w:val="00D45DFA"/>
    <w:rsid w:val="00D460CD"/>
    <w:rsid w:val="00D46146"/>
    <w:rsid w:val="00D4645A"/>
    <w:rsid w:val="00D4654B"/>
    <w:rsid w:val="00D46AAF"/>
    <w:rsid w:val="00D470F4"/>
    <w:rsid w:val="00D47282"/>
    <w:rsid w:val="00D4763B"/>
    <w:rsid w:val="00D47C09"/>
    <w:rsid w:val="00D47FE5"/>
    <w:rsid w:val="00D502B1"/>
    <w:rsid w:val="00D50681"/>
    <w:rsid w:val="00D507B0"/>
    <w:rsid w:val="00D5249B"/>
    <w:rsid w:val="00D52D95"/>
    <w:rsid w:val="00D53082"/>
    <w:rsid w:val="00D53110"/>
    <w:rsid w:val="00D53136"/>
    <w:rsid w:val="00D538BE"/>
    <w:rsid w:val="00D53C1E"/>
    <w:rsid w:val="00D53F1E"/>
    <w:rsid w:val="00D544D2"/>
    <w:rsid w:val="00D54E13"/>
    <w:rsid w:val="00D55842"/>
    <w:rsid w:val="00D55A2A"/>
    <w:rsid w:val="00D55CB7"/>
    <w:rsid w:val="00D562BD"/>
    <w:rsid w:val="00D56BA4"/>
    <w:rsid w:val="00D570AA"/>
    <w:rsid w:val="00D57546"/>
    <w:rsid w:val="00D57861"/>
    <w:rsid w:val="00D57A90"/>
    <w:rsid w:val="00D57C2A"/>
    <w:rsid w:val="00D601EF"/>
    <w:rsid w:val="00D61533"/>
    <w:rsid w:val="00D61936"/>
    <w:rsid w:val="00D6195F"/>
    <w:rsid w:val="00D61A4B"/>
    <w:rsid w:val="00D61C37"/>
    <w:rsid w:val="00D61E8A"/>
    <w:rsid w:val="00D62726"/>
    <w:rsid w:val="00D62B26"/>
    <w:rsid w:val="00D62E88"/>
    <w:rsid w:val="00D63B2F"/>
    <w:rsid w:val="00D64210"/>
    <w:rsid w:val="00D64504"/>
    <w:rsid w:val="00D64613"/>
    <w:rsid w:val="00D64A05"/>
    <w:rsid w:val="00D64CE2"/>
    <w:rsid w:val="00D65C88"/>
    <w:rsid w:val="00D65D18"/>
    <w:rsid w:val="00D65E1D"/>
    <w:rsid w:val="00D67C73"/>
    <w:rsid w:val="00D67F2F"/>
    <w:rsid w:val="00D67F35"/>
    <w:rsid w:val="00D70747"/>
    <w:rsid w:val="00D70749"/>
    <w:rsid w:val="00D708C6"/>
    <w:rsid w:val="00D70AB8"/>
    <w:rsid w:val="00D70BF4"/>
    <w:rsid w:val="00D713CA"/>
    <w:rsid w:val="00D71E1A"/>
    <w:rsid w:val="00D7208E"/>
    <w:rsid w:val="00D720C1"/>
    <w:rsid w:val="00D7261D"/>
    <w:rsid w:val="00D73A6A"/>
    <w:rsid w:val="00D749D4"/>
    <w:rsid w:val="00D74CF8"/>
    <w:rsid w:val="00D74D77"/>
    <w:rsid w:val="00D752AF"/>
    <w:rsid w:val="00D7557C"/>
    <w:rsid w:val="00D755FC"/>
    <w:rsid w:val="00D76795"/>
    <w:rsid w:val="00D76B06"/>
    <w:rsid w:val="00D76B6D"/>
    <w:rsid w:val="00D76C51"/>
    <w:rsid w:val="00D77209"/>
    <w:rsid w:val="00D7734E"/>
    <w:rsid w:val="00D7755A"/>
    <w:rsid w:val="00D77719"/>
    <w:rsid w:val="00D800CA"/>
    <w:rsid w:val="00D811BA"/>
    <w:rsid w:val="00D819E6"/>
    <w:rsid w:val="00D81A0D"/>
    <w:rsid w:val="00D81A1F"/>
    <w:rsid w:val="00D82737"/>
    <w:rsid w:val="00D82B87"/>
    <w:rsid w:val="00D8313D"/>
    <w:rsid w:val="00D83325"/>
    <w:rsid w:val="00D83C52"/>
    <w:rsid w:val="00D84A5A"/>
    <w:rsid w:val="00D84C52"/>
    <w:rsid w:val="00D84D07"/>
    <w:rsid w:val="00D8523D"/>
    <w:rsid w:val="00D8526A"/>
    <w:rsid w:val="00D86184"/>
    <w:rsid w:val="00D8657B"/>
    <w:rsid w:val="00D86661"/>
    <w:rsid w:val="00D8764B"/>
    <w:rsid w:val="00D90103"/>
    <w:rsid w:val="00D908B9"/>
    <w:rsid w:val="00D90E91"/>
    <w:rsid w:val="00D91344"/>
    <w:rsid w:val="00D916A4"/>
    <w:rsid w:val="00D9172E"/>
    <w:rsid w:val="00D921CD"/>
    <w:rsid w:val="00D9307E"/>
    <w:rsid w:val="00D940C5"/>
    <w:rsid w:val="00D943A2"/>
    <w:rsid w:val="00D9449A"/>
    <w:rsid w:val="00D944C3"/>
    <w:rsid w:val="00D947DF"/>
    <w:rsid w:val="00D949BC"/>
    <w:rsid w:val="00D94F20"/>
    <w:rsid w:val="00D962E9"/>
    <w:rsid w:val="00D96A1E"/>
    <w:rsid w:val="00D9704F"/>
    <w:rsid w:val="00D97EF5"/>
    <w:rsid w:val="00DA0F84"/>
    <w:rsid w:val="00DA1CBC"/>
    <w:rsid w:val="00DA2219"/>
    <w:rsid w:val="00DA2A75"/>
    <w:rsid w:val="00DA2C80"/>
    <w:rsid w:val="00DA31C8"/>
    <w:rsid w:val="00DA3523"/>
    <w:rsid w:val="00DA4C38"/>
    <w:rsid w:val="00DA69D2"/>
    <w:rsid w:val="00DA6EFE"/>
    <w:rsid w:val="00DA710E"/>
    <w:rsid w:val="00DA7FAF"/>
    <w:rsid w:val="00DB09DE"/>
    <w:rsid w:val="00DB0D52"/>
    <w:rsid w:val="00DB1DE3"/>
    <w:rsid w:val="00DB235B"/>
    <w:rsid w:val="00DB29F0"/>
    <w:rsid w:val="00DB2B3C"/>
    <w:rsid w:val="00DB33B5"/>
    <w:rsid w:val="00DB3AC9"/>
    <w:rsid w:val="00DB53C1"/>
    <w:rsid w:val="00DB54B6"/>
    <w:rsid w:val="00DB5D67"/>
    <w:rsid w:val="00DB64BC"/>
    <w:rsid w:val="00DB66C3"/>
    <w:rsid w:val="00DB6FD6"/>
    <w:rsid w:val="00DB7206"/>
    <w:rsid w:val="00DB7460"/>
    <w:rsid w:val="00DB7883"/>
    <w:rsid w:val="00DB7A34"/>
    <w:rsid w:val="00DC075C"/>
    <w:rsid w:val="00DC0DD7"/>
    <w:rsid w:val="00DC1347"/>
    <w:rsid w:val="00DC177A"/>
    <w:rsid w:val="00DC17B6"/>
    <w:rsid w:val="00DC1E1E"/>
    <w:rsid w:val="00DC245B"/>
    <w:rsid w:val="00DC39DF"/>
    <w:rsid w:val="00DC39F1"/>
    <w:rsid w:val="00DC5CD0"/>
    <w:rsid w:val="00DC63F6"/>
    <w:rsid w:val="00DC700D"/>
    <w:rsid w:val="00DC7879"/>
    <w:rsid w:val="00DC7E7E"/>
    <w:rsid w:val="00DD02F7"/>
    <w:rsid w:val="00DD0CA8"/>
    <w:rsid w:val="00DD0E1F"/>
    <w:rsid w:val="00DD1996"/>
    <w:rsid w:val="00DD26B5"/>
    <w:rsid w:val="00DD277F"/>
    <w:rsid w:val="00DD27E2"/>
    <w:rsid w:val="00DD3022"/>
    <w:rsid w:val="00DD4398"/>
    <w:rsid w:val="00DD5219"/>
    <w:rsid w:val="00DE06E1"/>
    <w:rsid w:val="00DE091C"/>
    <w:rsid w:val="00DE0C17"/>
    <w:rsid w:val="00DE10F6"/>
    <w:rsid w:val="00DE1887"/>
    <w:rsid w:val="00DE1C1D"/>
    <w:rsid w:val="00DE1EF3"/>
    <w:rsid w:val="00DE4341"/>
    <w:rsid w:val="00DE4504"/>
    <w:rsid w:val="00DE47F1"/>
    <w:rsid w:val="00DE4911"/>
    <w:rsid w:val="00DE4B35"/>
    <w:rsid w:val="00DE4CBF"/>
    <w:rsid w:val="00DE4FDA"/>
    <w:rsid w:val="00DE5810"/>
    <w:rsid w:val="00DE581B"/>
    <w:rsid w:val="00DE614A"/>
    <w:rsid w:val="00DE66E7"/>
    <w:rsid w:val="00DE6D62"/>
    <w:rsid w:val="00DE6DAE"/>
    <w:rsid w:val="00DE6EC6"/>
    <w:rsid w:val="00DE7102"/>
    <w:rsid w:val="00DE7486"/>
    <w:rsid w:val="00DE77EE"/>
    <w:rsid w:val="00DE7A58"/>
    <w:rsid w:val="00DE7AE3"/>
    <w:rsid w:val="00DF0B63"/>
    <w:rsid w:val="00DF0C6C"/>
    <w:rsid w:val="00DF1073"/>
    <w:rsid w:val="00DF14D5"/>
    <w:rsid w:val="00DF19C1"/>
    <w:rsid w:val="00DF25D2"/>
    <w:rsid w:val="00DF2884"/>
    <w:rsid w:val="00DF2E7D"/>
    <w:rsid w:val="00DF32DA"/>
    <w:rsid w:val="00DF4A77"/>
    <w:rsid w:val="00DF50AF"/>
    <w:rsid w:val="00DF5497"/>
    <w:rsid w:val="00DF54CA"/>
    <w:rsid w:val="00DF5B64"/>
    <w:rsid w:val="00DF604D"/>
    <w:rsid w:val="00DF60D0"/>
    <w:rsid w:val="00DF6334"/>
    <w:rsid w:val="00DF6BC0"/>
    <w:rsid w:val="00DF6CE7"/>
    <w:rsid w:val="00DF6F30"/>
    <w:rsid w:val="00E0023A"/>
    <w:rsid w:val="00E00270"/>
    <w:rsid w:val="00E0074C"/>
    <w:rsid w:val="00E009C4"/>
    <w:rsid w:val="00E00B7E"/>
    <w:rsid w:val="00E01135"/>
    <w:rsid w:val="00E01506"/>
    <w:rsid w:val="00E017ED"/>
    <w:rsid w:val="00E01906"/>
    <w:rsid w:val="00E01B1E"/>
    <w:rsid w:val="00E01F5D"/>
    <w:rsid w:val="00E020A7"/>
    <w:rsid w:val="00E02794"/>
    <w:rsid w:val="00E02992"/>
    <w:rsid w:val="00E043E3"/>
    <w:rsid w:val="00E048FA"/>
    <w:rsid w:val="00E0497A"/>
    <w:rsid w:val="00E04D86"/>
    <w:rsid w:val="00E0505B"/>
    <w:rsid w:val="00E05671"/>
    <w:rsid w:val="00E05987"/>
    <w:rsid w:val="00E06274"/>
    <w:rsid w:val="00E0643C"/>
    <w:rsid w:val="00E101C8"/>
    <w:rsid w:val="00E111CA"/>
    <w:rsid w:val="00E11280"/>
    <w:rsid w:val="00E11435"/>
    <w:rsid w:val="00E11DD0"/>
    <w:rsid w:val="00E11F18"/>
    <w:rsid w:val="00E12359"/>
    <w:rsid w:val="00E12A2C"/>
    <w:rsid w:val="00E1334C"/>
    <w:rsid w:val="00E136F0"/>
    <w:rsid w:val="00E1381E"/>
    <w:rsid w:val="00E1390F"/>
    <w:rsid w:val="00E13B4F"/>
    <w:rsid w:val="00E151CC"/>
    <w:rsid w:val="00E152FF"/>
    <w:rsid w:val="00E166C5"/>
    <w:rsid w:val="00E1702C"/>
    <w:rsid w:val="00E17AC2"/>
    <w:rsid w:val="00E17AE5"/>
    <w:rsid w:val="00E17B39"/>
    <w:rsid w:val="00E17BE7"/>
    <w:rsid w:val="00E2064B"/>
    <w:rsid w:val="00E20697"/>
    <w:rsid w:val="00E20B16"/>
    <w:rsid w:val="00E21769"/>
    <w:rsid w:val="00E21797"/>
    <w:rsid w:val="00E21DCC"/>
    <w:rsid w:val="00E22E39"/>
    <w:rsid w:val="00E2389E"/>
    <w:rsid w:val="00E2390E"/>
    <w:rsid w:val="00E23BCD"/>
    <w:rsid w:val="00E24042"/>
    <w:rsid w:val="00E2447D"/>
    <w:rsid w:val="00E2461B"/>
    <w:rsid w:val="00E24886"/>
    <w:rsid w:val="00E2578A"/>
    <w:rsid w:val="00E25E39"/>
    <w:rsid w:val="00E2657B"/>
    <w:rsid w:val="00E2659D"/>
    <w:rsid w:val="00E26E74"/>
    <w:rsid w:val="00E26EC5"/>
    <w:rsid w:val="00E27021"/>
    <w:rsid w:val="00E27067"/>
    <w:rsid w:val="00E27344"/>
    <w:rsid w:val="00E276A4"/>
    <w:rsid w:val="00E276CE"/>
    <w:rsid w:val="00E276FB"/>
    <w:rsid w:val="00E30025"/>
    <w:rsid w:val="00E3032E"/>
    <w:rsid w:val="00E30651"/>
    <w:rsid w:val="00E30AA4"/>
    <w:rsid w:val="00E30ABA"/>
    <w:rsid w:val="00E32595"/>
    <w:rsid w:val="00E32610"/>
    <w:rsid w:val="00E32727"/>
    <w:rsid w:val="00E33773"/>
    <w:rsid w:val="00E33A74"/>
    <w:rsid w:val="00E3487B"/>
    <w:rsid w:val="00E34D95"/>
    <w:rsid w:val="00E356D0"/>
    <w:rsid w:val="00E356E3"/>
    <w:rsid w:val="00E35977"/>
    <w:rsid w:val="00E35A30"/>
    <w:rsid w:val="00E36557"/>
    <w:rsid w:val="00E36F3C"/>
    <w:rsid w:val="00E373B6"/>
    <w:rsid w:val="00E37F48"/>
    <w:rsid w:val="00E4030B"/>
    <w:rsid w:val="00E4037C"/>
    <w:rsid w:val="00E41824"/>
    <w:rsid w:val="00E41D42"/>
    <w:rsid w:val="00E41D56"/>
    <w:rsid w:val="00E41EE4"/>
    <w:rsid w:val="00E420CB"/>
    <w:rsid w:val="00E42ABE"/>
    <w:rsid w:val="00E42BA5"/>
    <w:rsid w:val="00E43679"/>
    <w:rsid w:val="00E44104"/>
    <w:rsid w:val="00E44255"/>
    <w:rsid w:val="00E442DE"/>
    <w:rsid w:val="00E45525"/>
    <w:rsid w:val="00E457DF"/>
    <w:rsid w:val="00E462A8"/>
    <w:rsid w:val="00E4656A"/>
    <w:rsid w:val="00E46642"/>
    <w:rsid w:val="00E46D81"/>
    <w:rsid w:val="00E470C6"/>
    <w:rsid w:val="00E47AE8"/>
    <w:rsid w:val="00E5097A"/>
    <w:rsid w:val="00E5139A"/>
    <w:rsid w:val="00E51A35"/>
    <w:rsid w:val="00E52197"/>
    <w:rsid w:val="00E53BE9"/>
    <w:rsid w:val="00E53E31"/>
    <w:rsid w:val="00E53F28"/>
    <w:rsid w:val="00E5413D"/>
    <w:rsid w:val="00E548F9"/>
    <w:rsid w:val="00E549FF"/>
    <w:rsid w:val="00E54EBE"/>
    <w:rsid w:val="00E55533"/>
    <w:rsid w:val="00E55CEA"/>
    <w:rsid w:val="00E564EC"/>
    <w:rsid w:val="00E56551"/>
    <w:rsid w:val="00E565A8"/>
    <w:rsid w:val="00E56F21"/>
    <w:rsid w:val="00E57977"/>
    <w:rsid w:val="00E57FF6"/>
    <w:rsid w:val="00E608E8"/>
    <w:rsid w:val="00E612AD"/>
    <w:rsid w:val="00E6174D"/>
    <w:rsid w:val="00E6213F"/>
    <w:rsid w:val="00E630A1"/>
    <w:rsid w:val="00E635D7"/>
    <w:rsid w:val="00E64A5E"/>
    <w:rsid w:val="00E64A62"/>
    <w:rsid w:val="00E657D1"/>
    <w:rsid w:val="00E65FF2"/>
    <w:rsid w:val="00E67B8E"/>
    <w:rsid w:val="00E67FE3"/>
    <w:rsid w:val="00E70576"/>
    <w:rsid w:val="00E71B89"/>
    <w:rsid w:val="00E721F4"/>
    <w:rsid w:val="00E724DF"/>
    <w:rsid w:val="00E73037"/>
    <w:rsid w:val="00E73820"/>
    <w:rsid w:val="00E73BE1"/>
    <w:rsid w:val="00E751E1"/>
    <w:rsid w:val="00E75258"/>
    <w:rsid w:val="00E75F8F"/>
    <w:rsid w:val="00E76542"/>
    <w:rsid w:val="00E76726"/>
    <w:rsid w:val="00E76E49"/>
    <w:rsid w:val="00E80110"/>
    <w:rsid w:val="00E803E7"/>
    <w:rsid w:val="00E80E42"/>
    <w:rsid w:val="00E81300"/>
    <w:rsid w:val="00E823FF"/>
    <w:rsid w:val="00E82BAF"/>
    <w:rsid w:val="00E82EE8"/>
    <w:rsid w:val="00E834B7"/>
    <w:rsid w:val="00E83954"/>
    <w:rsid w:val="00E83D70"/>
    <w:rsid w:val="00E84E75"/>
    <w:rsid w:val="00E86E31"/>
    <w:rsid w:val="00E8750D"/>
    <w:rsid w:val="00E879A4"/>
    <w:rsid w:val="00E87E09"/>
    <w:rsid w:val="00E90BCA"/>
    <w:rsid w:val="00E91730"/>
    <w:rsid w:val="00E92FCF"/>
    <w:rsid w:val="00E937CE"/>
    <w:rsid w:val="00E9421F"/>
    <w:rsid w:val="00E95832"/>
    <w:rsid w:val="00E95C72"/>
    <w:rsid w:val="00E967BB"/>
    <w:rsid w:val="00E96AFE"/>
    <w:rsid w:val="00E96E9A"/>
    <w:rsid w:val="00E96F04"/>
    <w:rsid w:val="00E97AEC"/>
    <w:rsid w:val="00EA0804"/>
    <w:rsid w:val="00EA123B"/>
    <w:rsid w:val="00EA20FE"/>
    <w:rsid w:val="00EA2694"/>
    <w:rsid w:val="00EA2D6F"/>
    <w:rsid w:val="00EA322F"/>
    <w:rsid w:val="00EA3372"/>
    <w:rsid w:val="00EA33CC"/>
    <w:rsid w:val="00EA36CE"/>
    <w:rsid w:val="00EA38A9"/>
    <w:rsid w:val="00EA38AB"/>
    <w:rsid w:val="00EA41DB"/>
    <w:rsid w:val="00EA42AC"/>
    <w:rsid w:val="00EA4A2D"/>
    <w:rsid w:val="00EA52F4"/>
    <w:rsid w:val="00EA5B33"/>
    <w:rsid w:val="00EA5F6C"/>
    <w:rsid w:val="00EA6507"/>
    <w:rsid w:val="00EA6E5B"/>
    <w:rsid w:val="00EA7106"/>
    <w:rsid w:val="00EB08DE"/>
    <w:rsid w:val="00EB2146"/>
    <w:rsid w:val="00EB24B8"/>
    <w:rsid w:val="00EB2D87"/>
    <w:rsid w:val="00EB3B64"/>
    <w:rsid w:val="00EB3DD1"/>
    <w:rsid w:val="00EB42F3"/>
    <w:rsid w:val="00EB4887"/>
    <w:rsid w:val="00EB491E"/>
    <w:rsid w:val="00EB4E45"/>
    <w:rsid w:val="00EB5697"/>
    <w:rsid w:val="00EB5DA2"/>
    <w:rsid w:val="00EB612C"/>
    <w:rsid w:val="00EB681B"/>
    <w:rsid w:val="00EB712B"/>
    <w:rsid w:val="00EB7141"/>
    <w:rsid w:val="00EB7352"/>
    <w:rsid w:val="00EC01B7"/>
    <w:rsid w:val="00EC0379"/>
    <w:rsid w:val="00EC1832"/>
    <w:rsid w:val="00EC2AC9"/>
    <w:rsid w:val="00EC36DB"/>
    <w:rsid w:val="00EC4FAD"/>
    <w:rsid w:val="00EC561E"/>
    <w:rsid w:val="00EC5BFC"/>
    <w:rsid w:val="00EC5DAF"/>
    <w:rsid w:val="00EC5DB1"/>
    <w:rsid w:val="00EC61F3"/>
    <w:rsid w:val="00EC7BE8"/>
    <w:rsid w:val="00EC7D85"/>
    <w:rsid w:val="00EC7DE0"/>
    <w:rsid w:val="00ED01E5"/>
    <w:rsid w:val="00ED053A"/>
    <w:rsid w:val="00ED12CF"/>
    <w:rsid w:val="00ED17B8"/>
    <w:rsid w:val="00ED1A28"/>
    <w:rsid w:val="00ED20AF"/>
    <w:rsid w:val="00ED2FEE"/>
    <w:rsid w:val="00ED3DDF"/>
    <w:rsid w:val="00ED40F5"/>
    <w:rsid w:val="00ED5FC9"/>
    <w:rsid w:val="00ED6446"/>
    <w:rsid w:val="00ED654E"/>
    <w:rsid w:val="00ED67DF"/>
    <w:rsid w:val="00ED748D"/>
    <w:rsid w:val="00ED773D"/>
    <w:rsid w:val="00ED7CCF"/>
    <w:rsid w:val="00ED7D6E"/>
    <w:rsid w:val="00EE0926"/>
    <w:rsid w:val="00EE0C7D"/>
    <w:rsid w:val="00EE0EDE"/>
    <w:rsid w:val="00EE1DD8"/>
    <w:rsid w:val="00EE2632"/>
    <w:rsid w:val="00EE2B1F"/>
    <w:rsid w:val="00EE3023"/>
    <w:rsid w:val="00EE334B"/>
    <w:rsid w:val="00EE398B"/>
    <w:rsid w:val="00EE3CFA"/>
    <w:rsid w:val="00EE582A"/>
    <w:rsid w:val="00EE5B87"/>
    <w:rsid w:val="00EE5E1A"/>
    <w:rsid w:val="00EE5FD9"/>
    <w:rsid w:val="00EE658B"/>
    <w:rsid w:val="00EE69E4"/>
    <w:rsid w:val="00EE6EF4"/>
    <w:rsid w:val="00EE713F"/>
    <w:rsid w:val="00EE7437"/>
    <w:rsid w:val="00EE7844"/>
    <w:rsid w:val="00EE7CBD"/>
    <w:rsid w:val="00EF0401"/>
    <w:rsid w:val="00EF068C"/>
    <w:rsid w:val="00EF0FF6"/>
    <w:rsid w:val="00EF1075"/>
    <w:rsid w:val="00EF1913"/>
    <w:rsid w:val="00EF236E"/>
    <w:rsid w:val="00EF2778"/>
    <w:rsid w:val="00EF2A7F"/>
    <w:rsid w:val="00EF2F8C"/>
    <w:rsid w:val="00EF3C33"/>
    <w:rsid w:val="00EF4196"/>
    <w:rsid w:val="00EF41A6"/>
    <w:rsid w:val="00EF48BE"/>
    <w:rsid w:val="00EF4BB5"/>
    <w:rsid w:val="00EF4D88"/>
    <w:rsid w:val="00EF562F"/>
    <w:rsid w:val="00EF58A6"/>
    <w:rsid w:val="00EF590B"/>
    <w:rsid w:val="00EF62AD"/>
    <w:rsid w:val="00EF6DF5"/>
    <w:rsid w:val="00EF7B8F"/>
    <w:rsid w:val="00EF7C72"/>
    <w:rsid w:val="00EF7E39"/>
    <w:rsid w:val="00EF7E90"/>
    <w:rsid w:val="00F00085"/>
    <w:rsid w:val="00F002B6"/>
    <w:rsid w:val="00F00DD3"/>
    <w:rsid w:val="00F01525"/>
    <w:rsid w:val="00F01987"/>
    <w:rsid w:val="00F01C3E"/>
    <w:rsid w:val="00F02022"/>
    <w:rsid w:val="00F02990"/>
    <w:rsid w:val="00F02B67"/>
    <w:rsid w:val="00F03000"/>
    <w:rsid w:val="00F030D2"/>
    <w:rsid w:val="00F03330"/>
    <w:rsid w:val="00F035EB"/>
    <w:rsid w:val="00F036CF"/>
    <w:rsid w:val="00F03EBC"/>
    <w:rsid w:val="00F048F2"/>
    <w:rsid w:val="00F04ECE"/>
    <w:rsid w:val="00F05468"/>
    <w:rsid w:val="00F06803"/>
    <w:rsid w:val="00F06B35"/>
    <w:rsid w:val="00F06FA6"/>
    <w:rsid w:val="00F076F6"/>
    <w:rsid w:val="00F101D5"/>
    <w:rsid w:val="00F10339"/>
    <w:rsid w:val="00F10AFE"/>
    <w:rsid w:val="00F10FC4"/>
    <w:rsid w:val="00F111BA"/>
    <w:rsid w:val="00F11B0F"/>
    <w:rsid w:val="00F14DAE"/>
    <w:rsid w:val="00F14E7E"/>
    <w:rsid w:val="00F15169"/>
    <w:rsid w:val="00F156F6"/>
    <w:rsid w:val="00F15C6C"/>
    <w:rsid w:val="00F15E1E"/>
    <w:rsid w:val="00F1603A"/>
    <w:rsid w:val="00F1613E"/>
    <w:rsid w:val="00F17173"/>
    <w:rsid w:val="00F1753F"/>
    <w:rsid w:val="00F1759C"/>
    <w:rsid w:val="00F17A7E"/>
    <w:rsid w:val="00F17FD5"/>
    <w:rsid w:val="00F200F0"/>
    <w:rsid w:val="00F2015D"/>
    <w:rsid w:val="00F206CB"/>
    <w:rsid w:val="00F20DB4"/>
    <w:rsid w:val="00F21440"/>
    <w:rsid w:val="00F217F1"/>
    <w:rsid w:val="00F21E54"/>
    <w:rsid w:val="00F224DC"/>
    <w:rsid w:val="00F225D0"/>
    <w:rsid w:val="00F22E05"/>
    <w:rsid w:val="00F2349F"/>
    <w:rsid w:val="00F23826"/>
    <w:rsid w:val="00F23AA7"/>
    <w:rsid w:val="00F240A1"/>
    <w:rsid w:val="00F241A1"/>
    <w:rsid w:val="00F2456D"/>
    <w:rsid w:val="00F24737"/>
    <w:rsid w:val="00F24A85"/>
    <w:rsid w:val="00F25BAA"/>
    <w:rsid w:val="00F2687F"/>
    <w:rsid w:val="00F26D7C"/>
    <w:rsid w:val="00F26DC9"/>
    <w:rsid w:val="00F271B4"/>
    <w:rsid w:val="00F27640"/>
    <w:rsid w:val="00F27F29"/>
    <w:rsid w:val="00F27F5A"/>
    <w:rsid w:val="00F317C7"/>
    <w:rsid w:val="00F324E7"/>
    <w:rsid w:val="00F327A8"/>
    <w:rsid w:val="00F32C3B"/>
    <w:rsid w:val="00F32D54"/>
    <w:rsid w:val="00F3329A"/>
    <w:rsid w:val="00F33BD8"/>
    <w:rsid w:val="00F341CF"/>
    <w:rsid w:val="00F36C54"/>
    <w:rsid w:val="00F36F66"/>
    <w:rsid w:val="00F37059"/>
    <w:rsid w:val="00F3731A"/>
    <w:rsid w:val="00F374E1"/>
    <w:rsid w:val="00F37DD5"/>
    <w:rsid w:val="00F4050A"/>
    <w:rsid w:val="00F41443"/>
    <w:rsid w:val="00F41863"/>
    <w:rsid w:val="00F418D3"/>
    <w:rsid w:val="00F418EA"/>
    <w:rsid w:val="00F41A29"/>
    <w:rsid w:val="00F421BB"/>
    <w:rsid w:val="00F42872"/>
    <w:rsid w:val="00F434AE"/>
    <w:rsid w:val="00F44C1C"/>
    <w:rsid w:val="00F44EDC"/>
    <w:rsid w:val="00F44F11"/>
    <w:rsid w:val="00F45214"/>
    <w:rsid w:val="00F45B3C"/>
    <w:rsid w:val="00F462B1"/>
    <w:rsid w:val="00F464DE"/>
    <w:rsid w:val="00F4690D"/>
    <w:rsid w:val="00F46A7C"/>
    <w:rsid w:val="00F4748C"/>
    <w:rsid w:val="00F47CD8"/>
    <w:rsid w:val="00F500B7"/>
    <w:rsid w:val="00F50C63"/>
    <w:rsid w:val="00F51473"/>
    <w:rsid w:val="00F518DF"/>
    <w:rsid w:val="00F5342E"/>
    <w:rsid w:val="00F53DB1"/>
    <w:rsid w:val="00F542A4"/>
    <w:rsid w:val="00F544DB"/>
    <w:rsid w:val="00F54B65"/>
    <w:rsid w:val="00F5513F"/>
    <w:rsid w:val="00F558C7"/>
    <w:rsid w:val="00F55F15"/>
    <w:rsid w:val="00F5632D"/>
    <w:rsid w:val="00F5642C"/>
    <w:rsid w:val="00F564D3"/>
    <w:rsid w:val="00F56644"/>
    <w:rsid w:val="00F56967"/>
    <w:rsid w:val="00F574FD"/>
    <w:rsid w:val="00F578EE"/>
    <w:rsid w:val="00F57B5F"/>
    <w:rsid w:val="00F6018B"/>
    <w:rsid w:val="00F60CB5"/>
    <w:rsid w:val="00F60FF5"/>
    <w:rsid w:val="00F61DC9"/>
    <w:rsid w:val="00F624E1"/>
    <w:rsid w:val="00F6276A"/>
    <w:rsid w:val="00F62B44"/>
    <w:rsid w:val="00F62C1C"/>
    <w:rsid w:val="00F635A7"/>
    <w:rsid w:val="00F63EB8"/>
    <w:rsid w:val="00F6502E"/>
    <w:rsid w:val="00F65246"/>
    <w:rsid w:val="00F65663"/>
    <w:rsid w:val="00F662B8"/>
    <w:rsid w:val="00F66C51"/>
    <w:rsid w:val="00F66C6E"/>
    <w:rsid w:val="00F677B6"/>
    <w:rsid w:val="00F67E91"/>
    <w:rsid w:val="00F70167"/>
    <w:rsid w:val="00F706C8"/>
    <w:rsid w:val="00F70D5E"/>
    <w:rsid w:val="00F71574"/>
    <w:rsid w:val="00F72664"/>
    <w:rsid w:val="00F72BDC"/>
    <w:rsid w:val="00F73673"/>
    <w:rsid w:val="00F7470D"/>
    <w:rsid w:val="00F74FD6"/>
    <w:rsid w:val="00F7506E"/>
    <w:rsid w:val="00F756C0"/>
    <w:rsid w:val="00F75A40"/>
    <w:rsid w:val="00F75DE3"/>
    <w:rsid w:val="00F76143"/>
    <w:rsid w:val="00F767AB"/>
    <w:rsid w:val="00F7718A"/>
    <w:rsid w:val="00F77637"/>
    <w:rsid w:val="00F8021E"/>
    <w:rsid w:val="00F80289"/>
    <w:rsid w:val="00F803EB"/>
    <w:rsid w:val="00F8049B"/>
    <w:rsid w:val="00F808B1"/>
    <w:rsid w:val="00F811A8"/>
    <w:rsid w:val="00F820DB"/>
    <w:rsid w:val="00F834FC"/>
    <w:rsid w:val="00F8435D"/>
    <w:rsid w:val="00F84755"/>
    <w:rsid w:val="00F85F4C"/>
    <w:rsid w:val="00F86103"/>
    <w:rsid w:val="00F866B7"/>
    <w:rsid w:val="00F86B45"/>
    <w:rsid w:val="00F872FE"/>
    <w:rsid w:val="00F876AA"/>
    <w:rsid w:val="00F87DD0"/>
    <w:rsid w:val="00F900DA"/>
    <w:rsid w:val="00F90398"/>
    <w:rsid w:val="00F90D86"/>
    <w:rsid w:val="00F911C5"/>
    <w:rsid w:val="00F913AC"/>
    <w:rsid w:val="00F91482"/>
    <w:rsid w:val="00F91652"/>
    <w:rsid w:val="00F91966"/>
    <w:rsid w:val="00F91A74"/>
    <w:rsid w:val="00F91B40"/>
    <w:rsid w:val="00F92909"/>
    <w:rsid w:val="00F92CF0"/>
    <w:rsid w:val="00F93360"/>
    <w:rsid w:val="00F936FA"/>
    <w:rsid w:val="00F9370D"/>
    <w:rsid w:val="00F93E20"/>
    <w:rsid w:val="00F93FE4"/>
    <w:rsid w:val="00F94605"/>
    <w:rsid w:val="00F94919"/>
    <w:rsid w:val="00F94B4D"/>
    <w:rsid w:val="00F95611"/>
    <w:rsid w:val="00F95C07"/>
    <w:rsid w:val="00F969AD"/>
    <w:rsid w:val="00F96D91"/>
    <w:rsid w:val="00F97E4E"/>
    <w:rsid w:val="00FA0936"/>
    <w:rsid w:val="00FA0BD8"/>
    <w:rsid w:val="00FA148D"/>
    <w:rsid w:val="00FA1A82"/>
    <w:rsid w:val="00FA1CC8"/>
    <w:rsid w:val="00FA1F91"/>
    <w:rsid w:val="00FA20D4"/>
    <w:rsid w:val="00FA217B"/>
    <w:rsid w:val="00FA3A62"/>
    <w:rsid w:val="00FA3E35"/>
    <w:rsid w:val="00FA440A"/>
    <w:rsid w:val="00FA46B9"/>
    <w:rsid w:val="00FA4827"/>
    <w:rsid w:val="00FA4E6A"/>
    <w:rsid w:val="00FA5441"/>
    <w:rsid w:val="00FA5AB1"/>
    <w:rsid w:val="00FA5FA9"/>
    <w:rsid w:val="00FA685B"/>
    <w:rsid w:val="00FA6C5B"/>
    <w:rsid w:val="00FB0BC5"/>
    <w:rsid w:val="00FB0BCC"/>
    <w:rsid w:val="00FB1100"/>
    <w:rsid w:val="00FB122D"/>
    <w:rsid w:val="00FB2F75"/>
    <w:rsid w:val="00FB341C"/>
    <w:rsid w:val="00FB3B7A"/>
    <w:rsid w:val="00FB3F1A"/>
    <w:rsid w:val="00FB44FB"/>
    <w:rsid w:val="00FB4F0E"/>
    <w:rsid w:val="00FB5094"/>
    <w:rsid w:val="00FB5404"/>
    <w:rsid w:val="00FB5439"/>
    <w:rsid w:val="00FB59F6"/>
    <w:rsid w:val="00FB6566"/>
    <w:rsid w:val="00FB7845"/>
    <w:rsid w:val="00FB7AFE"/>
    <w:rsid w:val="00FC0FE5"/>
    <w:rsid w:val="00FC0FFF"/>
    <w:rsid w:val="00FC1121"/>
    <w:rsid w:val="00FC282E"/>
    <w:rsid w:val="00FC3973"/>
    <w:rsid w:val="00FC41AA"/>
    <w:rsid w:val="00FC4277"/>
    <w:rsid w:val="00FC54FC"/>
    <w:rsid w:val="00FC5642"/>
    <w:rsid w:val="00FC58D0"/>
    <w:rsid w:val="00FC6030"/>
    <w:rsid w:val="00FC622F"/>
    <w:rsid w:val="00FC63A3"/>
    <w:rsid w:val="00FC6918"/>
    <w:rsid w:val="00FC7438"/>
    <w:rsid w:val="00FC7645"/>
    <w:rsid w:val="00FC793C"/>
    <w:rsid w:val="00FD02CC"/>
    <w:rsid w:val="00FD066C"/>
    <w:rsid w:val="00FD0B57"/>
    <w:rsid w:val="00FD0E52"/>
    <w:rsid w:val="00FD0FBB"/>
    <w:rsid w:val="00FD1ABC"/>
    <w:rsid w:val="00FD221D"/>
    <w:rsid w:val="00FD2D5E"/>
    <w:rsid w:val="00FD2EFA"/>
    <w:rsid w:val="00FD359B"/>
    <w:rsid w:val="00FD407B"/>
    <w:rsid w:val="00FD409F"/>
    <w:rsid w:val="00FD4C35"/>
    <w:rsid w:val="00FD4C57"/>
    <w:rsid w:val="00FD54A3"/>
    <w:rsid w:val="00FD54CF"/>
    <w:rsid w:val="00FD58F9"/>
    <w:rsid w:val="00FD5CCA"/>
    <w:rsid w:val="00FD675D"/>
    <w:rsid w:val="00FD7069"/>
    <w:rsid w:val="00FD7572"/>
    <w:rsid w:val="00FD79D6"/>
    <w:rsid w:val="00FD7AAA"/>
    <w:rsid w:val="00FD7CE8"/>
    <w:rsid w:val="00FD7DDF"/>
    <w:rsid w:val="00FE08B4"/>
    <w:rsid w:val="00FE13B7"/>
    <w:rsid w:val="00FE18B3"/>
    <w:rsid w:val="00FE1A8D"/>
    <w:rsid w:val="00FE2138"/>
    <w:rsid w:val="00FE2AA7"/>
    <w:rsid w:val="00FE3F5B"/>
    <w:rsid w:val="00FE4142"/>
    <w:rsid w:val="00FE4388"/>
    <w:rsid w:val="00FE4917"/>
    <w:rsid w:val="00FE4C92"/>
    <w:rsid w:val="00FE52E1"/>
    <w:rsid w:val="00FE5AAC"/>
    <w:rsid w:val="00FE60C1"/>
    <w:rsid w:val="00FE640D"/>
    <w:rsid w:val="00FE6955"/>
    <w:rsid w:val="00FF0FAA"/>
    <w:rsid w:val="00FF1671"/>
    <w:rsid w:val="00FF17D2"/>
    <w:rsid w:val="00FF18EF"/>
    <w:rsid w:val="00FF1C8F"/>
    <w:rsid w:val="00FF3BBC"/>
    <w:rsid w:val="00FF40FB"/>
    <w:rsid w:val="00FF4396"/>
    <w:rsid w:val="00FF5AD4"/>
    <w:rsid w:val="00FF666B"/>
    <w:rsid w:val="00FF6AC0"/>
    <w:rsid w:val="00FF7908"/>
    <w:rsid w:val="00FF7C3E"/>
    <w:rsid w:val="21D6C29D"/>
    <w:rsid w:val="4CF6D5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76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6B"/>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2"/>
      </w:numPr>
      <w:outlineLvl w:val="0"/>
    </w:pPr>
    <w:rPr>
      <w:kern w:val="28"/>
    </w:rPr>
  </w:style>
  <w:style w:type="paragraph" w:styleId="Heading2">
    <w:name w:val="heading 2"/>
    <w:basedOn w:val="Normal"/>
    <w:next w:val="Normal"/>
    <w:link w:val="Heading2Char"/>
    <w:qFormat/>
    <w:rsid w:val="00A316C0"/>
    <w:pPr>
      <w:numPr>
        <w:ilvl w:val="1"/>
        <w:numId w:val="2"/>
      </w:numPr>
      <w:outlineLvl w:val="1"/>
    </w:pPr>
  </w:style>
  <w:style w:type="paragraph" w:styleId="Heading3">
    <w:name w:val="heading 3"/>
    <w:basedOn w:val="Normal"/>
    <w:next w:val="Normal"/>
    <w:link w:val="Heading3Char"/>
    <w:qFormat/>
    <w:rsid w:val="00A316C0"/>
    <w:pPr>
      <w:numPr>
        <w:ilvl w:val="2"/>
        <w:numId w:val="2"/>
      </w:numPr>
      <w:outlineLvl w:val="2"/>
    </w:pPr>
  </w:style>
  <w:style w:type="paragraph" w:styleId="Heading4">
    <w:name w:val="heading 4"/>
    <w:basedOn w:val="Normal"/>
    <w:next w:val="Normal"/>
    <w:link w:val="Heading4Char"/>
    <w:qFormat/>
    <w:rsid w:val="00A316C0"/>
    <w:pPr>
      <w:numPr>
        <w:ilvl w:val="3"/>
        <w:numId w:val="2"/>
      </w:numPr>
      <w:outlineLvl w:val="3"/>
    </w:pPr>
  </w:style>
  <w:style w:type="paragraph" w:styleId="Heading5">
    <w:name w:val="heading 5"/>
    <w:basedOn w:val="Normal"/>
    <w:next w:val="Normal"/>
    <w:link w:val="Heading5Char"/>
    <w:qFormat/>
    <w:rsid w:val="00A316C0"/>
    <w:pPr>
      <w:numPr>
        <w:ilvl w:val="4"/>
        <w:numId w:val="2"/>
      </w:numPr>
      <w:outlineLvl w:val="4"/>
    </w:pPr>
  </w:style>
  <w:style w:type="paragraph" w:styleId="Heading6">
    <w:name w:val="heading 6"/>
    <w:basedOn w:val="Normal"/>
    <w:next w:val="Normal"/>
    <w:link w:val="Heading6Char"/>
    <w:qFormat/>
    <w:rsid w:val="00A316C0"/>
    <w:pPr>
      <w:numPr>
        <w:ilvl w:val="5"/>
        <w:numId w:val="2"/>
      </w:numPr>
      <w:outlineLvl w:val="5"/>
    </w:pPr>
  </w:style>
  <w:style w:type="paragraph" w:styleId="Heading7">
    <w:name w:val="heading 7"/>
    <w:basedOn w:val="Normal"/>
    <w:next w:val="Normal"/>
    <w:link w:val="Heading7Char"/>
    <w:qFormat/>
    <w:rsid w:val="00A316C0"/>
    <w:pPr>
      <w:numPr>
        <w:ilvl w:val="6"/>
        <w:numId w:val="2"/>
      </w:numPr>
      <w:outlineLvl w:val="6"/>
    </w:pPr>
  </w:style>
  <w:style w:type="paragraph" w:styleId="Heading8">
    <w:name w:val="heading 8"/>
    <w:basedOn w:val="Normal"/>
    <w:next w:val="Normal"/>
    <w:link w:val="Heading8Char"/>
    <w:qFormat/>
    <w:rsid w:val="00A316C0"/>
    <w:pPr>
      <w:numPr>
        <w:ilvl w:val="7"/>
        <w:numId w:val="2"/>
      </w:numPr>
      <w:outlineLvl w:val="7"/>
    </w:pPr>
  </w:style>
  <w:style w:type="paragraph" w:styleId="Heading9">
    <w:name w:val="heading 9"/>
    <w:basedOn w:val="Normal"/>
    <w:next w:val="Normal"/>
    <w:link w:val="Heading9Char"/>
    <w:qFormat/>
    <w:rsid w:val="00A316C0"/>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A478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DC"/>
    <w:rPr>
      <w:rFonts w:ascii="Segoe UI" w:hAnsi="Segoe UI" w:cs="Segoe UI"/>
      <w:sz w:val="18"/>
      <w:szCs w:val="18"/>
      <w:lang w:eastAsia="en-US" w:bidi="ar-SA"/>
    </w:rPr>
  </w:style>
  <w:style w:type="character" w:customStyle="1" w:styleId="UnresolvedMention1">
    <w:name w:val="Unresolved Mention1"/>
    <w:basedOn w:val="DefaultParagraphFont"/>
    <w:uiPriority w:val="99"/>
    <w:semiHidden/>
    <w:unhideWhenUsed/>
    <w:rsid w:val="00CC17C1"/>
    <w:rPr>
      <w:color w:val="605E5C"/>
      <w:shd w:val="clear" w:color="auto" w:fill="E1DFDD"/>
    </w:rPr>
  </w:style>
  <w:style w:type="character" w:styleId="CommentReference">
    <w:name w:val="annotation reference"/>
    <w:basedOn w:val="DefaultParagraphFont"/>
    <w:semiHidden/>
    <w:unhideWhenUsed/>
    <w:rsid w:val="00217994"/>
    <w:rPr>
      <w:sz w:val="16"/>
      <w:szCs w:val="16"/>
    </w:rPr>
  </w:style>
  <w:style w:type="paragraph" w:styleId="CommentText">
    <w:name w:val="annotation text"/>
    <w:basedOn w:val="Normal"/>
    <w:link w:val="CommentTextChar"/>
    <w:unhideWhenUsed/>
    <w:rsid w:val="00217994"/>
    <w:pPr>
      <w:spacing w:line="240" w:lineRule="auto"/>
    </w:pPr>
    <w:rPr>
      <w:sz w:val="20"/>
    </w:rPr>
  </w:style>
  <w:style w:type="character" w:customStyle="1" w:styleId="CommentTextChar">
    <w:name w:val="Comment Text Char"/>
    <w:basedOn w:val="DefaultParagraphFont"/>
    <w:link w:val="CommentText"/>
    <w:rsid w:val="0021799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217994"/>
    <w:rPr>
      <w:b/>
      <w:bCs/>
    </w:rPr>
  </w:style>
  <w:style w:type="character" w:customStyle="1" w:styleId="CommentSubjectChar">
    <w:name w:val="Comment Subject Char"/>
    <w:basedOn w:val="CommentTextChar"/>
    <w:link w:val="CommentSubject"/>
    <w:uiPriority w:val="99"/>
    <w:semiHidden/>
    <w:rsid w:val="00217994"/>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4500">
      <w:bodyDiv w:val="1"/>
      <w:marLeft w:val="0"/>
      <w:marRight w:val="0"/>
      <w:marTop w:val="0"/>
      <w:marBottom w:val="0"/>
      <w:divBdr>
        <w:top w:val="none" w:sz="0" w:space="0" w:color="auto"/>
        <w:left w:val="none" w:sz="0" w:space="0" w:color="auto"/>
        <w:bottom w:val="none" w:sz="0" w:space="0" w:color="auto"/>
        <w:right w:val="none" w:sz="0" w:space="0" w:color="auto"/>
      </w:divBdr>
      <w:divsChild>
        <w:div w:id="1241595141">
          <w:marLeft w:val="0"/>
          <w:marRight w:val="0"/>
          <w:marTop w:val="0"/>
          <w:marBottom w:val="0"/>
          <w:divBdr>
            <w:top w:val="none" w:sz="0" w:space="0" w:color="auto"/>
            <w:left w:val="none" w:sz="0" w:space="0" w:color="auto"/>
            <w:bottom w:val="none" w:sz="0" w:space="0" w:color="auto"/>
            <w:right w:val="none" w:sz="0" w:space="0" w:color="auto"/>
          </w:divBdr>
          <w:divsChild>
            <w:div w:id="1277365832">
              <w:marLeft w:val="0"/>
              <w:marRight w:val="0"/>
              <w:marTop w:val="0"/>
              <w:marBottom w:val="0"/>
              <w:divBdr>
                <w:top w:val="none" w:sz="0" w:space="0" w:color="auto"/>
                <w:left w:val="none" w:sz="0" w:space="0" w:color="auto"/>
                <w:bottom w:val="none" w:sz="0" w:space="0" w:color="auto"/>
                <w:right w:val="none" w:sz="0" w:space="0" w:color="auto"/>
              </w:divBdr>
            </w:div>
            <w:div w:id="2046952548">
              <w:marLeft w:val="0"/>
              <w:marRight w:val="0"/>
              <w:marTop w:val="0"/>
              <w:marBottom w:val="0"/>
              <w:divBdr>
                <w:top w:val="none" w:sz="0" w:space="0" w:color="auto"/>
                <w:left w:val="none" w:sz="0" w:space="0" w:color="auto"/>
                <w:bottom w:val="none" w:sz="0" w:space="0" w:color="auto"/>
                <w:right w:val="none" w:sz="0" w:space="0" w:color="auto"/>
              </w:divBdr>
            </w:div>
            <w:div w:id="117846161">
              <w:marLeft w:val="0"/>
              <w:marRight w:val="0"/>
              <w:marTop w:val="0"/>
              <w:marBottom w:val="0"/>
              <w:divBdr>
                <w:top w:val="none" w:sz="0" w:space="0" w:color="auto"/>
                <w:left w:val="none" w:sz="0" w:space="0" w:color="auto"/>
                <w:bottom w:val="none" w:sz="0" w:space="0" w:color="auto"/>
                <w:right w:val="none" w:sz="0" w:space="0" w:color="auto"/>
              </w:divBdr>
            </w:div>
            <w:div w:id="1145925578">
              <w:marLeft w:val="0"/>
              <w:marRight w:val="0"/>
              <w:marTop w:val="0"/>
              <w:marBottom w:val="0"/>
              <w:divBdr>
                <w:top w:val="none" w:sz="0" w:space="0" w:color="auto"/>
                <w:left w:val="none" w:sz="0" w:space="0" w:color="auto"/>
                <w:bottom w:val="none" w:sz="0" w:space="0" w:color="auto"/>
                <w:right w:val="none" w:sz="0" w:space="0" w:color="auto"/>
              </w:divBdr>
            </w:div>
            <w:div w:id="1395005617">
              <w:marLeft w:val="0"/>
              <w:marRight w:val="0"/>
              <w:marTop w:val="0"/>
              <w:marBottom w:val="0"/>
              <w:divBdr>
                <w:top w:val="none" w:sz="0" w:space="0" w:color="auto"/>
                <w:left w:val="none" w:sz="0" w:space="0" w:color="auto"/>
                <w:bottom w:val="none" w:sz="0" w:space="0" w:color="auto"/>
                <w:right w:val="none" w:sz="0" w:space="0" w:color="auto"/>
              </w:divBdr>
            </w:div>
          </w:divsChild>
        </w:div>
        <w:div w:id="1088770290">
          <w:marLeft w:val="0"/>
          <w:marRight w:val="0"/>
          <w:marTop w:val="0"/>
          <w:marBottom w:val="0"/>
          <w:divBdr>
            <w:top w:val="none" w:sz="0" w:space="0" w:color="auto"/>
            <w:left w:val="none" w:sz="0" w:space="0" w:color="auto"/>
            <w:bottom w:val="none" w:sz="0" w:space="0" w:color="auto"/>
            <w:right w:val="none" w:sz="0" w:space="0" w:color="auto"/>
          </w:divBdr>
          <w:divsChild>
            <w:div w:id="903494865">
              <w:marLeft w:val="-75"/>
              <w:marRight w:val="0"/>
              <w:marTop w:val="30"/>
              <w:marBottom w:val="30"/>
              <w:divBdr>
                <w:top w:val="none" w:sz="0" w:space="0" w:color="auto"/>
                <w:left w:val="none" w:sz="0" w:space="0" w:color="auto"/>
                <w:bottom w:val="none" w:sz="0" w:space="0" w:color="auto"/>
                <w:right w:val="none" w:sz="0" w:space="0" w:color="auto"/>
              </w:divBdr>
              <w:divsChild>
                <w:div w:id="384841762">
                  <w:marLeft w:val="0"/>
                  <w:marRight w:val="0"/>
                  <w:marTop w:val="0"/>
                  <w:marBottom w:val="0"/>
                  <w:divBdr>
                    <w:top w:val="none" w:sz="0" w:space="0" w:color="auto"/>
                    <w:left w:val="none" w:sz="0" w:space="0" w:color="auto"/>
                    <w:bottom w:val="none" w:sz="0" w:space="0" w:color="auto"/>
                    <w:right w:val="none" w:sz="0" w:space="0" w:color="auto"/>
                  </w:divBdr>
                  <w:divsChild>
                    <w:div w:id="78647945">
                      <w:marLeft w:val="0"/>
                      <w:marRight w:val="0"/>
                      <w:marTop w:val="0"/>
                      <w:marBottom w:val="0"/>
                      <w:divBdr>
                        <w:top w:val="none" w:sz="0" w:space="0" w:color="auto"/>
                        <w:left w:val="none" w:sz="0" w:space="0" w:color="auto"/>
                        <w:bottom w:val="none" w:sz="0" w:space="0" w:color="auto"/>
                        <w:right w:val="none" w:sz="0" w:space="0" w:color="auto"/>
                      </w:divBdr>
                    </w:div>
                  </w:divsChild>
                </w:div>
                <w:div w:id="2019237185">
                  <w:marLeft w:val="0"/>
                  <w:marRight w:val="0"/>
                  <w:marTop w:val="0"/>
                  <w:marBottom w:val="0"/>
                  <w:divBdr>
                    <w:top w:val="none" w:sz="0" w:space="0" w:color="auto"/>
                    <w:left w:val="none" w:sz="0" w:space="0" w:color="auto"/>
                    <w:bottom w:val="none" w:sz="0" w:space="0" w:color="auto"/>
                    <w:right w:val="none" w:sz="0" w:space="0" w:color="auto"/>
                  </w:divBdr>
                  <w:divsChild>
                    <w:div w:id="1996838574">
                      <w:marLeft w:val="0"/>
                      <w:marRight w:val="0"/>
                      <w:marTop w:val="0"/>
                      <w:marBottom w:val="0"/>
                      <w:divBdr>
                        <w:top w:val="none" w:sz="0" w:space="0" w:color="auto"/>
                        <w:left w:val="none" w:sz="0" w:space="0" w:color="auto"/>
                        <w:bottom w:val="none" w:sz="0" w:space="0" w:color="auto"/>
                        <w:right w:val="none" w:sz="0" w:space="0" w:color="auto"/>
                      </w:divBdr>
                    </w:div>
                  </w:divsChild>
                </w:div>
                <w:div w:id="1534490734">
                  <w:marLeft w:val="0"/>
                  <w:marRight w:val="0"/>
                  <w:marTop w:val="0"/>
                  <w:marBottom w:val="0"/>
                  <w:divBdr>
                    <w:top w:val="none" w:sz="0" w:space="0" w:color="auto"/>
                    <w:left w:val="none" w:sz="0" w:space="0" w:color="auto"/>
                    <w:bottom w:val="none" w:sz="0" w:space="0" w:color="auto"/>
                    <w:right w:val="none" w:sz="0" w:space="0" w:color="auto"/>
                  </w:divBdr>
                  <w:divsChild>
                    <w:div w:id="1465078362">
                      <w:marLeft w:val="0"/>
                      <w:marRight w:val="0"/>
                      <w:marTop w:val="0"/>
                      <w:marBottom w:val="0"/>
                      <w:divBdr>
                        <w:top w:val="none" w:sz="0" w:space="0" w:color="auto"/>
                        <w:left w:val="none" w:sz="0" w:space="0" w:color="auto"/>
                        <w:bottom w:val="none" w:sz="0" w:space="0" w:color="auto"/>
                        <w:right w:val="none" w:sz="0" w:space="0" w:color="auto"/>
                      </w:divBdr>
                    </w:div>
                  </w:divsChild>
                </w:div>
                <w:div w:id="1881934417">
                  <w:marLeft w:val="0"/>
                  <w:marRight w:val="0"/>
                  <w:marTop w:val="0"/>
                  <w:marBottom w:val="0"/>
                  <w:divBdr>
                    <w:top w:val="none" w:sz="0" w:space="0" w:color="auto"/>
                    <w:left w:val="none" w:sz="0" w:space="0" w:color="auto"/>
                    <w:bottom w:val="none" w:sz="0" w:space="0" w:color="auto"/>
                    <w:right w:val="none" w:sz="0" w:space="0" w:color="auto"/>
                  </w:divBdr>
                  <w:divsChild>
                    <w:div w:id="11565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279">
          <w:marLeft w:val="0"/>
          <w:marRight w:val="0"/>
          <w:marTop w:val="0"/>
          <w:marBottom w:val="0"/>
          <w:divBdr>
            <w:top w:val="none" w:sz="0" w:space="0" w:color="auto"/>
            <w:left w:val="none" w:sz="0" w:space="0" w:color="auto"/>
            <w:bottom w:val="none" w:sz="0" w:space="0" w:color="auto"/>
            <w:right w:val="none" w:sz="0" w:space="0" w:color="auto"/>
          </w:divBdr>
        </w:div>
        <w:div w:id="1253198023">
          <w:marLeft w:val="0"/>
          <w:marRight w:val="0"/>
          <w:marTop w:val="0"/>
          <w:marBottom w:val="0"/>
          <w:divBdr>
            <w:top w:val="none" w:sz="0" w:space="0" w:color="auto"/>
            <w:left w:val="none" w:sz="0" w:space="0" w:color="auto"/>
            <w:bottom w:val="none" w:sz="0" w:space="0" w:color="auto"/>
            <w:right w:val="none" w:sz="0" w:space="0" w:color="auto"/>
          </w:divBdr>
          <w:divsChild>
            <w:div w:id="1032265375">
              <w:marLeft w:val="-75"/>
              <w:marRight w:val="0"/>
              <w:marTop w:val="30"/>
              <w:marBottom w:val="30"/>
              <w:divBdr>
                <w:top w:val="none" w:sz="0" w:space="0" w:color="auto"/>
                <w:left w:val="none" w:sz="0" w:space="0" w:color="auto"/>
                <w:bottom w:val="none" w:sz="0" w:space="0" w:color="auto"/>
                <w:right w:val="none" w:sz="0" w:space="0" w:color="auto"/>
              </w:divBdr>
              <w:divsChild>
                <w:div w:id="869882954">
                  <w:marLeft w:val="0"/>
                  <w:marRight w:val="0"/>
                  <w:marTop w:val="0"/>
                  <w:marBottom w:val="0"/>
                  <w:divBdr>
                    <w:top w:val="none" w:sz="0" w:space="0" w:color="auto"/>
                    <w:left w:val="none" w:sz="0" w:space="0" w:color="auto"/>
                    <w:bottom w:val="none" w:sz="0" w:space="0" w:color="auto"/>
                    <w:right w:val="none" w:sz="0" w:space="0" w:color="auto"/>
                  </w:divBdr>
                  <w:divsChild>
                    <w:div w:id="1032001996">
                      <w:marLeft w:val="0"/>
                      <w:marRight w:val="0"/>
                      <w:marTop w:val="0"/>
                      <w:marBottom w:val="0"/>
                      <w:divBdr>
                        <w:top w:val="none" w:sz="0" w:space="0" w:color="auto"/>
                        <w:left w:val="none" w:sz="0" w:space="0" w:color="auto"/>
                        <w:bottom w:val="none" w:sz="0" w:space="0" w:color="auto"/>
                        <w:right w:val="none" w:sz="0" w:space="0" w:color="auto"/>
                      </w:divBdr>
                    </w:div>
                  </w:divsChild>
                </w:div>
                <w:div w:id="1750351379">
                  <w:marLeft w:val="0"/>
                  <w:marRight w:val="0"/>
                  <w:marTop w:val="0"/>
                  <w:marBottom w:val="0"/>
                  <w:divBdr>
                    <w:top w:val="none" w:sz="0" w:space="0" w:color="auto"/>
                    <w:left w:val="none" w:sz="0" w:space="0" w:color="auto"/>
                    <w:bottom w:val="none" w:sz="0" w:space="0" w:color="auto"/>
                    <w:right w:val="none" w:sz="0" w:space="0" w:color="auto"/>
                  </w:divBdr>
                  <w:divsChild>
                    <w:div w:id="506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416">
          <w:marLeft w:val="0"/>
          <w:marRight w:val="0"/>
          <w:marTop w:val="0"/>
          <w:marBottom w:val="0"/>
          <w:divBdr>
            <w:top w:val="none" w:sz="0" w:space="0" w:color="auto"/>
            <w:left w:val="none" w:sz="0" w:space="0" w:color="auto"/>
            <w:bottom w:val="none" w:sz="0" w:space="0" w:color="auto"/>
            <w:right w:val="none" w:sz="0" w:space="0" w:color="auto"/>
          </w:divBdr>
        </w:div>
        <w:div w:id="926841864">
          <w:marLeft w:val="0"/>
          <w:marRight w:val="0"/>
          <w:marTop w:val="0"/>
          <w:marBottom w:val="0"/>
          <w:divBdr>
            <w:top w:val="none" w:sz="0" w:space="0" w:color="auto"/>
            <w:left w:val="none" w:sz="0" w:space="0" w:color="auto"/>
            <w:bottom w:val="none" w:sz="0" w:space="0" w:color="auto"/>
            <w:right w:val="none" w:sz="0" w:space="0" w:color="auto"/>
          </w:divBdr>
        </w:div>
        <w:div w:id="2029601939">
          <w:marLeft w:val="0"/>
          <w:marRight w:val="0"/>
          <w:marTop w:val="0"/>
          <w:marBottom w:val="0"/>
          <w:divBdr>
            <w:top w:val="none" w:sz="0" w:space="0" w:color="auto"/>
            <w:left w:val="none" w:sz="0" w:space="0" w:color="auto"/>
            <w:bottom w:val="none" w:sz="0" w:space="0" w:color="auto"/>
            <w:right w:val="none" w:sz="0" w:space="0" w:color="auto"/>
          </w:divBdr>
        </w:div>
        <w:div w:id="1713111492">
          <w:marLeft w:val="0"/>
          <w:marRight w:val="0"/>
          <w:marTop w:val="0"/>
          <w:marBottom w:val="0"/>
          <w:divBdr>
            <w:top w:val="none" w:sz="0" w:space="0" w:color="auto"/>
            <w:left w:val="none" w:sz="0" w:space="0" w:color="auto"/>
            <w:bottom w:val="none" w:sz="0" w:space="0" w:color="auto"/>
            <w:right w:val="none" w:sz="0" w:space="0" w:color="auto"/>
          </w:divBdr>
        </w:div>
        <w:div w:id="1097097468">
          <w:marLeft w:val="0"/>
          <w:marRight w:val="0"/>
          <w:marTop w:val="0"/>
          <w:marBottom w:val="0"/>
          <w:divBdr>
            <w:top w:val="none" w:sz="0" w:space="0" w:color="auto"/>
            <w:left w:val="none" w:sz="0" w:space="0" w:color="auto"/>
            <w:bottom w:val="none" w:sz="0" w:space="0" w:color="auto"/>
            <w:right w:val="none" w:sz="0" w:space="0" w:color="auto"/>
          </w:divBdr>
          <w:divsChild>
            <w:div w:id="2092576736">
              <w:marLeft w:val="-75"/>
              <w:marRight w:val="0"/>
              <w:marTop w:val="30"/>
              <w:marBottom w:val="30"/>
              <w:divBdr>
                <w:top w:val="none" w:sz="0" w:space="0" w:color="auto"/>
                <w:left w:val="none" w:sz="0" w:space="0" w:color="auto"/>
                <w:bottom w:val="none" w:sz="0" w:space="0" w:color="auto"/>
                <w:right w:val="none" w:sz="0" w:space="0" w:color="auto"/>
              </w:divBdr>
              <w:divsChild>
                <w:div w:id="1437673744">
                  <w:marLeft w:val="0"/>
                  <w:marRight w:val="0"/>
                  <w:marTop w:val="0"/>
                  <w:marBottom w:val="0"/>
                  <w:divBdr>
                    <w:top w:val="none" w:sz="0" w:space="0" w:color="auto"/>
                    <w:left w:val="none" w:sz="0" w:space="0" w:color="auto"/>
                    <w:bottom w:val="none" w:sz="0" w:space="0" w:color="auto"/>
                    <w:right w:val="none" w:sz="0" w:space="0" w:color="auto"/>
                  </w:divBdr>
                  <w:divsChild>
                    <w:div w:id="1199704467">
                      <w:marLeft w:val="0"/>
                      <w:marRight w:val="0"/>
                      <w:marTop w:val="0"/>
                      <w:marBottom w:val="0"/>
                      <w:divBdr>
                        <w:top w:val="none" w:sz="0" w:space="0" w:color="auto"/>
                        <w:left w:val="none" w:sz="0" w:space="0" w:color="auto"/>
                        <w:bottom w:val="none" w:sz="0" w:space="0" w:color="auto"/>
                        <w:right w:val="none" w:sz="0" w:space="0" w:color="auto"/>
                      </w:divBdr>
                    </w:div>
                  </w:divsChild>
                </w:div>
                <w:div w:id="1823236175">
                  <w:marLeft w:val="0"/>
                  <w:marRight w:val="0"/>
                  <w:marTop w:val="0"/>
                  <w:marBottom w:val="0"/>
                  <w:divBdr>
                    <w:top w:val="none" w:sz="0" w:space="0" w:color="auto"/>
                    <w:left w:val="none" w:sz="0" w:space="0" w:color="auto"/>
                    <w:bottom w:val="none" w:sz="0" w:space="0" w:color="auto"/>
                    <w:right w:val="none" w:sz="0" w:space="0" w:color="auto"/>
                  </w:divBdr>
                  <w:divsChild>
                    <w:div w:id="1449548169">
                      <w:marLeft w:val="0"/>
                      <w:marRight w:val="0"/>
                      <w:marTop w:val="0"/>
                      <w:marBottom w:val="0"/>
                      <w:divBdr>
                        <w:top w:val="none" w:sz="0" w:space="0" w:color="auto"/>
                        <w:left w:val="none" w:sz="0" w:space="0" w:color="auto"/>
                        <w:bottom w:val="none" w:sz="0" w:space="0" w:color="auto"/>
                        <w:right w:val="none" w:sz="0" w:space="0" w:color="auto"/>
                      </w:divBdr>
                    </w:div>
                  </w:divsChild>
                </w:div>
                <w:div w:id="2066830890">
                  <w:marLeft w:val="0"/>
                  <w:marRight w:val="0"/>
                  <w:marTop w:val="0"/>
                  <w:marBottom w:val="0"/>
                  <w:divBdr>
                    <w:top w:val="none" w:sz="0" w:space="0" w:color="auto"/>
                    <w:left w:val="none" w:sz="0" w:space="0" w:color="auto"/>
                    <w:bottom w:val="none" w:sz="0" w:space="0" w:color="auto"/>
                    <w:right w:val="none" w:sz="0" w:space="0" w:color="auto"/>
                  </w:divBdr>
                  <w:divsChild>
                    <w:div w:id="1837573810">
                      <w:marLeft w:val="0"/>
                      <w:marRight w:val="0"/>
                      <w:marTop w:val="0"/>
                      <w:marBottom w:val="0"/>
                      <w:divBdr>
                        <w:top w:val="none" w:sz="0" w:space="0" w:color="auto"/>
                        <w:left w:val="none" w:sz="0" w:space="0" w:color="auto"/>
                        <w:bottom w:val="none" w:sz="0" w:space="0" w:color="auto"/>
                        <w:right w:val="none" w:sz="0" w:space="0" w:color="auto"/>
                      </w:divBdr>
                    </w:div>
                  </w:divsChild>
                </w:div>
                <w:div w:id="862598018">
                  <w:marLeft w:val="0"/>
                  <w:marRight w:val="0"/>
                  <w:marTop w:val="0"/>
                  <w:marBottom w:val="0"/>
                  <w:divBdr>
                    <w:top w:val="none" w:sz="0" w:space="0" w:color="auto"/>
                    <w:left w:val="none" w:sz="0" w:space="0" w:color="auto"/>
                    <w:bottom w:val="none" w:sz="0" w:space="0" w:color="auto"/>
                    <w:right w:val="none" w:sz="0" w:space="0" w:color="auto"/>
                  </w:divBdr>
                  <w:divsChild>
                    <w:div w:id="781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486">
          <w:marLeft w:val="0"/>
          <w:marRight w:val="0"/>
          <w:marTop w:val="0"/>
          <w:marBottom w:val="0"/>
          <w:divBdr>
            <w:top w:val="none" w:sz="0" w:space="0" w:color="auto"/>
            <w:left w:val="none" w:sz="0" w:space="0" w:color="auto"/>
            <w:bottom w:val="none" w:sz="0" w:space="0" w:color="auto"/>
            <w:right w:val="none" w:sz="0" w:space="0" w:color="auto"/>
          </w:divBdr>
        </w:div>
        <w:div w:id="77101897">
          <w:marLeft w:val="0"/>
          <w:marRight w:val="0"/>
          <w:marTop w:val="0"/>
          <w:marBottom w:val="0"/>
          <w:divBdr>
            <w:top w:val="none" w:sz="0" w:space="0" w:color="auto"/>
            <w:left w:val="none" w:sz="0" w:space="0" w:color="auto"/>
            <w:bottom w:val="none" w:sz="0" w:space="0" w:color="auto"/>
            <w:right w:val="none" w:sz="0" w:space="0" w:color="auto"/>
          </w:divBdr>
          <w:divsChild>
            <w:div w:id="207911718">
              <w:marLeft w:val="-75"/>
              <w:marRight w:val="0"/>
              <w:marTop w:val="30"/>
              <w:marBottom w:val="30"/>
              <w:divBdr>
                <w:top w:val="none" w:sz="0" w:space="0" w:color="auto"/>
                <w:left w:val="none" w:sz="0" w:space="0" w:color="auto"/>
                <w:bottom w:val="none" w:sz="0" w:space="0" w:color="auto"/>
                <w:right w:val="none" w:sz="0" w:space="0" w:color="auto"/>
              </w:divBdr>
              <w:divsChild>
                <w:div w:id="1728456931">
                  <w:marLeft w:val="0"/>
                  <w:marRight w:val="0"/>
                  <w:marTop w:val="0"/>
                  <w:marBottom w:val="0"/>
                  <w:divBdr>
                    <w:top w:val="none" w:sz="0" w:space="0" w:color="auto"/>
                    <w:left w:val="none" w:sz="0" w:space="0" w:color="auto"/>
                    <w:bottom w:val="none" w:sz="0" w:space="0" w:color="auto"/>
                    <w:right w:val="none" w:sz="0" w:space="0" w:color="auto"/>
                  </w:divBdr>
                  <w:divsChild>
                    <w:div w:id="1334838238">
                      <w:marLeft w:val="0"/>
                      <w:marRight w:val="0"/>
                      <w:marTop w:val="0"/>
                      <w:marBottom w:val="0"/>
                      <w:divBdr>
                        <w:top w:val="none" w:sz="0" w:space="0" w:color="auto"/>
                        <w:left w:val="none" w:sz="0" w:space="0" w:color="auto"/>
                        <w:bottom w:val="none" w:sz="0" w:space="0" w:color="auto"/>
                        <w:right w:val="none" w:sz="0" w:space="0" w:color="auto"/>
                      </w:divBdr>
                    </w:div>
                  </w:divsChild>
                </w:div>
                <w:div w:id="1679229970">
                  <w:marLeft w:val="0"/>
                  <w:marRight w:val="0"/>
                  <w:marTop w:val="0"/>
                  <w:marBottom w:val="0"/>
                  <w:divBdr>
                    <w:top w:val="none" w:sz="0" w:space="0" w:color="auto"/>
                    <w:left w:val="none" w:sz="0" w:space="0" w:color="auto"/>
                    <w:bottom w:val="none" w:sz="0" w:space="0" w:color="auto"/>
                    <w:right w:val="none" w:sz="0" w:space="0" w:color="auto"/>
                  </w:divBdr>
                  <w:divsChild>
                    <w:div w:id="375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51">
          <w:marLeft w:val="0"/>
          <w:marRight w:val="0"/>
          <w:marTop w:val="0"/>
          <w:marBottom w:val="0"/>
          <w:divBdr>
            <w:top w:val="none" w:sz="0" w:space="0" w:color="auto"/>
            <w:left w:val="none" w:sz="0" w:space="0" w:color="auto"/>
            <w:bottom w:val="none" w:sz="0" w:space="0" w:color="auto"/>
            <w:right w:val="none" w:sz="0" w:space="0" w:color="auto"/>
          </w:divBdr>
        </w:div>
        <w:div w:id="241960356">
          <w:marLeft w:val="0"/>
          <w:marRight w:val="0"/>
          <w:marTop w:val="0"/>
          <w:marBottom w:val="0"/>
          <w:divBdr>
            <w:top w:val="none" w:sz="0" w:space="0" w:color="auto"/>
            <w:left w:val="none" w:sz="0" w:space="0" w:color="auto"/>
            <w:bottom w:val="none" w:sz="0" w:space="0" w:color="auto"/>
            <w:right w:val="none" w:sz="0" w:space="0" w:color="auto"/>
          </w:divBdr>
        </w:div>
        <w:div w:id="1639259846">
          <w:marLeft w:val="0"/>
          <w:marRight w:val="0"/>
          <w:marTop w:val="0"/>
          <w:marBottom w:val="0"/>
          <w:divBdr>
            <w:top w:val="none" w:sz="0" w:space="0" w:color="auto"/>
            <w:left w:val="none" w:sz="0" w:space="0" w:color="auto"/>
            <w:bottom w:val="none" w:sz="0" w:space="0" w:color="auto"/>
            <w:right w:val="none" w:sz="0" w:space="0" w:color="auto"/>
          </w:divBdr>
        </w:div>
        <w:div w:id="341977377">
          <w:marLeft w:val="0"/>
          <w:marRight w:val="0"/>
          <w:marTop w:val="0"/>
          <w:marBottom w:val="0"/>
          <w:divBdr>
            <w:top w:val="none" w:sz="0" w:space="0" w:color="auto"/>
            <w:left w:val="none" w:sz="0" w:space="0" w:color="auto"/>
            <w:bottom w:val="none" w:sz="0" w:space="0" w:color="auto"/>
            <w:right w:val="none" w:sz="0" w:space="0" w:color="auto"/>
          </w:divBdr>
        </w:div>
        <w:div w:id="1600094101">
          <w:marLeft w:val="0"/>
          <w:marRight w:val="0"/>
          <w:marTop w:val="0"/>
          <w:marBottom w:val="0"/>
          <w:divBdr>
            <w:top w:val="none" w:sz="0" w:space="0" w:color="auto"/>
            <w:left w:val="none" w:sz="0" w:space="0" w:color="auto"/>
            <w:bottom w:val="none" w:sz="0" w:space="0" w:color="auto"/>
            <w:right w:val="none" w:sz="0" w:space="0" w:color="auto"/>
          </w:divBdr>
          <w:divsChild>
            <w:div w:id="1400900001">
              <w:marLeft w:val="-75"/>
              <w:marRight w:val="0"/>
              <w:marTop w:val="30"/>
              <w:marBottom w:val="30"/>
              <w:divBdr>
                <w:top w:val="none" w:sz="0" w:space="0" w:color="auto"/>
                <w:left w:val="none" w:sz="0" w:space="0" w:color="auto"/>
                <w:bottom w:val="none" w:sz="0" w:space="0" w:color="auto"/>
                <w:right w:val="none" w:sz="0" w:space="0" w:color="auto"/>
              </w:divBdr>
              <w:divsChild>
                <w:div w:id="1091121428">
                  <w:marLeft w:val="0"/>
                  <w:marRight w:val="0"/>
                  <w:marTop w:val="0"/>
                  <w:marBottom w:val="0"/>
                  <w:divBdr>
                    <w:top w:val="none" w:sz="0" w:space="0" w:color="auto"/>
                    <w:left w:val="none" w:sz="0" w:space="0" w:color="auto"/>
                    <w:bottom w:val="none" w:sz="0" w:space="0" w:color="auto"/>
                    <w:right w:val="none" w:sz="0" w:space="0" w:color="auto"/>
                  </w:divBdr>
                  <w:divsChild>
                    <w:div w:id="2002737313">
                      <w:marLeft w:val="0"/>
                      <w:marRight w:val="0"/>
                      <w:marTop w:val="0"/>
                      <w:marBottom w:val="0"/>
                      <w:divBdr>
                        <w:top w:val="none" w:sz="0" w:space="0" w:color="auto"/>
                        <w:left w:val="none" w:sz="0" w:space="0" w:color="auto"/>
                        <w:bottom w:val="none" w:sz="0" w:space="0" w:color="auto"/>
                        <w:right w:val="none" w:sz="0" w:space="0" w:color="auto"/>
                      </w:divBdr>
                    </w:div>
                  </w:divsChild>
                </w:div>
                <w:div w:id="866672889">
                  <w:marLeft w:val="0"/>
                  <w:marRight w:val="0"/>
                  <w:marTop w:val="0"/>
                  <w:marBottom w:val="0"/>
                  <w:divBdr>
                    <w:top w:val="none" w:sz="0" w:space="0" w:color="auto"/>
                    <w:left w:val="none" w:sz="0" w:space="0" w:color="auto"/>
                    <w:bottom w:val="none" w:sz="0" w:space="0" w:color="auto"/>
                    <w:right w:val="none" w:sz="0" w:space="0" w:color="auto"/>
                  </w:divBdr>
                  <w:divsChild>
                    <w:div w:id="1971519756">
                      <w:marLeft w:val="0"/>
                      <w:marRight w:val="0"/>
                      <w:marTop w:val="0"/>
                      <w:marBottom w:val="0"/>
                      <w:divBdr>
                        <w:top w:val="none" w:sz="0" w:space="0" w:color="auto"/>
                        <w:left w:val="none" w:sz="0" w:space="0" w:color="auto"/>
                        <w:bottom w:val="none" w:sz="0" w:space="0" w:color="auto"/>
                        <w:right w:val="none" w:sz="0" w:space="0" w:color="auto"/>
                      </w:divBdr>
                    </w:div>
                  </w:divsChild>
                </w:div>
                <w:div w:id="599720890">
                  <w:marLeft w:val="0"/>
                  <w:marRight w:val="0"/>
                  <w:marTop w:val="0"/>
                  <w:marBottom w:val="0"/>
                  <w:divBdr>
                    <w:top w:val="none" w:sz="0" w:space="0" w:color="auto"/>
                    <w:left w:val="none" w:sz="0" w:space="0" w:color="auto"/>
                    <w:bottom w:val="none" w:sz="0" w:space="0" w:color="auto"/>
                    <w:right w:val="none" w:sz="0" w:space="0" w:color="auto"/>
                  </w:divBdr>
                  <w:divsChild>
                    <w:div w:id="1654063972">
                      <w:marLeft w:val="0"/>
                      <w:marRight w:val="0"/>
                      <w:marTop w:val="0"/>
                      <w:marBottom w:val="0"/>
                      <w:divBdr>
                        <w:top w:val="none" w:sz="0" w:space="0" w:color="auto"/>
                        <w:left w:val="none" w:sz="0" w:space="0" w:color="auto"/>
                        <w:bottom w:val="none" w:sz="0" w:space="0" w:color="auto"/>
                        <w:right w:val="none" w:sz="0" w:space="0" w:color="auto"/>
                      </w:divBdr>
                    </w:div>
                  </w:divsChild>
                </w:div>
                <w:div w:id="1160584331">
                  <w:marLeft w:val="0"/>
                  <w:marRight w:val="0"/>
                  <w:marTop w:val="0"/>
                  <w:marBottom w:val="0"/>
                  <w:divBdr>
                    <w:top w:val="none" w:sz="0" w:space="0" w:color="auto"/>
                    <w:left w:val="none" w:sz="0" w:space="0" w:color="auto"/>
                    <w:bottom w:val="none" w:sz="0" w:space="0" w:color="auto"/>
                    <w:right w:val="none" w:sz="0" w:space="0" w:color="auto"/>
                  </w:divBdr>
                  <w:divsChild>
                    <w:div w:id="2629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623">
          <w:marLeft w:val="0"/>
          <w:marRight w:val="0"/>
          <w:marTop w:val="0"/>
          <w:marBottom w:val="0"/>
          <w:divBdr>
            <w:top w:val="none" w:sz="0" w:space="0" w:color="auto"/>
            <w:left w:val="none" w:sz="0" w:space="0" w:color="auto"/>
            <w:bottom w:val="none" w:sz="0" w:space="0" w:color="auto"/>
            <w:right w:val="none" w:sz="0" w:space="0" w:color="auto"/>
          </w:divBdr>
        </w:div>
        <w:div w:id="1300958237">
          <w:marLeft w:val="0"/>
          <w:marRight w:val="0"/>
          <w:marTop w:val="0"/>
          <w:marBottom w:val="0"/>
          <w:divBdr>
            <w:top w:val="none" w:sz="0" w:space="0" w:color="auto"/>
            <w:left w:val="none" w:sz="0" w:space="0" w:color="auto"/>
            <w:bottom w:val="none" w:sz="0" w:space="0" w:color="auto"/>
            <w:right w:val="none" w:sz="0" w:space="0" w:color="auto"/>
          </w:divBdr>
          <w:divsChild>
            <w:div w:id="1083798021">
              <w:marLeft w:val="-75"/>
              <w:marRight w:val="0"/>
              <w:marTop w:val="30"/>
              <w:marBottom w:val="30"/>
              <w:divBdr>
                <w:top w:val="none" w:sz="0" w:space="0" w:color="auto"/>
                <w:left w:val="none" w:sz="0" w:space="0" w:color="auto"/>
                <w:bottom w:val="none" w:sz="0" w:space="0" w:color="auto"/>
                <w:right w:val="none" w:sz="0" w:space="0" w:color="auto"/>
              </w:divBdr>
              <w:divsChild>
                <w:div w:id="261913413">
                  <w:marLeft w:val="0"/>
                  <w:marRight w:val="0"/>
                  <w:marTop w:val="0"/>
                  <w:marBottom w:val="0"/>
                  <w:divBdr>
                    <w:top w:val="none" w:sz="0" w:space="0" w:color="auto"/>
                    <w:left w:val="none" w:sz="0" w:space="0" w:color="auto"/>
                    <w:bottom w:val="none" w:sz="0" w:space="0" w:color="auto"/>
                    <w:right w:val="none" w:sz="0" w:space="0" w:color="auto"/>
                  </w:divBdr>
                  <w:divsChild>
                    <w:div w:id="1152411509">
                      <w:marLeft w:val="0"/>
                      <w:marRight w:val="0"/>
                      <w:marTop w:val="0"/>
                      <w:marBottom w:val="0"/>
                      <w:divBdr>
                        <w:top w:val="none" w:sz="0" w:space="0" w:color="auto"/>
                        <w:left w:val="none" w:sz="0" w:space="0" w:color="auto"/>
                        <w:bottom w:val="none" w:sz="0" w:space="0" w:color="auto"/>
                        <w:right w:val="none" w:sz="0" w:space="0" w:color="auto"/>
                      </w:divBdr>
                    </w:div>
                  </w:divsChild>
                </w:div>
                <w:div w:id="774710644">
                  <w:marLeft w:val="0"/>
                  <w:marRight w:val="0"/>
                  <w:marTop w:val="0"/>
                  <w:marBottom w:val="0"/>
                  <w:divBdr>
                    <w:top w:val="none" w:sz="0" w:space="0" w:color="auto"/>
                    <w:left w:val="none" w:sz="0" w:space="0" w:color="auto"/>
                    <w:bottom w:val="none" w:sz="0" w:space="0" w:color="auto"/>
                    <w:right w:val="none" w:sz="0" w:space="0" w:color="auto"/>
                  </w:divBdr>
                  <w:divsChild>
                    <w:div w:id="8159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2021">
          <w:marLeft w:val="0"/>
          <w:marRight w:val="0"/>
          <w:marTop w:val="0"/>
          <w:marBottom w:val="0"/>
          <w:divBdr>
            <w:top w:val="none" w:sz="0" w:space="0" w:color="auto"/>
            <w:left w:val="none" w:sz="0" w:space="0" w:color="auto"/>
            <w:bottom w:val="none" w:sz="0" w:space="0" w:color="auto"/>
            <w:right w:val="none" w:sz="0" w:space="0" w:color="auto"/>
          </w:divBdr>
          <w:divsChild>
            <w:div w:id="306782878">
              <w:marLeft w:val="0"/>
              <w:marRight w:val="0"/>
              <w:marTop w:val="0"/>
              <w:marBottom w:val="0"/>
              <w:divBdr>
                <w:top w:val="none" w:sz="0" w:space="0" w:color="auto"/>
                <w:left w:val="none" w:sz="0" w:space="0" w:color="auto"/>
                <w:bottom w:val="none" w:sz="0" w:space="0" w:color="auto"/>
                <w:right w:val="none" w:sz="0" w:space="0" w:color="auto"/>
              </w:divBdr>
            </w:div>
            <w:div w:id="225604204">
              <w:marLeft w:val="0"/>
              <w:marRight w:val="0"/>
              <w:marTop w:val="0"/>
              <w:marBottom w:val="0"/>
              <w:divBdr>
                <w:top w:val="none" w:sz="0" w:space="0" w:color="auto"/>
                <w:left w:val="none" w:sz="0" w:space="0" w:color="auto"/>
                <w:bottom w:val="none" w:sz="0" w:space="0" w:color="auto"/>
                <w:right w:val="none" w:sz="0" w:space="0" w:color="auto"/>
              </w:divBdr>
            </w:div>
            <w:div w:id="836308734">
              <w:marLeft w:val="0"/>
              <w:marRight w:val="0"/>
              <w:marTop w:val="0"/>
              <w:marBottom w:val="0"/>
              <w:divBdr>
                <w:top w:val="none" w:sz="0" w:space="0" w:color="auto"/>
                <w:left w:val="none" w:sz="0" w:space="0" w:color="auto"/>
                <w:bottom w:val="none" w:sz="0" w:space="0" w:color="auto"/>
                <w:right w:val="none" w:sz="0" w:space="0" w:color="auto"/>
              </w:divBdr>
            </w:div>
            <w:div w:id="846529254">
              <w:marLeft w:val="0"/>
              <w:marRight w:val="0"/>
              <w:marTop w:val="0"/>
              <w:marBottom w:val="0"/>
              <w:divBdr>
                <w:top w:val="none" w:sz="0" w:space="0" w:color="auto"/>
                <w:left w:val="none" w:sz="0" w:space="0" w:color="auto"/>
                <w:bottom w:val="none" w:sz="0" w:space="0" w:color="auto"/>
                <w:right w:val="none" w:sz="0" w:space="0" w:color="auto"/>
              </w:divBdr>
            </w:div>
            <w:div w:id="948044886">
              <w:marLeft w:val="0"/>
              <w:marRight w:val="0"/>
              <w:marTop w:val="0"/>
              <w:marBottom w:val="0"/>
              <w:divBdr>
                <w:top w:val="none" w:sz="0" w:space="0" w:color="auto"/>
                <w:left w:val="none" w:sz="0" w:space="0" w:color="auto"/>
                <w:bottom w:val="none" w:sz="0" w:space="0" w:color="auto"/>
                <w:right w:val="none" w:sz="0" w:space="0" w:color="auto"/>
              </w:divBdr>
            </w:div>
            <w:div w:id="1751003382">
              <w:marLeft w:val="0"/>
              <w:marRight w:val="0"/>
              <w:marTop w:val="0"/>
              <w:marBottom w:val="0"/>
              <w:divBdr>
                <w:top w:val="none" w:sz="0" w:space="0" w:color="auto"/>
                <w:left w:val="none" w:sz="0" w:space="0" w:color="auto"/>
                <w:bottom w:val="none" w:sz="0" w:space="0" w:color="auto"/>
                <w:right w:val="none" w:sz="0" w:space="0" w:color="auto"/>
              </w:divBdr>
            </w:div>
            <w:div w:id="1821388102">
              <w:marLeft w:val="0"/>
              <w:marRight w:val="0"/>
              <w:marTop w:val="0"/>
              <w:marBottom w:val="0"/>
              <w:divBdr>
                <w:top w:val="none" w:sz="0" w:space="0" w:color="auto"/>
                <w:left w:val="none" w:sz="0" w:space="0" w:color="auto"/>
                <w:bottom w:val="none" w:sz="0" w:space="0" w:color="auto"/>
                <w:right w:val="none" w:sz="0" w:space="0" w:color="auto"/>
              </w:divBdr>
            </w:div>
            <w:div w:id="1496149060">
              <w:marLeft w:val="0"/>
              <w:marRight w:val="0"/>
              <w:marTop w:val="0"/>
              <w:marBottom w:val="0"/>
              <w:divBdr>
                <w:top w:val="none" w:sz="0" w:space="0" w:color="auto"/>
                <w:left w:val="none" w:sz="0" w:space="0" w:color="auto"/>
                <w:bottom w:val="none" w:sz="0" w:space="0" w:color="auto"/>
                <w:right w:val="none" w:sz="0" w:space="0" w:color="auto"/>
              </w:divBdr>
            </w:div>
            <w:div w:id="67003743">
              <w:marLeft w:val="0"/>
              <w:marRight w:val="0"/>
              <w:marTop w:val="0"/>
              <w:marBottom w:val="0"/>
              <w:divBdr>
                <w:top w:val="none" w:sz="0" w:space="0" w:color="auto"/>
                <w:left w:val="none" w:sz="0" w:space="0" w:color="auto"/>
                <w:bottom w:val="none" w:sz="0" w:space="0" w:color="auto"/>
                <w:right w:val="none" w:sz="0" w:space="0" w:color="auto"/>
              </w:divBdr>
            </w:div>
            <w:div w:id="579826640">
              <w:marLeft w:val="0"/>
              <w:marRight w:val="0"/>
              <w:marTop w:val="0"/>
              <w:marBottom w:val="0"/>
              <w:divBdr>
                <w:top w:val="none" w:sz="0" w:space="0" w:color="auto"/>
                <w:left w:val="none" w:sz="0" w:space="0" w:color="auto"/>
                <w:bottom w:val="none" w:sz="0" w:space="0" w:color="auto"/>
                <w:right w:val="none" w:sz="0" w:space="0" w:color="auto"/>
              </w:divBdr>
            </w:div>
            <w:div w:id="1611626738">
              <w:marLeft w:val="0"/>
              <w:marRight w:val="0"/>
              <w:marTop w:val="0"/>
              <w:marBottom w:val="0"/>
              <w:divBdr>
                <w:top w:val="none" w:sz="0" w:space="0" w:color="auto"/>
                <w:left w:val="none" w:sz="0" w:space="0" w:color="auto"/>
                <w:bottom w:val="none" w:sz="0" w:space="0" w:color="auto"/>
                <w:right w:val="none" w:sz="0" w:space="0" w:color="auto"/>
              </w:divBdr>
            </w:div>
            <w:div w:id="89785285">
              <w:marLeft w:val="0"/>
              <w:marRight w:val="0"/>
              <w:marTop w:val="0"/>
              <w:marBottom w:val="0"/>
              <w:divBdr>
                <w:top w:val="none" w:sz="0" w:space="0" w:color="auto"/>
                <w:left w:val="none" w:sz="0" w:space="0" w:color="auto"/>
                <w:bottom w:val="none" w:sz="0" w:space="0" w:color="auto"/>
                <w:right w:val="none" w:sz="0" w:space="0" w:color="auto"/>
              </w:divBdr>
            </w:div>
            <w:div w:id="728381547">
              <w:marLeft w:val="0"/>
              <w:marRight w:val="0"/>
              <w:marTop w:val="0"/>
              <w:marBottom w:val="0"/>
              <w:divBdr>
                <w:top w:val="none" w:sz="0" w:space="0" w:color="auto"/>
                <w:left w:val="none" w:sz="0" w:space="0" w:color="auto"/>
                <w:bottom w:val="none" w:sz="0" w:space="0" w:color="auto"/>
                <w:right w:val="none" w:sz="0" w:space="0" w:color="auto"/>
              </w:divBdr>
            </w:div>
            <w:div w:id="2075007407">
              <w:marLeft w:val="0"/>
              <w:marRight w:val="0"/>
              <w:marTop w:val="0"/>
              <w:marBottom w:val="0"/>
              <w:divBdr>
                <w:top w:val="none" w:sz="0" w:space="0" w:color="auto"/>
                <w:left w:val="none" w:sz="0" w:space="0" w:color="auto"/>
                <w:bottom w:val="none" w:sz="0" w:space="0" w:color="auto"/>
                <w:right w:val="none" w:sz="0" w:space="0" w:color="auto"/>
              </w:divBdr>
            </w:div>
            <w:div w:id="1309506821">
              <w:marLeft w:val="0"/>
              <w:marRight w:val="0"/>
              <w:marTop w:val="0"/>
              <w:marBottom w:val="0"/>
              <w:divBdr>
                <w:top w:val="none" w:sz="0" w:space="0" w:color="auto"/>
                <w:left w:val="none" w:sz="0" w:space="0" w:color="auto"/>
                <w:bottom w:val="none" w:sz="0" w:space="0" w:color="auto"/>
                <w:right w:val="none" w:sz="0" w:space="0" w:color="auto"/>
              </w:divBdr>
            </w:div>
            <w:div w:id="1317487884">
              <w:marLeft w:val="0"/>
              <w:marRight w:val="0"/>
              <w:marTop w:val="0"/>
              <w:marBottom w:val="0"/>
              <w:divBdr>
                <w:top w:val="none" w:sz="0" w:space="0" w:color="auto"/>
                <w:left w:val="none" w:sz="0" w:space="0" w:color="auto"/>
                <w:bottom w:val="none" w:sz="0" w:space="0" w:color="auto"/>
                <w:right w:val="none" w:sz="0" w:space="0" w:color="auto"/>
              </w:divBdr>
            </w:div>
            <w:div w:id="20196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62">
      <w:bodyDiv w:val="1"/>
      <w:marLeft w:val="0"/>
      <w:marRight w:val="0"/>
      <w:marTop w:val="0"/>
      <w:marBottom w:val="0"/>
      <w:divBdr>
        <w:top w:val="none" w:sz="0" w:space="0" w:color="auto"/>
        <w:left w:val="none" w:sz="0" w:space="0" w:color="auto"/>
        <w:bottom w:val="none" w:sz="0" w:space="0" w:color="auto"/>
        <w:right w:val="none" w:sz="0" w:space="0" w:color="auto"/>
      </w:divBdr>
    </w:div>
    <w:div w:id="436950852">
      <w:bodyDiv w:val="1"/>
      <w:marLeft w:val="0"/>
      <w:marRight w:val="0"/>
      <w:marTop w:val="0"/>
      <w:marBottom w:val="0"/>
      <w:divBdr>
        <w:top w:val="none" w:sz="0" w:space="0" w:color="auto"/>
        <w:left w:val="none" w:sz="0" w:space="0" w:color="auto"/>
        <w:bottom w:val="none" w:sz="0" w:space="0" w:color="auto"/>
        <w:right w:val="none" w:sz="0" w:space="0" w:color="auto"/>
      </w:divBdr>
      <w:divsChild>
        <w:div w:id="1219440805">
          <w:marLeft w:val="0"/>
          <w:marRight w:val="0"/>
          <w:marTop w:val="0"/>
          <w:marBottom w:val="0"/>
          <w:divBdr>
            <w:top w:val="none" w:sz="0" w:space="0" w:color="auto"/>
            <w:left w:val="none" w:sz="0" w:space="0" w:color="auto"/>
            <w:bottom w:val="none" w:sz="0" w:space="0" w:color="auto"/>
            <w:right w:val="none" w:sz="0" w:space="0" w:color="auto"/>
          </w:divBdr>
        </w:div>
        <w:div w:id="944188944">
          <w:marLeft w:val="0"/>
          <w:marRight w:val="0"/>
          <w:marTop w:val="0"/>
          <w:marBottom w:val="0"/>
          <w:divBdr>
            <w:top w:val="none" w:sz="0" w:space="0" w:color="auto"/>
            <w:left w:val="none" w:sz="0" w:space="0" w:color="auto"/>
            <w:bottom w:val="none" w:sz="0" w:space="0" w:color="auto"/>
            <w:right w:val="none" w:sz="0" w:space="0" w:color="auto"/>
          </w:divBdr>
        </w:div>
        <w:div w:id="796874719">
          <w:marLeft w:val="0"/>
          <w:marRight w:val="0"/>
          <w:marTop w:val="0"/>
          <w:marBottom w:val="0"/>
          <w:divBdr>
            <w:top w:val="none" w:sz="0" w:space="0" w:color="auto"/>
            <w:left w:val="none" w:sz="0" w:space="0" w:color="auto"/>
            <w:bottom w:val="none" w:sz="0" w:space="0" w:color="auto"/>
            <w:right w:val="none" w:sz="0" w:space="0" w:color="auto"/>
          </w:divBdr>
        </w:div>
        <w:div w:id="683095631">
          <w:marLeft w:val="0"/>
          <w:marRight w:val="0"/>
          <w:marTop w:val="0"/>
          <w:marBottom w:val="0"/>
          <w:divBdr>
            <w:top w:val="none" w:sz="0" w:space="0" w:color="auto"/>
            <w:left w:val="none" w:sz="0" w:space="0" w:color="auto"/>
            <w:bottom w:val="none" w:sz="0" w:space="0" w:color="auto"/>
            <w:right w:val="none" w:sz="0" w:space="0" w:color="auto"/>
          </w:divBdr>
        </w:div>
      </w:divsChild>
    </w:div>
    <w:div w:id="47233404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21010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rcabc.europa.eu/ui/group/7fc51410-46a1-4871-8979-20cce8df0896/library/777b1ecb-e7ce-4774-a92c-53f81e64ce76/details?open=tru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o.ristori@eesc.europa.eu"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gs.un.org/goal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RO/TXT/PDF/?uri=CELEX:52026DC0082" TargetMode="External"/><Relationship Id="rId1" Type="http://schemas.openxmlformats.org/officeDocument/2006/relationships/hyperlink" Target="https://eur-lex.europa.eu/eli/treaty/teu_2012/art_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VP3JK3XSEPRV-2087481956-9473</_dlc_DocId>
    <_dlc_DocIdUrl xmlns="7d640e6d-779c-472f-a269-6b546787f1c9">
      <Url>http://dm/eesc/2026/_layouts/15/DocIdRedir.aspx?ID=VP3JK3XSEPRV-2087481956-9473</Url>
      <Description>VP3JK3XSEPRV-2087481956-9473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2026-05-28T12:00:00+00:00</ProductionDate>
    <DocumentNumber xmlns="a95533f8-59af-4217-bc7a-c1167744adb0">590</DocumentNumber>
    <FicheYear xmlns="7d640e6d-779c-472f-a269-6b546787f1c9" xsi:nil="true"/>
    <DossierNumber xmlns="7d640e6d-779c-472f-a269-6b546787f1c9">614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43</Value>
      <Value>74</Value>
      <Value>66</Value>
      <Value>60</Value>
      <Value>59</Value>
      <Value>55</Value>
      <Value>53</Value>
      <Value>51</Value>
      <Value>46</Value>
      <Value>45</Value>
      <Value>44</Value>
      <Value>132</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7d640e6d-779c-472f-a269-6b546787f1c9">ANGELOVA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303581</FicheNumber>
    <OriginalSender xmlns="7d640e6d-779c-472f-a269-6b546787f1c9">
      <UserInfo>
        <DisplayName>Greff Daniela</DisplayName>
        <AccountId>1395</AccountId>
        <AccountType/>
      </UserInfo>
    </OriginalSender>
    <DocumentPart xmlns="7d640e6d-779c-472f-a269-6b546787f1c9">0</DocumentPart>
    <AdoptionDate xmlns="7d640e6d-779c-472f-a269-6b546787f1c9" xsi:nil="true"/>
    <RequestingService xmlns="7d640e6d-779c-472f-a269-6b546787f1c9">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7d640e6d-779c-472f-a269-6b546787f1c9">0</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35C655-CAC8-421C-9C1F-C0D2A79653D9}">
  <ds:schemaRefs>
    <ds:schemaRef ds:uri="http://schemas.microsoft.com/sharepoint/v3/contenttype/forms"/>
  </ds:schemaRefs>
</ds:datastoreItem>
</file>

<file path=customXml/itemProps2.xml><?xml version="1.0" encoding="utf-8"?>
<ds:datastoreItem xmlns:ds="http://schemas.openxmlformats.org/officeDocument/2006/customXml" ds:itemID="{930D8A53-29EB-4474-875F-557B59C19D70}">
  <ds:schemaRefs>
    <ds:schemaRef ds:uri="http://schemas.microsoft.com/office/2006/metadata/properties"/>
    <ds:schemaRef ds:uri="http://schemas.microsoft.com/office/infopath/2007/PartnerControls"/>
    <ds:schemaRef ds:uri="139408b5-cd95-41a2-b442-2b289d59f97f"/>
    <ds:schemaRef ds:uri="c7a06915-057a-4af1-abb7-a9083d05536c"/>
  </ds:schemaRefs>
</ds:datastoreItem>
</file>

<file path=customXml/itemProps3.xml><?xml version="1.0" encoding="utf-8"?>
<ds:datastoreItem xmlns:ds="http://schemas.openxmlformats.org/officeDocument/2006/customXml" ds:itemID="{660EA20F-C572-49FD-85E1-F4B5A0CE4F5A}"/>
</file>

<file path=customXml/itemProps4.xml><?xml version="1.0" encoding="utf-8"?>
<ds:datastoreItem xmlns:ds="http://schemas.openxmlformats.org/officeDocument/2006/customXml" ds:itemID="{26C90144-BA35-483A-BD54-06B8947C91D2}"/>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3725</Words>
  <Characters>22860</Characters>
  <Application>Microsoft Office Word</Application>
  <DocSecurity>0</DocSecurity>
  <Lines>190</Lines>
  <Paragraphs>53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Strengthening EU economic security</vt:lpstr>
      <vt:lpstr>Strengthening EU economic security</vt:lpstr>
    </vt:vector>
  </TitlesOfParts>
  <Manager/>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Consolidarea securității economice a UE</dc:title>
  <dc:subject>Draft opinion</dc:subject>
  <dc:creator/>
  <cp:keywords>EESC-2026-00590-00-00-PA-TRA-EN</cp:keywords>
  <dc:description>Rapporteur: - ANGELOVA Original language: - EN Date of document: - 05/05/2026 Date of meeting: - 22/05/2026 External documents: - JOIN(2025)977- final Administrator responsible: -  RISTORI MARCO</dc:description>
  <cp:lastModifiedBy/>
  <cp:revision>3</cp:revision>
  <cp:lastPrinted>2016-01-26T08:31:00Z</cp:lastPrinted>
  <dcterms:created xsi:type="dcterms:W3CDTF">2026-05-28T14:56:00Z</dcterms:created>
  <dcterms:modified xsi:type="dcterms:W3CDTF">2026-05-28T15:01:00Z</dcterms:modified>
  <cp:category>REX/614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26/05/2026, 05/05/2026, 01/04/2026, 03/03/2026, 02/03/2026, 20/12/2023, 17/05/2022, 04/11/2015, 27/10/2015, 19/10/2015, 09/10/2015, 05/10/2015, 05/10/2015, 26/08/2015, 26/08/2015, 25/08/2015</vt:lpwstr>
  </property>
  <property fmtid="{D5CDD505-2E9C-101B-9397-08002B2CF9AE}" pid="4" name="Pref_Time">
    <vt:lpwstr>15:46:08, 12:14:36, 07:49:10, 11:52:57, 14:57:16, 07:02:01, 13:02:32, 12/10/07, 14:44:02, 16/04/16, 14:09:30, 16:24:55, 16:04:02, 08:56:14, 07:27:56, 17:31:53</vt:lpwstr>
  </property>
  <property fmtid="{D5CDD505-2E9C-101B-9397-08002B2CF9AE}" pid="5" name="Pref_User">
    <vt:lpwstr>jhvi, jhvi, amett, jhvi, amett, enied, enied, ssex, enied, amett, tvoc, mreg, mreg, amett, enied, ssex</vt:lpwstr>
  </property>
  <property fmtid="{D5CDD505-2E9C-101B-9397-08002B2CF9AE}" pid="6" name="Pref_FileName">
    <vt:lpwstr>EESC-2026-00590-00-00-AS-TRA-EN-CRR.docx, EESC-2026-00590-00-00-PA-ORI.docx, EESC-2026-00590-00-00-APA-TRA-EN-CRR.docx, EESC-2026-00590-00-01-DT-ORI.docx, EESC-2026-00590-00-00-DT-ORI.docx, APA-EN_Legislative IT.docx, COR-EESC-2022-02587-00-00-ADMIN-ORI.d</vt:lpwstr>
  </property>
  <property fmtid="{D5CDD505-2E9C-101B-9397-08002B2CF9AE}" pid="7" name="ContentTypeId">
    <vt:lpwstr>0x010100EA97B91038054C99906057A708A1480A0042CFDF3EA65A64469BBC042F89C9AB74</vt:lpwstr>
  </property>
  <property fmtid="{D5CDD505-2E9C-101B-9397-08002B2CF9AE}" pid="8" name="_dlc_DocIdItemGuid">
    <vt:lpwstr>7b41c20d-35ae-482e-bae2-97988766e63c</vt:lpwstr>
  </property>
  <property fmtid="{D5CDD505-2E9C-101B-9397-08002B2CF9AE}" pid="9" name="AvailableTranslations">
    <vt:lpwstr>60;#EL|6d4f4d51-af9b-4650-94b4-4276bee85c91;#34;#HR|2f555653-ed1a-4fe6-8362-9082d95989e5;#32;#PL|1e03da61-4678-4e07-b136-b5024ca9197b;#66;#GA|762d2456-c427-4ecb-b312-af3dad8e258c;#44;#LT|a7ff5ce7-6123-4f68-865a-a57c31810414;#25;#FI|87606a43-d45f-42d6-b8c9-e1a3457db5b7;#4;#EN|f2175f21-25d7-44a3-96da-d6a61b075e1b;#53;#MT|7df99101-6854-4a26-b53a-b88c0da02c26;#37;#HU|6b229040-c589-4408-b4c1-4285663d20a8;#46;#DA|5d49c027-8956-412b-aa16-e85a0f96ad0e;#28;#PT|50ccc04a-eadd-42ae-a0cb-acaf45f812ba;#31;#SL|98a412ae-eb01-49e9-ae3d-585a81724cfc;#27;#ET|ff6c3f4c-b02c-4c3c-ab07-2c37995a7a0a;#29;#CS|72f9705b-0217-4fd3-bea2-cbc7ed80e26e;#23;#FR|d2afafd3-4c81-4f60-8f52-ee33f2f54ff3;#45;#SV|c2ed69e7-a339-43d7-8f22-d93680a92aa0;#55;#RO|feb747a2-64cd-4299-af12-4833ddc30497;#13;#IT|0774613c-01ed-4e5d-a25d-11d2388de825;#51;#LV|46f7e311-5d9f-4663-b433-18aeccb7ace7;#11;#DE|f6b31e5a-26fa-4935-b661-318e46daf27e;#36;#NL|55c6556c-b4f4-441d-9acf-c498d4f838bd;#30;#SK|46d9fce0-ef79-4f71-b89b-cd6aa82426b8;#12;#ES|e7a6b05b-ae16-40c8-add9-68b64b03aeba;#43;#BG|1a1b3951-7821-4e6a-85f5-5673fc08bd2c</vt:lpwstr>
  </property>
  <property fmtid="{D5CDD505-2E9C-101B-9397-08002B2CF9AE}" pid="10" name="DocumentType_0">
    <vt:lpwstr>AS|c7a748eb-f6f2-4d9d-8b5a-af0cafebc224</vt:lpwstr>
  </property>
  <property fmtid="{D5CDD505-2E9C-101B-9397-08002B2CF9AE}" pid="11" name="MeetingNumber">
    <vt:i4>606</vt:i4>
  </property>
  <property fmtid="{D5CDD505-2E9C-101B-9397-08002B2CF9AE}" pid="12" name="DossierName_0">
    <vt:lpwstr>REX|6820eaf5-116e-436b-ad9c-156f8a94c2a1</vt:lpwstr>
  </property>
  <property fmtid="{D5CDD505-2E9C-101B-9397-08002B2CF9AE}" pid="13" name="DocumentSource_0">
    <vt:lpwstr>EESC|422833ec-8d7e-4e65-8e4e-8bed07ffb729</vt:lpwstr>
  </property>
  <property fmtid="{D5CDD505-2E9C-101B-9397-08002B2CF9AE}" pid="14" name="DocumentNumber">
    <vt:i4>590</vt:i4>
  </property>
  <property fmtid="{D5CDD505-2E9C-101B-9397-08002B2CF9AE}" pid="15" name="FicheYear">
    <vt:i4>2026</vt:i4>
  </property>
  <property fmtid="{D5CDD505-2E9C-101B-9397-08002B2CF9AE}" pid="16" name="DocumentVersion">
    <vt:i4>0</vt:i4>
  </property>
  <property fmtid="{D5CDD505-2E9C-101B-9397-08002B2CF9AE}" pid="17" name="DossierNumber">
    <vt:i4>614</vt:i4>
  </property>
  <property fmtid="{D5CDD505-2E9C-101B-9397-08002B2CF9AE}" pid="18" name="DocumentStatus">
    <vt:lpwstr>9;#TRA|150d2a88-1431-44e6-a8ca-0bb753ab8672</vt:lpwstr>
  </property>
  <property fmtid="{D5CDD505-2E9C-101B-9397-08002B2CF9AE}" pid="19" name="DossierName">
    <vt:lpwstr>74;#REX|6820eaf5-116e-436b-ad9c-156f8a94c2a1</vt:lpwstr>
  </property>
  <property fmtid="{D5CDD505-2E9C-101B-9397-08002B2CF9AE}" pid="20" name="RequestingService">
    <vt:lpwstr>Relations extérieures</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EL|6d4f4d51-af9b-4650-94b4-4276bee85c91;HR|2f555653-ed1a-4fe6-8362-9082d95989e5;PL|1e03da61-4678-4e07-b136-b5024ca9197b;GA|762d2456-c427-4ecb-b312-af3dad8e258c;LT|a7ff5ce7-6123-4f68-865a-a57c31810414;FI|87606a43-d45f-42d6-b8c9-e1a3457db5b7;EN|f2175f21-25d7-44a3-96da-d6a61b075e1b;MT|7df99101-6854-4a26-b53a-b88c0da02c26;HU|6b229040-c589-4408-b4c1-4285663d20a8;DA|5d49c027-8956-412b-aa16-e85a0f96ad0e;PT|50ccc04a-eadd-42ae-a0cb-acaf45f812ba;SL|98a412ae-eb01-49e9-ae3d-585a81724cfc;ET|ff6c3f4c-b02c-4c3c-ab07-2c37995a7a0a;CS|72f9705b-0217-4fd3-bea2-cbc7ed80e26e;FR|d2afafd3-4c81-4f60-8f52-ee33f2f54ff3;SV|c2ed69e7-a339-43d7-8f22-d93680a92aa0;IT|0774613c-01ed-4e5d-a25d-11d2388de825;LV|46f7e311-5d9f-4663-b433-18aeccb7ace7;DE|f6b31e5a-26fa-4935-b661-318e46daf27e;NL|55c6556c-b4f4-441d-9acf-c498d4f838bd;SK|46d9fce0-ef79-4f71-b89b-cd6aa82426b8;ES|e7a6b05b-ae16-40c8-add9-68b64b03aeba;BG|1a1b3951-7821-4e6a-85f5-5673fc08bd2c</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43;#BG|1a1b3951-7821-4e6a-85f5-5673fc08bd2c;#74;#REX|6820eaf5-116e-436b-ad9c-156f8a94c2a1;#66;#GA|762d2456-c427-4ecb-b312-af3dad8e258c;#60;#EL|6d4f4d51-af9b-4650-94b4-4276bee85c91;#59;#SPL-CES|32d8cb1f-c9ec-4365-95c7-8385a18618ac;#53;#MT|7df99101-6854-4a26-b53a-b88c0da02c26;#51;#LV|46f7e311-5d9f-4663-b433-18aeccb7ace7;#46;#DA|5d49c027-8956-412b-aa16-e85a0f96ad0e;#45;#SV|c2ed69e7-a339-43d7-8f22-d93680a92aa0;#44;#LT|a7ff5ce7-6123-4f68-865a-a57c31810414;#132;#AS|c7a748eb-f6f2-4d9d-8b5a-af0cafebc224;#37;#HU|6b229040-c589-4408-b4c1-4285663d20a8;#36;#NL|55c6556c-b4f4-441d-9acf-c498d4f838bd;#34;#HR|2f555653-ed1a-4fe6-8362-9082d95989e5;#32;#PL|1e03da61-4678-4e07-b136-b5024ca9197b;#31;#SL|98a412ae-eb01-49e9-ae3d-585a81724cfc;#30;#SK|46d9fce0-ef79-4f71-b89b-cd6aa82426b8;#29;#CS|72f9705b-0217-4fd3-bea2-cbc7ed80e26e;#28;#PT|50ccc04a-eadd-42ae-a0cb-acaf45f812ba;#27;#ET|ff6c3f4c-b02c-4c3c-ab07-2c37995a7a0a;#25;#FI|87606a43-d45f-42d6-b8c9-e1a3457db5b7;#23;#FR|d2afafd3-4c81-4f60-8f52-ee33f2f54ff3;#19;#Unrestricted|826e22d7-d029-4ec0-a450-0c28ff673572;#13;#IT|0774613c-01ed-4e5d-a25d-11d2388de825;#12;#ES|e7a6b05b-ae16-40c8-add9-68b64b03aeba;#11;#DE|f6b31e5a-26fa-4935-b661-318e46daf27e;#9;#TRA|150d2a88-1431-44e6-a8ca-0bb753ab8672;#7;#Final|ea5e6674-7b27-4bac-b091-73adbb394efe;#4;#EN|f2175f21-25d7-44a3-96da-d6a61b075e1b;#1;#EESC|422833ec-8d7e-4e65-8e4e-8bed07ffb729</vt:lpwstr>
  </property>
  <property fmtid="{D5CDD505-2E9C-101B-9397-08002B2CF9AE}" pid="31" name="Rapporteur">
    <vt:lpwstr>ANGELOVA</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2026</vt:i4>
  </property>
  <property fmtid="{D5CDD505-2E9C-101B-9397-08002B2CF9AE}" pid="35" name="FicheNumber">
    <vt:i4>303581</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132;#AS|c7a748eb-f6f2-4d9d-8b5a-af0cafebc224</vt:lpwstr>
  </property>
  <property fmtid="{D5CDD505-2E9C-101B-9397-08002B2CF9AE}" pid="39" name="DocumentLanguage">
    <vt:lpwstr>55;#RO|feb747a2-64cd-4299-af12-4833ddc30497</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