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229C9" w14:textId="68286584" w:rsidR="008F6573" w:rsidRDefault="00F179B4" w:rsidP="00953DA1">
      <w:pPr>
        <w:overflowPunct/>
        <w:adjustRightInd/>
        <w:jc w:val="center"/>
        <w:textAlignment w:val="auto"/>
        <w:rPr>
          <w:szCs w:val="22"/>
        </w:rPr>
      </w:pPr>
      <w:r>
        <w:rPr>
          <w:noProof/>
        </w:rPr>
        <w:drawing>
          <wp:inline distT="0" distB="0" distL="0" distR="0" wp14:anchorId="75EDB901" wp14:editId="2E861034">
            <wp:extent cx="1792605" cy="1239520"/>
            <wp:effectExtent l="0" t="0" r="0" b="0"/>
            <wp:docPr id="1" name="Picture 1" title="EESCLogo_RO"/>
            <wp:cNvGraphicFramePr/>
            <a:graphic xmlns:a="http://schemas.openxmlformats.org/drawingml/2006/main">
              <a:graphicData uri="http://schemas.openxmlformats.org/drawingml/2006/picture">
                <pic:pic xmlns:pic="http://schemas.openxmlformats.org/drawingml/2006/picture">
                  <pic:nvPicPr>
                    <pic:cNvPr id="1" name="Picture 1" title="EESCLogo_RO"/>
                    <pic:cNvPicPr/>
                  </pic:nvPicPr>
                  <pic:blipFill>
                    <a:blip r:embed="rId11"/>
                    <a:stretch>
                      <a:fillRect/>
                    </a:stretch>
                  </pic:blipFill>
                  <pic:spPr>
                    <a:xfrm>
                      <a:off x="0" y="0"/>
                      <a:ext cx="1792605" cy="1239520"/>
                    </a:xfrm>
                    <a:prstGeom prst="rect">
                      <a:avLst/>
                    </a:prstGeom>
                  </pic:spPr>
                </pic:pic>
              </a:graphicData>
            </a:graphic>
          </wp:inline>
        </w:drawing>
      </w:r>
      <w:r w:rsidR="004F0FC3">
        <w:rPr>
          <w:noProof/>
        </w:rPr>
        <mc:AlternateContent>
          <mc:Choice Requires="wps">
            <w:drawing>
              <wp:anchor distT="0" distB="0" distL="114300" distR="114300" simplePos="0" relativeHeight="251662336" behindDoc="1" locked="0" layoutInCell="0" allowOverlap="1" wp14:anchorId="572791BF" wp14:editId="70CB75DB">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7E995" w14:textId="77777777" w:rsidR="008F6573" w:rsidRDefault="004F0FC3">
                            <w:pPr>
                              <w:jc w:val="center"/>
                              <w:rPr>
                                <w:rFonts w:ascii="Arial" w:hAnsi="Arial" w:cs="Arial"/>
                                <w:b/>
                                <w:bCs/>
                                <w:sz w:val="48"/>
                              </w:rPr>
                            </w:pPr>
                            <w:r>
                              <w:rPr>
                                <w:rFonts w:ascii="Arial" w:hAnsi="Arial"/>
                                <w:b/>
                                <w:sz w:val="48"/>
                              </w:rPr>
                              <w:t>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2791BF"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" o:allowincell="f" filled="f" stroked="f">
                <v:textbox>
                  <w:txbxContent>
                    <w:p w14:paraId="3F07E995" w14:textId="77777777" w:rsidR="008F6573" w:rsidRDefault="004F0FC3">
                      <w:pPr>
                        <w:jc w:val="center"/>
                        <w:rPr>
                          <w:rFonts w:ascii="Arial" w:hAnsi="Arial" w:cs="Arial"/>
                          <w:b/>
                          <w:bCs/>
                          <w:sz w:val="48"/>
                        </w:rPr>
                      </w:pPr>
                      <w:r>
                        <w:rPr>
                          <w:rFonts w:ascii="Arial" w:hAnsi="Arial"/>
                          <w:b/>
                          <w:sz w:val="48"/>
                        </w:rPr>
                        <w:t>RO</w:t>
                      </w:r>
                    </w:p>
                  </w:txbxContent>
                </v:textbox>
                <w10:wrap anchorx="page" anchory="page"/>
              </v:shape>
            </w:pict>
          </mc:Fallback>
        </mc:AlternateContent>
      </w:r>
    </w:p>
    <w:p w14:paraId="058B9A77" w14:textId="77777777" w:rsidR="008F6573" w:rsidRDefault="008F6573" w:rsidP="00953DA1">
      <w:pPr>
        <w:overflowPunct/>
        <w:adjustRightInd/>
        <w:jc w:val="left"/>
        <w:textAlignment w:val="auto"/>
        <w:rPr>
          <w:szCs w:val="22"/>
        </w:rPr>
      </w:pPr>
    </w:p>
    <w:p w14:paraId="6E5229CA" w14:textId="393795EB" w:rsidR="008F6573" w:rsidRDefault="004F0FC3" w:rsidP="00953DA1">
      <w:pPr>
        <w:overflowPunct/>
        <w:adjustRightInd/>
        <w:jc w:val="right"/>
        <w:textAlignment w:val="auto"/>
        <w:rPr>
          <w:szCs w:val="22"/>
        </w:rPr>
      </w:pPr>
      <w:r>
        <w:rPr>
          <w:b/>
        </w:rPr>
        <w:t>TEN/879</w:t>
      </w:r>
    </w:p>
    <w:p w14:paraId="6E5229CB" w14:textId="35853086" w:rsidR="008F6573" w:rsidRDefault="004F0FC3" w:rsidP="00953DA1">
      <w:pPr>
        <w:overflowPunct/>
        <w:adjustRightInd/>
        <w:jc w:val="right"/>
        <w:textAlignment w:val="auto"/>
        <w:rPr>
          <w:szCs w:val="22"/>
        </w:rPr>
      </w:pPr>
      <w:r>
        <w:rPr>
          <w:b/>
        </w:rPr>
        <w:t>Actul legislativ privind rețelele digitale</w:t>
      </w:r>
    </w:p>
    <w:p w14:paraId="6E5229CC" w14:textId="77777777" w:rsidR="008F6573" w:rsidRDefault="008F6573" w:rsidP="00953DA1">
      <w:pPr>
        <w:overflowPunct/>
        <w:adjustRightInd/>
        <w:textAlignment w:val="auto"/>
        <w:rPr>
          <w:szCs w:val="22"/>
        </w:rPr>
      </w:pPr>
    </w:p>
    <w:p w14:paraId="6E5229CD" w14:textId="77777777" w:rsidR="008F6573" w:rsidRDefault="008F6573" w:rsidP="00953DA1">
      <w:pPr>
        <w:overflowPunct/>
        <w:adjustRightInd/>
        <w:textAlignment w:val="auto"/>
        <w:rPr>
          <w:szCs w:val="22"/>
        </w:rPr>
      </w:pPr>
    </w:p>
    <w:p w14:paraId="14C229D4" w14:textId="47962508" w:rsidR="008F6573" w:rsidRPr="00953DA1" w:rsidRDefault="004F0FC3" w:rsidP="00953DA1">
      <w:pPr>
        <w:overflowPunct/>
        <w:adjustRightInd/>
        <w:jc w:val="center"/>
        <w:textAlignment w:val="auto"/>
        <w:rPr>
          <w:b/>
          <w:bCs/>
          <w:sz w:val="28"/>
          <w:szCs w:val="28"/>
        </w:rPr>
      </w:pPr>
      <w:r>
        <w:rPr>
          <w:b/>
          <w:sz w:val="28"/>
        </w:rPr>
        <w:t>AVIZ</w:t>
      </w:r>
    </w:p>
    <w:p w14:paraId="38473EEC" w14:textId="77777777" w:rsidR="008F6573" w:rsidRDefault="008F6573" w:rsidP="00953DA1">
      <w:pPr>
        <w:overflowPunct/>
        <w:adjustRightInd/>
        <w:jc w:val="center"/>
        <w:textAlignment w:val="auto"/>
        <w:rPr>
          <w:szCs w:val="22"/>
        </w:rPr>
      </w:pPr>
    </w:p>
    <w:p w14:paraId="7C7E984F" w14:textId="4640D800" w:rsidR="008F6573" w:rsidRDefault="004F0FC3" w:rsidP="00953DA1">
      <w:pPr>
        <w:overflowPunct/>
        <w:adjustRightInd/>
        <w:jc w:val="center"/>
        <w:textAlignment w:val="auto"/>
        <w:rPr>
          <w:szCs w:val="22"/>
        </w:rPr>
      </w:pPr>
      <w:r>
        <w:t>Secțiunea pentru transporturi, energie, infrastructură și societatea informațională</w:t>
      </w:r>
    </w:p>
    <w:p w14:paraId="78F40018" w14:textId="77777777" w:rsidR="008F6573" w:rsidRDefault="008F6573" w:rsidP="00953DA1">
      <w:pPr>
        <w:overflowPunct/>
        <w:adjustRightInd/>
        <w:jc w:val="center"/>
        <w:textAlignment w:val="auto"/>
        <w:rPr>
          <w:szCs w:val="22"/>
        </w:rPr>
      </w:pPr>
    </w:p>
    <w:p w14:paraId="11068861" w14:textId="5EA49AE3" w:rsidR="008F6573" w:rsidRDefault="004F0FC3" w:rsidP="00953DA1">
      <w:pPr>
        <w:overflowPunct/>
        <w:adjustRightInd/>
        <w:jc w:val="center"/>
        <w:textAlignment w:val="auto"/>
        <w:rPr>
          <w:b/>
          <w:bCs/>
          <w:szCs w:val="22"/>
        </w:rPr>
      </w:pPr>
      <w:r>
        <w:rPr>
          <w:b/>
        </w:rPr>
        <w:t xml:space="preserve">Propunerea de regulament al Parlamentului European și al Consiliului </w:t>
      </w:r>
      <w:r w:rsidR="0056072A">
        <w:rPr>
          <w:b/>
        </w:rPr>
        <w:br/>
      </w:r>
      <w:r>
        <w:rPr>
          <w:b/>
        </w:rPr>
        <w:t xml:space="preserve">privind rețelele digitale, </w:t>
      </w:r>
      <w:r w:rsidR="0056072A">
        <w:rPr>
          <w:b/>
        </w:rPr>
        <w:br/>
      </w:r>
      <w:r>
        <w:rPr>
          <w:b/>
        </w:rPr>
        <w:t xml:space="preserve">de modificare a Regulamentului (UE) 2015/2120, a Directivei 2002/58/CE </w:t>
      </w:r>
      <w:r w:rsidR="0056072A">
        <w:rPr>
          <w:b/>
        </w:rPr>
        <w:br/>
      </w:r>
      <w:r>
        <w:rPr>
          <w:b/>
        </w:rPr>
        <w:t xml:space="preserve">și a Deciziei 676/2002/CE </w:t>
      </w:r>
      <w:r w:rsidR="0056072A">
        <w:rPr>
          <w:b/>
        </w:rPr>
        <w:br/>
      </w:r>
      <w:r>
        <w:rPr>
          <w:b/>
        </w:rPr>
        <w:t xml:space="preserve">și de abrogare a Regulamentului (UE) 2018/1971, a Directivei (UE) 2018/1972 </w:t>
      </w:r>
      <w:r w:rsidR="0056072A">
        <w:rPr>
          <w:b/>
        </w:rPr>
        <w:br/>
      </w:r>
      <w:r>
        <w:rPr>
          <w:b/>
        </w:rPr>
        <w:t xml:space="preserve">și a Deciziei 243/2012/UE </w:t>
      </w:r>
      <w:r w:rsidR="0056072A">
        <w:rPr>
          <w:b/>
        </w:rPr>
        <w:br/>
      </w:r>
      <w:r>
        <w:rPr>
          <w:b/>
        </w:rPr>
        <w:t>(Regulamentul privind rețelele digitale)</w:t>
      </w:r>
    </w:p>
    <w:p w14:paraId="6E5229CE" w14:textId="1ABAF15B" w:rsidR="008F6573" w:rsidRDefault="004F0FC3" w:rsidP="00953DA1">
      <w:pPr>
        <w:overflowPunct/>
        <w:adjustRightInd/>
        <w:jc w:val="center"/>
        <w:textAlignment w:val="auto"/>
        <w:rPr>
          <w:szCs w:val="22"/>
        </w:rPr>
      </w:pPr>
      <w:r>
        <w:t>[COM(2026) 16 final) – 2026/0013 (COD)]</w:t>
      </w:r>
    </w:p>
    <w:p w14:paraId="6E5229CF" w14:textId="77777777" w:rsidR="008F6573" w:rsidRDefault="008F6573" w:rsidP="00953DA1">
      <w:pPr>
        <w:overflowPunct/>
        <w:adjustRightInd/>
        <w:jc w:val="center"/>
        <w:textAlignment w:val="auto"/>
        <w:rPr>
          <w:szCs w:val="22"/>
        </w:rPr>
      </w:pPr>
    </w:p>
    <w:tbl>
      <w:tblPr>
        <w:tblpPr w:leftFromText="181" w:rightFromText="181" w:tblpYSpec="bottom"/>
        <w:tblOverlap w:val="never"/>
        <w:tblW w:w="9289" w:type="dxa"/>
        <w:tblLayout w:type="fixed"/>
        <w:tblLook w:val="04A0" w:firstRow="1" w:lastRow="0" w:firstColumn="1" w:lastColumn="0" w:noHBand="0" w:noVBand="1"/>
      </w:tblPr>
      <w:tblGrid>
        <w:gridCol w:w="3119"/>
        <w:gridCol w:w="6170"/>
      </w:tblGrid>
      <w:tr w:rsidR="008F6573" w14:paraId="6E5229D9" w14:textId="77777777">
        <w:tc>
          <w:tcPr>
            <w:tcW w:w="3119" w:type="dxa"/>
          </w:tcPr>
          <w:p w14:paraId="6E5229D7" w14:textId="77777777" w:rsidR="008F6573" w:rsidRDefault="004F0FC3" w:rsidP="00953DA1">
            <w:pPr>
              <w:overflowPunct/>
              <w:adjustRightInd/>
              <w:textAlignment w:val="auto"/>
              <w:rPr>
                <w:szCs w:val="22"/>
              </w:rPr>
            </w:pPr>
            <w:r>
              <w:t>Date de contact</w:t>
            </w:r>
          </w:p>
        </w:tc>
        <w:tc>
          <w:tcPr>
            <w:tcW w:w="6170" w:type="dxa"/>
          </w:tcPr>
          <w:p w14:paraId="6E5229D8" w14:textId="0572ADAC" w:rsidR="008F6573" w:rsidRDefault="00F179B4" w:rsidP="00953DA1">
            <w:pPr>
              <w:overflowPunct/>
              <w:adjustRightInd/>
              <w:jc w:val="left"/>
              <w:textAlignment w:val="auto"/>
              <w:rPr>
                <w:szCs w:val="22"/>
              </w:rPr>
            </w:pPr>
            <w:hyperlink r:id="rId12" w:history="1">
              <w:r>
                <w:rPr>
                  <w:rStyle w:val="Hyperlink"/>
                </w:rPr>
                <w:t>ten@eesc.europa.eu</w:t>
              </w:r>
            </w:hyperlink>
          </w:p>
        </w:tc>
      </w:tr>
      <w:tr w:rsidR="008F6573" w14:paraId="6E5229DC" w14:textId="77777777">
        <w:tc>
          <w:tcPr>
            <w:tcW w:w="3119" w:type="dxa"/>
          </w:tcPr>
          <w:p w14:paraId="6E5229DA" w14:textId="77777777" w:rsidR="008F6573" w:rsidRDefault="004F0FC3" w:rsidP="00953DA1">
            <w:pPr>
              <w:overflowPunct/>
              <w:adjustRightInd/>
              <w:textAlignment w:val="auto"/>
              <w:rPr>
                <w:szCs w:val="22"/>
              </w:rPr>
            </w:pPr>
            <w:r>
              <w:t>Administrator</w:t>
            </w:r>
          </w:p>
        </w:tc>
        <w:tc>
          <w:tcPr>
            <w:tcW w:w="6170" w:type="dxa"/>
          </w:tcPr>
          <w:p w14:paraId="6E5229DB" w14:textId="6BDC7371" w:rsidR="008F6573" w:rsidRDefault="004F0FC3" w:rsidP="00953DA1">
            <w:pPr>
              <w:overflowPunct/>
              <w:adjustRightInd/>
              <w:jc w:val="left"/>
              <w:textAlignment w:val="auto"/>
              <w:rPr>
                <w:szCs w:val="22"/>
              </w:rPr>
            </w:pPr>
            <w:r>
              <w:t>Albert PRECUP</w:t>
            </w:r>
          </w:p>
        </w:tc>
      </w:tr>
      <w:tr w:rsidR="008F6573" w14:paraId="6E5229DF" w14:textId="77777777">
        <w:tc>
          <w:tcPr>
            <w:tcW w:w="3119" w:type="dxa"/>
          </w:tcPr>
          <w:p w14:paraId="6E5229DD" w14:textId="77777777" w:rsidR="008F6573" w:rsidRDefault="004F0FC3" w:rsidP="00953DA1">
            <w:pPr>
              <w:overflowPunct/>
              <w:adjustRightInd/>
              <w:textAlignment w:val="auto"/>
              <w:rPr>
                <w:szCs w:val="22"/>
              </w:rPr>
            </w:pPr>
            <w:r>
              <w:t>Data documentului</w:t>
            </w:r>
          </w:p>
        </w:tc>
        <w:tc>
          <w:tcPr>
            <w:tcW w:w="6170" w:type="dxa"/>
          </w:tcPr>
          <w:p w14:paraId="6E5229DE" w14:textId="66176ED5" w:rsidR="008F6573" w:rsidRDefault="008F1732" w:rsidP="00953DA1">
            <w:pPr>
              <w:overflowPunct/>
              <w:adjustRightInd/>
              <w:jc w:val="left"/>
              <w:textAlignment w:val="auto"/>
              <w:rPr>
                <w:szCs w:val="22"/>
              </w:rPr>
            </w:pPr>
            <w:r>
              <w:t>29/5/2026</w:t>
            </w:r>
          </w:p>
        </w:tc>
      </w:tr>
    </w:tbl>
    <w:p w14:paraId="3FE5ED98" w14:textId="40AB4494" w:rsidR="008F6573" w:rsidRDefault="004F0FC3" w:rsidP="00953DA1">
      <w:pPr>
        <w:overflowPunct/>
        <w:adjustRightInd/>
        <w:jc w:val="center"/>
        <w:textAlignment w:val="auto"/>
        <w:rPr>
          <w:b/>
          <w:bCs/>
          <w:szCs w:val="22"/>
        </w:rPr>
      </w:pPr>
      <w:r>
        <w:t xml:space="preserve">Raportor: </w:t>
      </w:r>
      <w:r>
        <w:rPr>
          <w:b/>
        </w:rPr>
        <w:t>Maurizio MENSI</w:t>
      </w:r>
    </w:p>
    <w:p w14:paraId="4B75EF2A" w14:textId="77777777" w:rsidR="008F6573" w:rsidRDefault="008F6573" w:rsidP="00953DA1">
      <w:pPr>
        <w:overflowPunct/>
        <w:adjustRightInd/>
        <w:jc w:val="center"/>
        <w:textAlignment w:val="auto"/>
        <w:rPr>
          <w:bCs/>
          <w:szCs w:val="22"/>
        </w:rPr>
      </w:pPr>
    </w:p>
    <w:p w14:paraId="6E5229E3" w14:textId="51F8483F" w:rsidR="008F6573" w:rsidRDefault="008F6573" w:rsidP="00953DA1">
      <w:pPr>
        <w:overflowPunct/>
        <w:adjustRightInd/>
        <w:jc w:val="center"/>
        <w:textAlignment w:val="auto"/>
        <w:rPr>
          <w:szCs w:val="22"/>
        </w:rPr>
        <w:sectPr w:rsidR="008F6573" w:rsidSect="00953DA1">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3227"/>
        <w:gridCol w:w="5846"/>
      </w:tblGrid>
      <w:tr w:rsidR="008F6573" w:rsidRPr="00953DA1" w14:paraId="730A8C56" w14:textId="2AB9392D" w:rsidTr="0056072A">
        <w:tc>
          <w:tcPr>
            <w:tcW w:w="3227" w:type="dxa"/>
          </w:tcPr>
          <w:p w14:paraId="78F33DE0" w14:textId="0BD256DB" w:rsidR="008F6573" w:rsidRDefault="004F0FC3" w:rsidP="00953DA1">
            <w:pPr>
              <w:overflowPunct/>
              <w:adjustRightInd/>
              <w:jc w:val="left"/>
              <w:textAlignment w:val="auto"/>
              <w:rPr>
                <w:szCs w:val="22"/>
              </w:rPr>
            </w:pPr>
            <w:r>
              <w:lastRenderedPageBreak/>
              <w:t>Consilier</w:t>
            </w:r>
          </w:p>
        </w:tc>
        <w:tc>
          <w:tcPr>
            <w:tcW w:w="5846" w:type="dxa"/>
          </w:tcPr>
          <w:p w14:paraId="2699BD94" w14:textId="780D2108" w:rsidR="008F6573" w:rsidRDefault="004F0FC3" w:rsidP="00953DA1">
            <w:pPr>
              <w:overflowPunct/>
              <w:adjustRightInd/>
              <w:jc w:val="left"/>
              <w:textAlignment w:val="auto"/>
              <w:rPr>
                <w:szCs w:val="22"/>
              </w:rPr>
            </w:pPr>
            <w:r>
              <w:t>Alberto DAL FERRO (pentru raportor)</w:t>
            </w:r>
          </w:p>
        </w:tc>
      </w:tr>
      <w:tr w:rsidR="008F6573" w:rsidRPr="00953DA1" w14:paraId="06DAE44F" w14:textId="77777777" w:rsidTr="0056072A">
        <w:tc>
          <w:tcPr>
            <w:tcW w:w="3227" w:type="dxa"/>
          </w:tcPr>
          <w:p w14:paraId="76B6BA92" w14:textId="77777777" w:rsidR="008F6573" w:rsidRDefault="008F6573" w:rsidP="00B941A0">
            <w:pPr>
              <w:overflowPunct/>
              <w:autoSpaceDE/>
              <w:autoSpaceDN/>
              <w:adjustRightInd/>
              <w:jc w:val="left"/>
              <w:textAlignment w:val="auto"/>
              <w:rPr>
                <w:szCs w:val="22"/>
                <w:lang w:val="it-IT"/>
              </w:rPr>
            </w:pPr>
          </w:p>
        </w:tc>
        <w:tc>
          <w:tcPr>
            <w:tcW w:w="5846" w:type="dxa"/>
          </w:tcPr>
          <w:p w14:paraId="5B2072A4" w14:textId="77777777" w:rsidR="008F6573" w:rsidRDefault="008F6573" w:rsidP="00953DA1">
            <w:pPr>
              <w:overflowPunct/>
              <w:adjustRightInd/>
              <w:jc w:val="left"/>
              <w:textAlignment w:val="auto"/>
              <w:rPr>
                <w:szCs w:val="22"/>
                <w:lang w:val="it-IT"/>
              </w:rPr>
            </w:pPr>
          </w:p>
        </w:tc>
      </w:tr>
      <w:tr w:rsidR="008F6573" w14:paraId="3935EB91" w14:textId="77777777" w:rsidTr="0056072A">
        <w:tc>
          <w:tcPr>
            <w:tcW w:w="3227" w:type="dxa"/>
          </w:tcPr>
          <w:p w14:paraId="16755F4D" w14:textId="77777777" w:rsidR="008F6573" w:rsidRDefault="004F0FC3" w:rsidP="00953DA1">
            <w:pPr>
              <w:overflowPunct/>
              <w:adjustRightInd/>
              <w:jc w:val="left"/>
              <w:textAlignment w:val="auto"/>
              <w:rPr>
                <w:szCs w:val="22"/>
              </w:rPr>
            </w:pPr>
            <w:r>
              <w:t>Procedura legislativă</w:t>
            </w:r>
          </w:p>
        </w:tc>
        <w:tc>
          <w:tcPr>
            <w:tcW w:w="5846" w:type="dxa"/>
          </w:tcPr>
          <w:p w14:paraId="2FD5D415" w14:textId="77777777" w:rsidR="008F6573" w:rsidRDefault="00F179B4" w:rsidP="00953DA1">
            <w:pPr>
              <w:overflowPunct/>
              <w:adjustRightInd/>
              <w:jc w:val="left"/>
              <w:textAlignment w:val="auto"/>
              <w:rPr>
                <w:szCs w:val="22"/>
              </w:rPr>
            </w:pPr>
            <w:hyperlink r:id="rId19" w:history="1">
              <w:r>
                <w:rPr>
                  <w:rStyle w:val="Hyperlink"/>
                </w:rPr>
                <w:t>EU Law Tracker: 2026/0013 (COD)</w:t>
              </w:r>
            </w:hyperlink>
          </w:p>
        </w:tc>
      </w:tr>
      <w:tr w:rsidR="008F6573" w14:paraId="06C11C44" w14:textId="77777777" w:rsidTr="0056072A">
        <w:tc>
          <w:tcPr>
            <w:tcW w:w="3227" w:type="dxa"/>
          </w:tcPr>
          <w:p w14:paraId="649AED85" w14:textId="77777777" w:rsidR="008F6573" w:rsidRDefault="004F0FC3" w:rsidP="00953DA1">
            <w:pPr>
              <w:overflowPunct/>
              <w:adjustRightInd/>
              <w:jc w:val="left"/>
              <w:textAlignment w:val="auto"/>
              <w:rPr>
                <w:szCs w:val="22"/>
              </w:rPr>
            </w:pPr>
            <w:r>
              <w:t>Sesizare</w:t>
            </w:r>
          </w:p>
        </w:tc>
        <w:tc>
          <w:tcPr>
            <w:tcW w:w="5846" w:type="dxa"/>
          </w:tcPr>
          <w:p w14:paraId="2696EAF9" w14:textId="77777777" w:rsidR="008F6573" w:rsidRDefault="004F0FC3" w:rsidP="00953DA1">
            <w:pPr>
              <w:overflowPunct/>
              <w:adjustRightInd/>
              <w:jc w:val="left"/>
              <w:textAlignment w:val="auto"/>
              <w:rPr>
                <w:szCs w:val="22"/>
              </w:rPr>
            </w:pPr>
            <w:r>
              <w:t>Parlamentul European, 4/2/2026</w:t>
            </w:r>
          </w:p>
        </w:tc>
      </w:tr>
      <w:tr w:rsidR="008F6573" w14:paraId="33676DB2" w14:textId="77777777" w:rsidTr="0056072A">
        <w:trPr>
          <w:trHeight w:val="251"/>
        </w:trPr>
        <w:tc>
          <w:tcPr>
            <w:tcW w:w="3227" w:type="dxa"/>
          </w:tcPr>
          <w:p w14:paraId="39660CF5" w14:textId="77777777" w:rsidR="008F6573" w:rsidRDefault="004F0FC3" w:rsidP="00953DA1">
            <w:pPr>
              <w:overflowPunct/>
              <w:adjustRightInd/>
              <w:jc w:val="left"/>
              <w:textAlignment w:val="auto"/>
              <w:rPr>
                <w:szCs w:val="22"/>
              </w:rPr>
            </w:pPr>
            <w:r>
              <w:t>Temei juridic</w:t>
            </w:r>
          </w:p>
        </w:tc>
        <w:tc>
          <w:tcPr>
            <w:tcW w:w="5846" w:type="dxa"/>
          </w:tcPr>
          <w:p w14:paraId="1B0BEBF2" w14:textId="77777777" w:rsidR="008F6573" w:rsidRDefault="004F0FC3" w:rsidP="00953DA1">
            <w:pPr>
              <w:overflowPunct/>
              <w:adjustRightInd/>
              <w:jc w:val="left"/>
              <w:textAlignment w:val="auto"/>
              <w:rPr>
                <w:szCs w:val="22"/>
              </w:rPr>
            </w:pPr>
            <w:r>
              <w:t>Articolele 114 și 304 din Tratatul privind funcționarea Uniunii Europene</w:t>
            </w:r>
          </w:p>
        </w:tc>
      </w:tr>
      <w:tr w:rsidR="008F6573" w14:paraId="1759B619" w14:textId="77777777" w:rsidTr="0056072A">
        <w:tc>
          <w:tcPr>
            <w:tcW w:w="3227" w:type="dxa"/>
          </w:tcPr>
          <w:p w14:paraId="21E803C8" w14:textId="77777777" w:rsidR="008F6573" w:rsidRDefault="004F0FC3" w:rsidP="00953DA1">
            <w:pPr>
              <w:overflowPunct/>
              <w:adjustRightInd/>
              <w:jc w:val="left"/>
              <w:textAlignment w:val="auto"/>
              <w:rPr>
                <w:szCs w:val="22"/>
              </w:rPr>
            </w:pPr>
            <w:r>
              <w:t>Documentele Comisiei Europene</w:t>
            </w:r>
          </w:p>
        </w:tc>
        <w:tc>
          <w:tcPr>
            <w:tcW w:w="5846" w:type="dxa"/>
            <w:vAlign w:val="bottom"/>
          </w:tcPr>
          <w:p w14:paraId="5CE5D962" w14:textId="77777777" w:rsidR="008F6573" w:rsidRDefault="00F179B4" w:rsidP="00953DA1">
            <w:pPr>
              <w:overflowPunct/>
              <w:adjustRightInd/>
              <w:jc w:val="left"/>
              <w:textAlignment w:val="auto"/>
              <w:rPr>
                <w:szCs w:val="22"/>
              </w:rPr>
            </w:pPr>
            <w:hyperlink r:id="rId20" w:history="1">
              <w:r>
                <w:rPr>
                  <w:rStyle w:val="Hyperlink"/>
                </w:rPr>
                <w:t>COM(2026) 16 final</w:t>
              </w:r>
            </w:hyperlink>
          </w:p>
          <w:p w14:paraId="78D17A9C" w14:textId="27389446" w:rsidR="008F6573" w:rsidRDefault="004F0FC3" w:rsidP="00953DA1">
            <w:pPr>
              <w:overflowPunct/>
              <w:adjustRightInd/>
              <w:jc w:val="left"/>
              <w:textAlignment w:val="auto"/>
              <w:rPr>
                <w:color w:val="000000" w:themeColor="text1"/>
                <w:szCs w:val="22"/>
                <w:u w:val="single"/>
              </w:rPr>
            </w:pPr>
            <w:r>
              <w:rPr>
                <w:rStyle w:val="Hyperlink"/>
              </w:rPr>
              <w:t>Rezumatul</w:t>
            </w:r>
            <w:r>
              <w:t xml:space="preserve"> documentului COM(2026) 16 final</w:t>
            </w:r>
          </w:p>
        </w:tc>
      </w:tr>
      <w:tr w:rsidR="008F6573" w14:paraId="37AB067A" w14:textId="77777777" w:rsidTr="0056072A">
        <w:tc>
          <w:tcPr>
            <w:tcW w:w="3227" w:type="dxa"/>
          </w:tcPr>
          <w:p w14:paraId="67ABA7A2" w14:textId="77777777" w:rsidR="008F6573" w:rsidRDefault="004F0FC3" w:rsidP="00953DA1">
            <w:pPr>
              <w:overflowPunct/>
              <w:adjustRightInd/>
              <w:jc w:val="left"/>
              <w:textAlignment w:val="auto"/>
              <w:rPr>
                <w:szCs w:val="22"/>
              </w:rPr>
            </w:pPr>
            <w:r>
              <w:t>Obiectivele de dezvoltare durabilă (ODD) relevante</w:t>
            </w:r>
          </w:p>
        </w:tc>
        <w:tc>
          <w:tcPr>
            <w:tcW w:w="5846" w:type="dxa"/>
            <w:vAlign w:val="bottom"/>
          </w:tcPr>
          <w:p w14:paraId="0E4925D1" w14:textId="36FA8FFB" w:rsidR="00997E15" w:rsidRPr="00997E15" w:rsidRDefault="00997E15" w:rsidP="00953DA1">
            <w:pPr>
              <w:overflowPunct/>
              <w:adjustRightInd/>
              <w:jc w:val="left"/>
              <w:textAlignment w:val="auto"/>
              <w:rPr>
                <w:szCs w:val="22"/>
              </w:rPr>
            </w:pPr>
            <w:hyperlink r:id="rId21" w:history="1">
              <w:r>
                <w:rPr>
                  <w:rStyle w:val="Hyperlink"/>
                </w:rPr>
                <w:t>ODD 9 – Industrie, inovare și infrastructură</w:t>
              </w:r>
            </w:hyperlink>
          </w:p>
          <w:p w14:paraId="6B286FD2" w14:textId="77777777" w:rsidR="00FD76B8" w:rsidRDefault="00997E15" w:rsidP="00953DA1">
            <w:pPr>
              <w:overflowPunct/>
              <w:adjustRightInd/>
              <w:jc w:val="left"/>
              <w:textAlignment w:val="auto"/>
              <w:rPr>
                <w:rStyle w:val="Hyperlink"/>
              </w:rPr>
            </w:pPr>
            <w:hyperlink r:id="rId22" w:history="1">
              <w:r>
                <w:rPr>
                  <w:rStyle w:val="Hyperlink"/>
                </w:rPr>
                <w:t>ODD 13 – Politicile climatice</w:t>
              </w:r>
            </w:hyperlink>
          </w:p>
          <w:p w14:paraId="3F4AE7CA" w14:textId="0956C547" w:rsidR="008F6573" w:rsidRDefault="00997E15" w:rsidP="00953DA1">
            <w:pPr>
              <w:overflowPunct/>
              <w:adjustRightInd/>
              <w:jc w:val="left"/>
              <w:textAlignment w:val="auto"/>
              <w:rPr>
                <w:szCs w:val="22"/>
              </w:rPr>
            </w:pPr>
            <w:hyperlink r:id="rId23" w:history="1">
              <w:r>
                <w:rPr>
                  <w:rStyle w:val="Hyperlink"/>
                </w:rPr>
                <w:t>ODD 16 – Pace, justiție și instituții puternice</w:t>
              </w:r>
            </w:hyperlink>
          </w:p>
        </w:tc>
      </w:tr>
      <w:tr w:rsidR="008F6573" w14:paraId="00944C94" w14:textId="77777777" w:rsidTr="0056072A">
        <w:tc>
          <w:tcPr>
            <w:tcW w:w="3227" w:type="dxa"/>
          </w:tcPr>
          <w:p w14:paraId="372444D9" w14:textId="77777777" w:rsidR="008F6573" w:rsidRDefault="008F6573" w:rsidP="00953DA1">
            <w:pPr>
              <w:overflowPunct/>
              <w:adjustRightInd/>
              <w:jc w:val="left"/>
              <w:textAlignment w:val="auto"/>
              <w:rPr>
                <w:szCs w:val="22"/>
              </w:rPr>
            </w:pPr>
          </w:p>
        </w:tc>
        <w:tc>
          <w:tcPr>
            <w:tcW w:w="5846" w:type="dxa"/>
          </w:tcPr>
          <w:p w14:paraId="0571FA19" w14:textId="77777777" w:rsidR="008F6573" w:rsidRDefault="008F6573" w:rsidP="00953DA1">
            <w:pPr>
              <w:overflowPunct/>
              <w:adjustRightInd/>
              <w:jc w:val="left"/>
              <w:textAlignment w:val="auto"/>
              <w:rPr>
                <w:szCs w:val="22"/>
              </w:rPr>
            </w:pPr>
          </w:p>
        </w:tc>
      </w:tr>
      <w:tr w:rsidR="008F6573" w14:paraId="4564DB8E" w14:textId="77777777" w:rsidTr="0056072A">
        <w:tc>
          <w:tcPr>
            <w:tcW w:w="3227" w:type="dxa"/>
          </w:tcPr>
          <w:p w14:paraId="544A85C8" w14:textId="77777777" w:rsidR="008F6573" w:rsidRDefault="004F0FC3" w:rsidP="00953DA1">
            <w:pPr>
              <w:overflowPunct/>
              <w:adjustRightInd/>
              <w:jc w:val="left"/>
              <w:textAlignment w:val="auto"/>
              <w:rPr>
                <w:szCs w:val="22"/>
              </w:rPr>
            </w:pPr>
            <w:r>
              <w:t>Secțiunea competentă</w:t>
            </w:r>
          </w:p>
        </w:tc>
        <w:tc>
          <w:tcPr>
            <w:tcW w:w="5846" w:type="dxa"/>
          </w:tcPr>
          <w:p w14:paraId="49FB3674" w14:textId="77777777" w:rsidR="008F6573" w:rsidRDefault="004F0FC3" w:rsidP="0056072A">
            <w:pPr>
              <w:overflowPunct/>
              <w:adjustRightInd/>
              <w:textAlignment w:val="auto"/>
              <w:rPr>
                <w:szCs w:val="22"/>
              </w:rPr>
            </w:pPr>
            <w:r>
              <w:t>Secțiunea pentru transporturi, energie, infrastructură și societatea informațională</w:t>
            </w:r>
          </w:p>
        </w:tc>
      </w:tr>
      <w:tr w:rsidR="008F6573" w14:paraId="2E9529C3" w14:textId="77777777" w:rsidTr="0056072A">
        <w:tc>
          <w:tcPr>
            <w:tcW w:w="3227" w:type="dxa"/>
          </w:tcPr>
          <w:p w14:paraId="4947A124" w14:textId="77777777" w:rsidR="008F6573" w:rsidRDefault="004F0FC3" w:rsidP="00953DA1">
            <w:pPr>
              <w:overflowPunct/>
              <w:adjustRightInd/>
              <w:jc w:val="left"/>
              <w:textAlignment w:val="auto"/>
              <w:rPr>
                <w:szCs w:val="22"/>
              </w:rPr>
            </w:pPr>
            <w:r>
              <w:t>Data adoptării în secțiune</w:t>
            </w:r>
          </w:p>
        </w:tc>
        <w:tc>
          <w:tcPr>
            <w:tcW w:w="5846" w:type="dxa"/>
          </w:tcPr>
          <w:p w14:paraId="5BFDB1A7" w14:textId="421FFAF4" w:rsidR="008F6573" w:rsidRDefault="008F1732" w:rsidP="00953DA1">
            <w:pPr>
              <w:overflowPunct/>
              <w:adjustRightInd/>
              <w:jc w:val="left"/>
              <w:textAlignment w:val="auto"/>
              <w:rPr>
                <w:szCs w:val="22"/>
              </w:rPr>
            </w:pPr>
            <w:r>
              <w:t>26/5/2026</w:t>
            </w:r>
          </w:p>
        </w:tc>
      </w:tr>
      <w:tr w:rsidR="008F6573" w14:paraId="3FE30500" w14:textId="77777777" w:rsidTr="0056072A">
        <w:tc>
          <w:tcPr>
            <w:tcW w:w="3227" w:type="dxa"/>
          </w:tcPr>
          <w:p w14:paraId="2B6FEC5E" w14:textId="2D83152B" w:rsidR="008F6573" w:rsidRDefault="004F0FC3" w:rsidP="00953DA1">
            <w:pPr>
              <w:overflowPunct/>
              <w:adjustRightInd/>
              <w:jc w:val="left"/>
              <w:textAlignment w:val="auto"/>
              <w:rPr>
                <w:szCs w:val="22"/>
              </w:rPr>
            </w:pPr>
            <w:r>
              <w:t>Rezultatul votului</w:t>
            </w:r>
            <w:r>
              <w:br/>
              <w:t>(pentru/ împotrivă/abțineri)</w:t>
            </w:r>
          </w:p>
        </w:tc>
        <w:tc>
          <w:tcPr>
            <w:tcW w:w="5846" w:type="dxa"/>
            <w:vAlign w:val="bottom"/>
          </w:tcPr>
          <w:p w14:paraId="7FCB9368" w14:textId="5FEB46D1" w:rsidR="008F6573" w:rsidRDefault="007D0AE4" w:rsidP="00953DA1">
            <w:pPr>
              <w:overflowPunct/>
              <w:adjustRightInd/>
              <w:jc w:val="left"/>
              <w:textAlignment w:val="auto"/>
              <w:rPr>
                <w:szCs w:val="22"/>
              </w:rPr>
            </w:pPr>
            <w:r>
              <w:t>82/0/1</w:t>
            </w:r>
          </w:p>
        </w:tc>
      </w:tr>
      <w:tr w:rsidR="008F6573" w14:paraId="7C676600" w14:textId="77777777" w:rsidTr="0056072A">
        <w:tc>
          <w:tcPr>
            <w:tcW w:w="3227" w:type="dxa"/>
          </w:tcPr>
          <w:p w14:paraId="0343B389" w14:textId="77777777" w:rsidR="008F6573" w:rsidRDefault="004F0FC3" w:rsidP="00953DA1">
            <w:pPr>
              <w:overflowPunct/>
              <w:adjustRightInd/>
              <w:jc w:val="left"/>
              <w:textAlignment w:val="auto"/>
              <w:rPr>
                <w:szCs w:val="22"/>
              </w:rPr>
            </w:pPr>
            <w:r>
              <w:t>Data adoptării în sesiunea plenară</w:t>
            </w:r>
          </w:p>
        </w:tc>
        <w:tc>
          <w:tcPr>
            <w:tcW w:w="5846" w:type="dxa"/>
          </w:tcPr>
          <w:p w14:paraId="574B3CC6" w14:textId="77777777" w:rsidR="008F6573" w:rsidRDefault="004F0FC3" w:rsidP="00953DA1">
            <w:pPr>
              <w:overflowPunct/>
              <w:adjustRightInd/>
              <w:jc w:val="left"/>
              <w:textAlignment w:val="auto"/>
              <w:rPr>
                <w:szCs w:val="22"/>
              </w:rPr>
            </w:pPr>
            <w:r>
              <w:t>D/M/YYYY</w:t>
            </w:r>
          </w:p>
        </w:tc>
      </w:tr>
      <w:tr w:rsidR="008F6573" w14:paraId="56632F7F" w14:textId="77777777" w:rsidTr="0056072A">
        <w:tc>
          <w:tcPr>
            <w:tcW w:w="3227" w:type="dxa"/>
          </w:tcPr>
          <w:p w14:paraId="25C0F853" w14:textId="77777777" w:rsidR="008F6573" w:rsidRDefault="004F0FC3" w:rsidP="00953DA1">
            <w:pPr>
              <w:overflowPunct/>
              <w:adjustRightInd/>
              <w:jc w:val="left"/>
              <w:textAlignment w:val="auto"/>
              <w:rPr>
                <w:szCs w:val="22"/>
              </w:rPr>
            </w:pPr>
            <w:r>
              <w:t>Sesiunea plenară nr.</w:t>
            </w:r>
          </w:p>
        </w:tc>
        <w:tc>
          <w:tcPr>
            <w:tcW w:w="5846" w:type="dxa"/>
          </w:tcPr>
          <w:p w14:paraId="77035866" w14:textId="77777777" w:rsidR="008F6573" w:rsidRDefault="004F0FC3" w:rsidP="00953DA1">
            <w:pPr>
              <w:overflowPunct/>
              <w:adjustRightInd/>
              <w:jc w:val="left"/>
              <w:textAlignment w:val="auto"/>
              <w:rPr>
                <w:szCs w:val="22"/>
              </w:rPr>
            </w:pPr>
            <w:r>
              <w:t>…</w:t>
            </w:r>
          </w:p>
        </w:tc>
      </w:tr>
      <w:tr w:rsidR="008F6573" w14:paraId="4165A59D" w14:textId="77777777" w:rsidTr="0056072A">
        <w:tc>
          <w:tcPr>
            <w:tcW w:w="3227" w:type="dxa"/>
          </w:tcPr>
          <w:p w14:paraId="36221173" w14:textId="7BE2FA35" w:rsidR="008F6573" w:rsidRDefault="004F0FC3" w:rsidP="00953DA1">
            <w:pPr>
              <w:overflowPunct/>
              <w:adjustRightInd/>
              <w:jc w:val="left"/>
              <w:rPr>
                <w:szCs w:val="22"/>
              </w:rPr>
            </w:pPr>
            <w:r>
              <w:t>Rezultatul votului</w:t>
            </w:r>
            <w:r>
              <w:br/>
              <w:t>(pentru/împotrivă/abțineri)</w:t>
            </w:r>
          </w:p>
        </w:tc>
        <w:tc>
          <w:tcPr>
            <w:tcW w:w="5846" w:type="dxa"/>
            <w:vAlign w:val="bottom"/>
          </w:tcPr>
          <w:p w14:paraId="54043B59" w14:textId="77777777" w:rsidR="008F6573" w:rsidRDefault="004F0FC3" w:rsidP="00953DA1">
            <w:pPr>
              <w:overflowPunct/>
              <w:adjustRightInd/>
              <w:jc w:val="left"/>
              <w:textAlignment w:val="auto"/>
              <w:rPr>
                <w:szCs w:val="22"/>
              </w:rPr>
            </w:pPr>
            <w:r>
              <w:t>…/…/…</w:t>
            </w:r>
          </w:p>
        </w:tc>
      </w:tr>
    </w:tbl>
    <w:p w14:paraId="6BB2B450" w14:textId="77777777" w:rsidR="008F6573" w:rsidRDefault="008F6573" w:rsidP="00953DA1">
      <w:pPr>
        <w:overflowPunct/>
        <w:adjustRightInd/>
        <w:textAlignment w:val="auto"/>
        <w:rPr>
          <w:szCs w:val="22"/>
        </w:rPr>
      </w:pPr>
    </w:p>
    <w:p w14:paraId="6E522A2F" w14:textId="77777777" w:rsidR="008F6573" w:rsidRDefault="004F0FC3" w:rsidP="00953DA1">
      <w:pPr>
        <w:overflowPunct/>
        <w:adjustRightInd/>
        <w:textAlignment w:val="auto"/>
        <w:rPr>
          <w:szCs w:val="22"/>
        </w:rPr>
      </w:pPr>
      <w:r>
        <w:br w:type="page"/>
      </w:r>
    </w:p>
    <w:p w14:paraId="0806ABDA" w14:textId="12A29BE1" w:rsidR="008F6573" w:rsidRDefault="004F0FC3" w:rsidP="00953DA1">
      <w:pPr>
        <w:pStyle w:val="Heading1"/>
        <w:ind w:left="567" w:hanging="567"/>
        <w:rPr>
          <w:b/>
          <w:bCs/>
          <w:szCs w:val="22"/>
        </w:rPr>
      </w:pPr>
      <w:r>
        <w:rPr>
          <w:b/>
        </w:rPr>
        <w:lastRenderedPageBreak/>
        <w:t>RECOMANDĂRI</w:t>
      </w:r>
    </w:p>
    <w:p w14:paraId="0D420D5A" w14:textId="77777777" w:rsidR="008F6573" w:rsidRDefault="008F6573" w:rsidP="00953DA1">
      <w:pPr>
        <w:rPr>
          <w:szCs w:val="22"/>
        </w:rPr>
      </w:pPr>
    </w:p>
    <w:p w14:paraId="04F348AA" w14:textId="637A16C6" w:rsidR="008F6573" w:rsidRDefault="004F0FC3" w:rsidP="00953DA1">
      <w:pPr>
        <w:pStyle w:val="Heading2"/>
        <w:numPr>
          <w:ilvl w:val="0"/>
          <w:numId w:val="0"/>
        </w:numPr>
        <w:ind w:left="567"/>
        <w:rPr>
          <w:szCs w:val="22"/>
        </w:rPr>
      </w:pPr>
      <w:r>
        <w:t>Comitetul Economic și Social European (CESE):</w:t>
      </w:r>
    </w:p>
    <w:p w14:paraId="08494A70" w14:textId="77777777" w:rsidR="008F6573" w:rsidRDefault="008F6573" w:rsidP="00953DA1">
      <w:pPr>
        <w:pStyle w:val="Heading2"/>
        <w:numPr>
          <w:ilvl w:val="0"/>
          <w:numId w:val="0"/>
        </w:numPr>
        <w:rPr>
          <w:szCs w:val="22"/>
        </w:rPr>
      </w:pPr>
    </w:p>
    <w:p w14:paraId="02FB8205" w14:textId="423224EB" w:rsidR="008F6573" w:rsidRDefault="004F0FC3" w:rsidP="00953DA1">
      <w:pPr>
        <w:pStyle w:val="Heading2"/>
        <w:rPr>
          <w:szCs w:val="22"/>
        </w:rPr>
      </w:pPr>
      <w:r>
        <w:t xml:space="preserve">subliniază rolul esențial al sectorului telecomunicațiilor și salută abordarea echilibrată și obiectivele generale ale Actului legislativ privind rețelele digitale; </w:t>
      </w:r>
    </w:p>
    <w:p w14:paraId="265110B8" w14:textId="77777777" w:rsidR="008F6573" w:rsidRDefault="008F6573" w:rsidP="00953DA1">
      <w:pPr>
        <w:rPr>
          <w:szCs w:val="22"/>
        </w:rPr>
      </w:pPr>
    </w:p>
    <w:p w14:paraId="6E9903E1" w14:textId="33ABA246" w:rsidR="008F6573" w:rsidRDefault="004F0FC3" w:rsidP="00953DA1">
      <w:pPr>
        <w:pStyle w:val="Heading2"/>
        <w:rPr>
          <w:szCs w:val="22"/>
        </w:rPr>
      </w:pPr>
      <w:r>
        <w:t>consideră că un regulament, ca instrument juridic al Actului legislativ privind rețelele digitale, reprezintă alegerea adecvată pentru eliminarea barierelor de pe piața internă și asigurarea unor norme uniforme. De asemenea, Comisia consideră că, în cazul în care o legislație orizontală solidă a UE asigură deja o protecție eficace – în special în domeniul drepturilor consumatorilor, al protecției datelor și al securității cibernetice –, Actul legislativ privind rețelele digitale ar trebui să evite să introducă norme sectoriale care se suprapun și niveluri inutile de orientări și măsuri de punere în aplicare, în scopul de a reduce complexitatea, costurile de asigurare a conformității și insecuritatea juridică atât pentru operatori, cât și pentru utilizatorii finali. Cu toate acestea, Comitetul evidențiază că armonizarea trebuie să respecte principiile subsidiarității și proporționalității și să mențină competențe și sarcini naționale clar definite și recomandă limitarea utilizării actelor delegate și a actelor de punere în aplicare la aspecte strict tehnice și păstrarea elementelor esențiale în actul de bază;</w:t>
      </w:r>
    </w:p>
    <w:p w14:paraId="7EC364E8" w14:textId="77777777" w:rsidR="008F6573" w:rsidRDefault="008F6573" w:rsidP="00953DA1">
      <w:pPr>
        <w:rPr>
          <w:szCs w:val="22"/>
        </w:rPr>
      </w:pPr>
    </w:p>
    <w:p w14:paraId="47D56CE0" w14:textId="5A7D25BA" w:rsidR="008F6573" w:rsidRDefault="004F0FC3" w:rsidP="00953DA1">
      <w:pPr>
        <w:pStyle w:val="Heading2"/>
        <w:rPr>
          <w:szCs w:val="22"/>
        </w:rPr>
      </w:pPr>
      <w:r>
        <w:t>solicită o repartizare clară a competențelor între Oficiul pentru Rețele Digitale, Organismul Autorităților Europene de Reglementare în Domeniul Comunicațiilor Electronice (OAREC), Organismul pentru politica în domeniul spectrului de frecvențe radio (RSPB) și autoritățile naționale de reglementare (ANR), evitând suprapunerile și duplicarea instituțională. CESE recomandă ca guvernanța nou-înființatului Oficiu pentru Rețele Digitale să fie incluzivă, transparentă și responsabilă, cu participarea structurată a părților interesate, și subliniază că Actul legislativ privind rețelele digitale ar trebui să garanteze explicit independența și rolul efectiv al autorităților naționale de reglementare;</w:t>
      </w:r>
    </w:p>
    <w:p w14:paraId="02D05654" w14:textId="77777777" w:rsidR="008F6573" w:rsidRDefault="008F6573" w:rsidP="00953DA1"/>
    <w:p w14:paraId="5C95182B" w14:textId="44725033" w:rsidR="008F6573" w:rsidRDefault="004F0FC3" w:rsidP="00953DA1">
      <w:pPr>
        <w:pStyle w:val="Heading2"/>
      </w:pPr>
      <w:r>
        <w:t>sprijină regimul de autorizare pe deplin armonizat și mecanismul pașaportului unic ca instrumente esențiale pentru realizarea unei piețe unice autentice;</w:t>
      </w:r>
    </w:p>
    <w:p w14:paraId="1AF47CCA" w14:textId="77777777" w:rsidR="008F6573" w:rsidRDefault="008F6573" w:rsidP="00953DA1">
      <w:pPr>
        <w:pStyle w:val="Heading2"/>
        <w:numPr>
          <w:ilvl w:val="0"/>
          <w:numId w:val="0"/>
        </w:numPr>
        <w:ind w:left="567" w:hanging="567"/>
        <w:rPr>
          <w:szCs w:val="22"/>
        </w:rPr>
      </w:pPr>
    </w:p>
    <w:p w14:paraId="56C51B20" w14:textId="00036441" w:rsidR="008F6573" w:rsidRDefault="004F0FC3" w:rsidP="00953DA1">
      <w:pPr>
        <w:pStyle w:val="Heading2"/>
        <w:rPr>
          <w:szCs w:val="22"/>
        </w:rPr>
      </w:pPr>
      <w:r>
        <w:t>subliniază că este necesară clarificarea relației dintre notificarea la nivelul UE și obligațiile naționale reziduale, pentru a evita sarcinile duble și insecuritatea juridică. Comitetul sprijină interzicerea condițiilor naționale suplimentare și solicită excepții strict definite, bazate pe motive imperioase de interes public;</w:t>
      </w:r>
    </w:p>
    <w:p w14:paraId="09127055" w14:textId="77777777" w:rsidR="008F6573" w:rsidRDefault="008F6573" w:rsidP="00953DA1">
      <w:pPr>
        <w:rPr>
          <w:szCs w:val="22"/>
        </w:rPr>
      </w:pPr>
    </w:p>
    <w:p w14:paraId="5C51ACE6" w14:textId="67A2E7B5" w:rsidR="008F6573" w:rsidRDefault="004F0FC3" w:rsidP="00953DA1">
      <w:pPr>
        <w:pStyle w:val="Heading2"/>
        <w:rPr>
          <w:szCs w:val="22"/>
        </w:rPr>
      </w:pPr>
      <w:r>
        <w:t>salută abordarea sistemică a Actului legislativ privind rețelele digitale cu privire la autorizare, spectrul de frecvențe radio, dezactivarea rețelelor de cupru și guvernanța, ca strategie coerentă pentru piața internă;</w:t>
      </w:r>
    </w:p>
    <w:p w14:paraId="17F6AD40" w14:textId="77777777" w:rsidR="008F6573" w:rsidRDefault="008F6573" w:rsidP="00953DA1">
      <w:pPr>
        <w:rPr>
          <w:szCs w:val="22"/>
        </w:rPr>
      </w:pPr>
    </w:p>
    <w:p w14:paraId="52F3CD77" w14:textId="5C1DC05A" w:rsidR="008F6573" w:rsidRDefault="004F0FC3" w:rsidP="00953DA1">
      <w:pPr>
        <w:pStyle w:val="Heading2"/>
      </w:pPr>
      <w:r>
        <w:t xml:space="preserve">accentuează valoarea dovedită a reglementării </w:t>
      </w:r>
      <w:r>
        <w:rPr>
          <w:i/>
        </w:rPr>
        <w:t>ex ante</w:t>
      </w:r>
      <w:r>
        <w:t xml:space="preserve"> și a regimului puterii semnificative pe piață și avertizează asupra slăbirii lor premature; recomandă ca obligațiile de acces și de partajare a infrastructurii să fie calibrate pentru a proteja concurența și diversitatea modelelor de afaceri, inclusiv operatorii care activează exclusiv pe piața angro;</w:t>
      </w:r>
    </w:p>
    <w:p w14:paraId="595A018B" w14:textId="77777777" w:rsidR="008F6573" w:rsidRDefault="008F6573" w:rsidP="00953DA1">
      <w:pPr>
        <w:rPr>
          <w:szCs w:val="22"/>
        </w:rPr>
      </w:pPr>
    </w:p>
    <w:p w14:paraId="18E52A55" w14:textId="38871EBB" w:rsidR="008F6573" w:rsidRDefault="004F0FC3" w:rsidP="00953DA1">
      <w:pPr>
        <w:pStyle w:val="Heading2"/>
        <w:rPr>
          <w:szCs w:val="22"/>
        </w:rPr>
      </w:pPr>
      <w:r>
        <w:lastRenderedPageBreak/>
        <w:t>salută competențele puternice ale autorităților naționale de reglementare de a impune accesul la infrastructura de inginerie civilă, acolo unde se justifică;</w:t>
      </w:r>
    </w:p>
    <w:p w14:paraId="08168FCD" w14:textId="77777777" w:rsidR="008F6573" w:rsidRDefault="008F6573" w:rsidP="00953DA1">
      <w:pPr>
        <w:rPr>
          <w:szCs w:val="22"/>
        </w:rPr>
      </w:pPr>
    </w:p>
    <w:p w14:paraId="4B022913" w14:textId="7C693507" w:rsidR="008F6573" w:rsidRDefault="004F0FC3" w:rsidP="00953DA1">
      <w:pPr>
        <w:pStyle w:val="Heading2"/>
        <w:rPr>
          <w:szCs w:val="22"/>
        </w:rPr>
      </w:pPr>
      <w:r>
        <w:t>recunoaște avantajele investiționale ale licențelor pentru spectrul radio cu durată mai lungă, dar solicită garanții solide privind utilizarea eficientă și concurența și recomandă ca supravegherea de către UE a deciziilor naționale privind spectrul radio să se desfășoare mai degrabă sub forma unei coordonări în colaborare și eficace decât să înlocuiască responsabilitățile naționale;</w:t>
      </w:r>
    </w:p>
    <w:p w14:paraId="789C6A87" w14:textId="77777777" w:rsidR="008F6573" w:rsidRDefault="008F6573" w:rsidP="00953DA1">
      <w:pPr>
        <w:rPr>
          <w:szCs w:val="22"/>
        </w:rPr>
      </w:pPr>
    </w:p>
    <w:p w14:paraId="5B98BF28" w14:textId="4073201F" w:rsidR="008F6573" w:rsidRDefault="004F0FC3" w:rsidP="00953DA1">
      <w:pPr>
        <w:pStyle w:val="Heading2"/>
        <w:rPr>
          <w:szCs w:val="22"/>
        </w:rPr>
      </w:pPr>
      <w:r>
        <w:t>salută cadrul Actului legislativ privind rețelele digitale pentru tranziția de la cupru la fibră optică și îl consideră esențial pentru o piață unică sigură și competitivă. Recomandă ca planurile naționale de tranziție la fibră optică să fie sprijinite de resurse ale UE și naționale pentru a ajuta la acoperirea costurilor de migrare pentru operatori și ca dezactivarea rețelelor de cupru să fie condiționată de o acoperire adecvată cu fibră optică și de măsuri de garantare a accesului la prețuri abordabile pentru utilizatorii vulnerabili și la distanță. CESE recomandă să se consolideze definiția accesibilității prețurilor în condițiile care reglementează dezactivarea rețelelor de cupru prin intermediul unor indici de referință la nivelul UE, pentru a garanta un nivel minim armonizat de protecție pentru consumatorii vulnerabili, permițând în același timp statelor membre să îl îmbunătățească, dacă este necesar. S-ar putea institui monitorizarea prețurilor și acțiuni corective obligatorii, dacă prețurile sunt excesive, pentru a garanta că această condiție este aplicată corespunzător;</w:t>
      </w:r>
    </w:p>
    <w:p w14:paraId="3E35C9CD" w14:textId="77777777" w:rsidR="008F6573" w:rsidRDefault="008F6573" w:rsidP="00953DA1">
      <w:pPr>
        <w:rPr>
          <w:szCs w:val="22"/>
        </w:rPr>
      </w:pPr>
    </w:p>
    <w:p w14:paraId="6DD1FEBC" w14:textId="28AC9AED" w:rsidR="008F6573" w:rsidRDefault="004F0FC3" w:rsidP="00953DA1">
      <w:pPr>
        <w:pStyle w:val="Heading2"/>
        <w:rPr>
          <w:szCs w:val="22"/>
        </w:rPr>
      </w:pPr>
      <w:r>
        <w:t>insistă că integrarea cadrului privind internetul deschis în Actul legislativ privind rețelele digitale trebuie să mențină neutralitatea rețelei ca garanție centrală și autonomă pentru consumatori și recomandă elaborarea unor excepții de la principiul neutralității rețelei, ținând seama de posibilitatea ca rețelele de foarte mare capacitate și rețelele 5G să ofere servicii inovatoare și utile pentru consumatori, întreprinderi și administrațiile publice și de necesitatea creării unui cadru de reglementare care să susțină aceste servicii;</w:t>
      </w:r>
    </w:p>
    <w:p w14:paraId="1A095CB2" w14:textId="77777777" w:rsidR="008F6573" w:rsidRDefault="008F6573" w:rsidP="00953DA1">
      <w:pPr>
        <w:rPr>
          <w:szCs w:val="22"/>
        </w:rPr>
      </w:pPr>
    </w:p>
    <w:p w14:paraId="45DBF6F8" w14:textId="6923BD03" w:rsidR="008F6573" w:rsidRDefault="004F0FC3" w:rsidP="00953DA1">
      <w:pPr>
        <w:pStyle w:val="Heading2"/>
        <w:rPr>
          <w:szCs w:val="22"/>
        </w:rPr>
      </w:pPr>
      <w:r>
        <w:t>recomandă excluderea explicită a sistemelor de reglementare de tip „</w:t>
      </w:r>
      <w:r>
        <w:rPr>
          <w:i/>
        </w:rPr>
        <w:t>fair-share</w:t>
      </w:r>
      <w:r>
        <w:t>” care impun plăți obligatorii din partea marilor furnizori de conținuturi pe baza volumelor de trafic sau a originii traficului. Comitetul recunoaște că au loc negocieri comerciale între furnizorii de acces și marii furnizori de conținuturi, dar solicită garanții stricte împotriva reintroducerii indirecte a principiului „</w:t>
      </w:r>
      <w:r>
        <w:rPr>
          <w:i/>
        </w:rPr>
        <w:t>fair share</w:t>
      </w:r>
      <w:r>
        <w:t>” și observă că în Actul legislativ privind rețelele digitale nu sunt prevăzute dispoziții obligatorii;</w:t>
      </w:r>
    </w:p>
    <w:p w14:paraId="7F2996C3" w14:textId="77777777" w:rsidR="008F6573" w:rsidRDefault="008F6573" w:rsidP="00953DA1">
      <w:pPr>
        <w:rPr>
          <w:szCs w:val="22"/>
        </w:rPr>
      </w:pPr>
    </w:p>
    <w:p w14:paraId="2EE0F95D" w14:textId="18DBC280" w:rsidR="008F6573" w:rsidRDefault="004F0FC3" w:rsidP="00953DA1">
      <w:pPr>
        <w:pStyle w:val="Heading2"/>
        <w:rPr>
          <w:szCs w:val="22"/>
        </w:rPr>
      </w:pPr>
      <w:r>
        <w:t>sprijină drepturile solide, actualizate și pe deplin armonizate ale utilizatorilor finali și solicită standarde minime de calitate a serviciilor. CESE solicită consolidarea căilor de atac și a procedurilor de despăgubire transfrontaliere pentru a contrabalansa și a compensa consecințele nedorite pe care concentrarea preconizată a operatorilor le-ar putea avea asupra pieței digitale și pentru a asigura distribuirea echitabilă a beneficiilor preconizate între toți participanții la piață;</w:t>
      </w:r>
    </w:p>
    <w:p w14:paraId="43361044" w14:textId="77777777" w:rsidR="008F6573" w:rsidRDefault="008F6573" w:rsidP="00953DA1">
      <w:pPr>
        <w:rPr>
          <w:szCs w:val="22"/>
        </w:rPr>
      </w:pPr>
    </w:p>
    <w:p w14:paraId="182634B8" w14:textId="29AB6CBF" w:rsidR="008F6573" w:rsidRDefault="004F0FC3" w:rsidP="00953DA1">
      <w:pPr>
        <w:pStyle w:val="Heading2"/>
        <w:rPr>
          <w:szCs w:val="22"/>
        </w:rPr>
      </w:pPr>
      <w:r>
        <w:t>subliniază necesitatea unei coerențe normative în materie de securitate și reziliență. Mai precis, Comitetul solicită o aliniere strânsă între Actul legislativ privind rețelele digitale, Directiva</w:t>
      </w:r>
      <w:r w:rsidR="0056072A">
        <w:t> </w:t>
      </w:r>
      <w:r>
        <w:t xml:space="preserve">NIS2, Regulamentul privind securitatea cibernetică și Directiva privind reziliența entităților critice, pentru a evita duplicarea obligațiilor, conflictele de competențe și neajunsurile în gestionarea incidentelor. Comitetul evidențiază că orice altă cerință sectorială în materie de </w:t>
      </w:r>
      <w:r>
        <w:lastRenderedPageBreak/>
        <w:t>securitate și reziliență prevăzută în Actul legislativ privind rețelele digitale ar trebui să se bazeze strict pe analize de risc, să fie proporțională și să se alinieze la cadrele orizontale existente. De asemenea, solicită o elaborare transparentă și participativă a Planului de pregătire al UE pentru infrastructurile digitale.</w:t>
      </w:r>
    </w:p>
    <w:p w14:paraId="0CC12A06" w14:textId="77777777" w:rsidR="008F6573" w:rsidRDefault="008F6573" w:rsidP="00953DA1">
      <w:pPr>
        <w:pStyle w:val="Heading1"/>
        <w:numPr>
          <w:ilvl w:val="0"/>
          <w:numId w:val="0"/>
        </w:numPr>
        <w:rPr>
          <w:szCs w:val="22"/>
        </w:rPr>
      </w:pPr>
    </w:p>
    <w:p w14:paraId="6975DDFA" w14:textId="4F264E2E" w:rsidR="008F6573" w:rsidRDefault="004F0FC3" w:rsidP="00B941A0">
      <w:pPr>
        <w:pStyle w:val="Heading1"/>
        <w:keepNext/>
        <w:keepLines/>
        <w:ind w:left="567" w:hanging="567"/>
        <w:rPr>
          <w:b/>
          <w:bCs/>
          <w:szCs w:val="22"/>
        </w:rPr>
      </w:pPr>
      <w:r>
        <w:rPr>
          <w:b/>
        </w:rPr>
        <w:t>NOTE EXPLICATIVE</w:t>
      </w:r>
    </w:p>
    <w:p w14:paraId="6F9B74D8" w14:textId="77777777" w:rsidR="008F6573" w:rsidRDefault="008F6573" w:rsidP="00B941A0">
      <w:pPr>
        <w:keepNext/>
        <w:keepLines/>
        <w:rPr>
          <w:szCs w:val="22"/>
        </w:rPr>
      </w:pPr>
    </w:p>
    <w:p w14:paraId="69D1A9B1" w14:textId="6DF6943F" w:rsidR="008F6573" w:rsidRDefault="004F0FC3" w:rsidP="00B941A0">
      <w:pPr>
        <w:pStyle w:val="Heading1"/>
        <w:keepNext/>
        <w:keepLines/>
        <w:numPr>
          <w:ilvl w:val="0"/>
          <w:numId w:val="0"/>
        </w:numPr>
        <w:ind w:left="567"/>
        <w:rPr>
          <w:b/>
          <w:bCs/>
          <w:i/>
          <w:iCs/>
          <w:szCs w:val="22"/>
        </w:rPr>
      </w:pPr>
      <w:r>
        <w:rPr>
          <w:b/>
          <w:i/>
        </w:rPr>
        <w:t>Argumente în sprijinul recomandării I</w:t>
      </w:r>
    </w:p>
    <w:p w14:paraId="27A21612" w14:textId="77777777" w:rsidR="008F6573" w:rsidRDefault="008F6573" w:rsidP="00B941A0">
      <w:pPr>
        <w:keepNext/>
        <w:keepLines/>
        <w:rPr>
          <w:b/>
          <w:bCs/>
          <w:szCs w:val="22"/>
        </w:rPr>
      </w:pPr>
    </w:p>
    <w:p w14:paraId="2B67DE64" w14:textId="6D5FE594" w:rsidR="008F6573" w:rsidRDefault="004F0FC3" w:rsidP="00953DA1">
      <w:pPr>
        <w:pStyle w:val="Heading2"/>
        <w:rPr>
          <w:szCs w:val="22"/>
        </w:rPr>
      </w:pPr>
      <w:r>
        <w:t>Actul legislativ privind rețelele digitale reprezintă o actualizare necesară și proporțională a cadrului UE în domeniul comunicațiilor electronice, menită să consolideze piața internă, competitivitatea și securitatea UE și să faciliteze tranziția digitală și pe cea verde. Din punct de vedere juridic, acest lucru se aliniază mandatului UE de a institui și a asigura funcționarea pieței interne și de a promova conectivitatea și inovarea în temeiul articolelor 26 și 114 din TFUE, sprijinind în același timp realizarea obiectivelor Deceniului digital.</w:t>
      </w:r>
    </w:p>
    <w:p w14:paraId="4BCAE4E2" w14:textId="77777777" w:rsidR="008F6573" w:rsidRDefault="008F6573" w:rsidP="00953DA1">
      <w:pPr>
        <w:pStyle w:val="Heading1"/>
        <w:numPr>
          <w:ilvl w:val="0"/>
          <w:numId w:val="0"/>
        </w:numPr>
        <w:rPr>
          <w:szCs w:val="22"/>
        </w:rPr>
      </w:pPr>
    </w:p>
    <w:p w14:paraId="7B674F4A" w14:textId="0329F6F8" w:rsidR="008F6573" w:rsidRDefault="004F0FC3" w:rsidP="00953DA1">
      <w:pPr>
        <w:pStyle w:val="Heading1"/>
        <w:keepNext/>
        <w:keepLines/>
        <w:numPr>
          <w:ilvl w:val="0"/>
          <w:numId w:val="0"/>
        </w:numPr>
        <w:ind w:left="567"/>
        <w:rPr>
          <w:b/>
          <w:bCs/>
          <w:i/>
          <w:iCs/>
          <w:szCs w:val="22"/>
        </w:rPr>
      </w:pPr>
      <w:r>
        <w:rPr>
          <w:b/>
          <w:i/>
        </w:rPr>
        <w:t>Argumente în sprijinul recomandării II</w:t>
      </w:r>
    </w:p>
    <w:p w14:paraId="7BF44BAD" w14:textId="77777777" w:rsidR="008F6573" w:rsidRDefault="008F6573" w:rsidP="00953DA1">
      <w:pPr>
        <w:keepNext/>
        <w:keepLines/>
        <w:rPr>
          <w:szCs w:val="22"/>
        </w:rPr>
      </w:pPr>
    </w:p>
    <w:p w14:paraId="4559C9A3" w14:textId="48EA0166" w:rsidR="008F6573" w:rsidRDefault="004F0FC3" w:rsidP="00953DA1">
      <w:pPr>
        <w:pStyle w:val="Heading2"/>
        <w:rPr>
          <w:szCs w:val="22"/>
        </w:rPr>
      </w:pPr>
      <w:r>
        <w:t>Un regulament prevede drepturi și obligații direct aplicabile pentru furnizori, autorități și utilizatori finali, reducând riscul unei transpuneri naționale divergente și al fragmentării juridice. Această alegere sporește securitatea juridică și asigurarea efectivă a respectării dreptului Uniunii, în conformitate cu articolul 288 din TFUE, și sprijină o piață cu adevărat integrată pentru rețelele și serviciile digitale.</w:t>
      </w:r>
    </w:p>
    <w:p w14:paraId="7DA52F2E" w14:textId="77777777" w:rsidR="008F6573" w:rsidRDefault="008F6573" w:rsidP="00953DA1">
      <w:pPr>
        <w:rPr>
          <w:szCs w:val="22"/>
        </w:rPr>
      </w:pPr>
    </w:p>
    <w:p w14:paraId="324CDAAD" w14:textId="4F347F1C" w:rsidR="008F6573" w:rsidRDefault="004F0FC3" w:rsidP="00953DA1">
      <w:pPr>
        <w:pStyle w:val="Heading2"/>
        <w:rPr>
          <w:szCs w:val="22"/>
        </w:rPr>
      </w:pPr>
      <w:r>
        <w:t>În același timp, deși salută armonizarea, CESE recomandă ca Actul legislativ privind rețelele digitale să includă garanții care să permită statelor membre și autorităților naționale de reglementare să abordeze circumstanțele specifice ale pieței (de exemplu, operatorii mici, regiunile ultraperiferice) acolo unde este necesar și proporțional. Acest lucru reflectă principiile subsidiarității și proporționalității prevăzute la articolul 5 din TUE și contribuie la garanția că normele uniforme nu ignoră nejustificat particularitățile naționale legitime.</w:t>
      </w:r>
    </w:p>
    <w:p w14:paraId="7FAB7679" w14:textId="77777777" w:rsidR="008F6573" w:rsidRDefault="008F6573" w:rsidP="00953DA1">
      <w:pPr>
        <w:rPr>
          <w:szCs w:val="22"/>
        </w:rPr>
      </w:pPr>
    </w:p>
    <w:p w14:paraId="5121665F" w14:textId="52F46807" w:rsidR="008F6573" w:rsidRDefault="004F0FC3" w:rsidP="00953DA1">
      <w:pPr>
        <w:pStyle w:val="Heading2"/>
        <w:rPr>
          <w:szCs w:val="22"/>
        </w:rPr>
      </w:pPr>
      <w:r>
        <w:t>Comitetul își exprimă îngrijorarea că utilizarea pe scară largă a măsurilor secundare și a instrumentelor juridice neobligatorii ar putea îndepărta legiuitorul de alegeri politice majore, afectând securitatea juridică și responsabilitatea democratică. În conformitate cu articolul 290 din TFUE și cu principiul securității juridice, aspecte esențiale precum drepturile fundamentale ale utilizatorilor, competențele principale ale autorităților și cerințele de bază privind calitatea ar trebui stabilite clar în regulamentul propriu-zis, actele delegate fiind limitate la actualizări tehnice neesențiale.</w:t>
      </w:r>
    </w:p>
    <w:p w14:paraId="4655EC24" w14:textId="77777777" w:rsidR="008F6573" w:rsidRDefault="008F6573" w:rsidP="00953DA1">
      <w:pPr>
        <w:pStyle w:val="Heading1"/>
        <w:numPr>
          <w:ilvl w:val="0"/>
          <w:numId w:val="0"/>
        </w:numPr>
        <w:rPr>
          <w:szCs w:val="22"/>
        </w:rPr>
      </w:pPr>
    </w:p>
    <w:p w14:paraId="728DB665" w14:textId="07F7C225" w:rsidR="008F6573" w:rsidRDefault="004F0FC3" w:rsidP="00953DA1">
      <w:pPr>
        <w:pStyle w:val="Heading1"/>
        <w:numPr>
          <w:ilvl w:val="0"/>
          <w:numId w:val="0"/>
        </w:numPr>
        <w:ind w:left="567"/>
        <w:rPr>
          <w:b/>
          <w:bCs/>
          <w:i/>
          <w:iCs/>
          <w:szCs w:val="22"/>
        </w:rPr>
      </w:pPr>
      <w:r>
        <w:rPr>
          <w:b/>
          <w:i/>
        </w:rPr>
        <w:t>Argumente în sprijinul recomandării III</w:t>
      </w:r>
    </w:p>
    <w:p w14:paraId="6F5A7706" w14:textId="77777777" w:rsidR="008F6573" w:rsidRDefault="008F6573" w:rsidP="00953DA1">
      <w:pPr>
        <w:rPr>
          <w:szCs w:val="22"/>
        </w:rPr>
      </w:pPr>
    </w:p>
    <w:p w14:paraId="419B2C5D" w14:textId="5891500B" w:rsidR="008F6573" w:rsidRDefault="004F0FC3" w:rsidP="00953DA1">
      <w:pPr>
        <w:pStyle w:val="Heading2"/>
        <w:rPr>
          <w:szCs w:val="22"/>
        </w:rPr>
      </w:pPr>
      <w:r>
        <w:t xml:space="preserve">Deși salută raționalizarea peisajului instituțional, CESE subliniază că Actul legislativ privind rețelele digitale trebuie să stabilească cu precizie sarcinile și competențele cu caracter „cvasinormativ” ale Oficiului pentru Rețele Digitale, ale Organismului Autorităților Europene de Reglementare în Domeniul Comunicațiilor Electronice (OAREC), ale Organismului pentru politica în domeniul spectrului de frecvențe radio (RSPB) și ale autorităților naționale de </w:t>
      </w:r>
      <w:r>
        <w:lastRenderedPageBreak/>
        <w:t>reglementare. Acest lucru este necesar pentru a preveni conflictele de competență, a garanta o reglementare eficace și eficientă și a respecta jurisprudența Curții de Justiție privind delegarea de competențe către agențiile și organele UE.</w:t>
      </w:r>
    </w:p>
    <w:p w14:paraId="1AA00EA4" w14:textId="77777777" w:rsidR="008F6573" w:rsidRDefault="008F6573" w:rsidP="00953DA1">
      <w:pPr>
        <w:rPr>
          <w:szCs w:val="22"/>
        </w:rPr>
      </w:pPr>
    </w:p>
    <w:p w14:paraId="77E00731" w14:textId="59B89AA0" w:rsidR="008F6573" w:rsidRDefault="004F0FC3" w:rsidP="00953DA1">
      <w:pPr>
        <w:pStyle w:val="Heading2"/>
        <w:rPr>
          <w:szCs w:val="22"/>
        </w:rPr>
      </w:pPr>
      <w:r>
        <w:t>Comitetul solicită o formulare clară care să confirme că coordonarea la nivelul UE și sprijinul acordat de Oficiul pentru Rețele Digitale, OAREC și RSPB nu vor submina capacitatea autorităților naționale de reglementare de a aborda disfuncționalitățile specifice ale pieței și puterea semnificativă pe piață la nivel național. Acest lucru este în concordanță cu logica legislației UE în domeniul comunicațiilor, care se bazează pe autorități naționale de reglementare independente și competente din punct de vedere tehnic, și cu principiul unei reglementări eficace și imparțiale recunoscut în legislația secundară a UE și în jurisprudență.</w:t>
      </w:r>
    </w:p>
    <w:p w14:paraId="67BCDC4F" w14:textId="77777777" w:rsidR="008F6573" w:rsidRDefault="008F6573" w:rsidP="00953DA1">
      <w:pPr>
        <w:pStyle w:val="Heading1"/>
        <w:numPr>
          <w:ilvl w:val="0"/>
          <w:numId w:val="0"/>
        </w:numPr>
        <w:ind w:left="567" w:hanging="567"/>
        <w:rPr>
          <w:szCs w:val="22"/>
        </w:rPr>
      </w:pPr>
    </w:p>
    <w:p w14:paraId="31AE84D7" w14:textId="0E16B472" w:rsidR="008F6573" w:rsidRDefault="004F0FC3" w:rsidP="00953DA1">
      <w:pPr>
        <w:pStyle w:val="Heading1"/>
        <w:keepNext/>
        <w:keepLines/>
        <w:numPr>
          <w:ilvl w:val="0"/>
          <w:numId w:val="0"/>
        </w:numPr>
        <w:ind w:left="567"/>
        <w:rPr>
          <w:b/>
          <w:bCs/>
          <w:i/>
          <w:iCs/>
          <w:szCs w:val="22"/>
        </w:rPr>
      </w:pPr>
      <w:r>
        <w:rPr>
          <w:b/>
          <w:i/>
        </w:rPr>
        <w:t>Argumente în sprijinul recomandării IV</w:t>
      </w:r>
    </w:p>
    <w:p w14:paraId="34BAC572" w14:textId="77777777" w:rsidR="008F6573" w:rsidRDefault="008F6573" w:rsidP="00953DA1">
      <w:pPr>
        <w:keepNext/>
        <w:keepLines/>
        <w:rPr>
          <w:szCs w:val="22"/>
        </w:rPr>
      </w:pPr>
    </w:p>
    <w:p w14:paraId="67550779" w14:textId="76152131" w:rsidR="008F6573" w:rsidRDefault="004F0FC3" w:rsidP="00953DA1">
      <w:pPr>
        <w:pStyle w:val="Heading2"/>
        <w:rPr>
          <w:szCs w:val="22"/>
        </w:rPr>
      </w:pPr>
      <w:r>
        <w:t>Introducerea unei notificări unice și a unor condiții armonizate va reduce fragmentarea legislativă și va facilita prestarea transfrontalieră a serviciilor, punând astfel în practică libertatea de stabilire și libera prestare a serviciilor. Aceasta este în conformitate cu articolele 49 și 56 din TFUE și va contribui la eliminarea obstacolelor rămase care împiedică operatorii să își extindă activitatea la nivelul UE.</w:t>
      </w:r>
    </w:p>
    <w:p w14:paraId="0E91ACE2" w14:textId="77777777" w:rsidR="008F6573" w:rsidRDefault="008F6573" w:rsidP="00953DA1">
      <w:pPr>
        <w:keepNext/>
        <w:keepLines/>
        <w:rPr>
          <w:szCs w:val="22"/>
        </w:rPr>
      </w:pPr>
    </w:p>
    <w:p w14:paraId="081AD946" w14:textId="532D4B0B" w:rsidR="008F6573" w:rsidRDefault="004F0FC3" w:rsidP="00953DA1">
      <w:pPr>
        <w:pStyle w:val="Heading2"/>
        <w:rPr>
          <w:szCs w:val="22"/>
        </w:rPr>
      </w:pPr>
      <w:r>
        <w:t xml:space="preserve">Comitetul își exprimă îngrijorarea că, în lipsa unor norme clare, operatorii s-ar putea confrunta cu cerințe de informare care se suprapun sau cu proceduri inconsecvente în diferite state membre. Prin urmare, Comitetul recomandă adoptarea unor dispoziții precise care să precizeze ce obligații sunt pe deplin armonizate și care cerințe naționale strict definite pot rămâne în vigoare, pentru a asigura previzibilitatea și a preveni o refragmentare </w:t>
      </w:r>
      <w:r>
        <w:rPr>
          <w:i/>
        </w:rPr>
        <w:t xml:space="preserve">de facto </w:t>
      </w:r>
      <w:r>
        <w:t>a pieței.</w:t>
      </w:r>
    </w:p>
    <w:p w14:paraId="1BF301F3" w14:textId="77777777" w:rsidR="008F6573" w:rsidRDefault="008F6573" w:rsidP="00953DA1">
      <w:pPr>
        <w:rPr>
          <w:szCs w:val="22"/>
        </w:rPr>
      </w:pPr>
    </w:p>
    <w:p w14:paraId="2D5AA8D5" w14:textId="72F8A4A0" w:rsidR="008F6573" w:rsidRDefault="004F0FC3" w:rsidP="00953DA1">
      <w:pPr>
        <w:pStyle w:val="Heading2"/>
        <w:rPr>
          <w:szCs w:val="22"/>
        </w:rPr>
      </w:pPr>
      <w:r>
        <w:t>Orice derogări justificate de motive de ordine publică, de siguranță publică sau de sănătate publică ar trebui enumerate exhaustiv și interpretate strict, în conformitate cu articolul 52 din TFUE. Astfel, se menține o marjă de manevră națională limitată pentru adoptarea de măsuri necesare și proporționale, protejând în același timp obiectivul principal al unui cadru de autorizare uniform și nediscriminatoriu pentru serviciile de comunicații electronice.</w:t>
      </w:r>
    </w:p>
    <w:p w14:paraId="190F5964" w14:textId="77777777" w:rsidR="008F6573" w:rsidRDefault="008F6573" w:rsidP="00953DA1">
      <w:pPr>
        <w:pStyle w:val="Heading1"/>
        <w:numPr>
          <w:ilvl w:val="0"/>
          <w:numId w:val="0"/>
        </w:numPr>
        <w:rPr>
          <w:szCs w:val="22"/>
        </w:rPr>
      </w:pPr>
    </w:p>
    <w:p w14:paraId="015C9410" w14:textId="3902A234" w:rsidR="008F6573" w:rsidRDefault="004F0FC3" w:rsidP="00953DA1">
      <w:pPr>
        <w:pStyle w:val="Heading1"/>
        <w:numPr>
          <w:ilvl w:val="0"/>
          <w:numId w:val="0"/>
        </w:numPr>
        <w:ind w:left="567"/>
        <w:rPr>
          <w:b/>
          <w:bCs/>
          <w:i/>
          <w:iCs/>
          <w:szCs w:val="22"/>
        </w:rPr>
      </w:pPr>
      <w:r>
        <w:rPr>
          <w:b/>
          <w:i/>
        </w:rPr>
        <w:t>Argumente în sprijinul recomandării V</w:t>
      </w:r>
    </w:p>
    <w:p w14:paraId="3DA0A994" w14:textId="77777777" w:rsidR="008F6573" w:rsidRDefault="008F6573" w:rsidP="00953DA1">
      <w:pPr>
        <w:rPr>
          <w:szCs w:val="22"/>
        </w:rPr>
      </w:pPr>
    </w:p>
    <w:p w14:paraId="57A8E41B" w14:textId="47D07C7F" w:rsidR="008F6573" w:rsidRDefault="004F0FC3" w:rsidP="00953DA1">
      <w:pPr>
        <w:pStyle w:val="Heading2"/>
        <w:rPr>
          <w:szCs w:val="22"/>
        </w:rPr>
      </w:pPr>
      <w:r>
        <w:t>Abordarea în ansamblu a autorizării, a spectrului radio, a dezactivării rețelelor de cupru și a guvernanței permite UE să combată barierele structurale din calea investițiilor și a concurenței mai degrabă în mod coordonat decât prin inițiative fragmentate. Această abordare integrată este în conformitate cu articolul 114 din TFUE și cu necesitatea unui răspuns cuprinzător la lacunele de lungă durată de pe piața unică a comunicațiilor electronice.</w:t>
      </w:r>
    </w:p>
    <w:p w14:paraId="71CA3793" w14:textId="77777777" w:rsidR="008F6573" w:rsidRDefault="008F6573" w:rsidP="00953DA1">
      <w:pPr>
        <w:rPr>
          <w:szCs w:val="22"/>
        </w:rPr>
      </w:pPr>
    </w:p>
    <w:p w14:paraId="0331ACB7" w14:textId="00E0BEB9" w:rsidR="008F6573" w:rsidRDefault="004F0FC3" w:rsidP="00953DA1">
      <w:pPr>
        <w:pStyle w:val="Heading2"/>
        <w:rPr>
          <w:szCs w:val="22"/>
        </w:rPr>
      </w:pPr>
      <w:r>
        <w:t xml:space="preserve">Măsurile corective bazate pe puterea semnificativă pe piață au facilitat concurența bazată pe infrastructură, în special prin intermediul operatorilor alternativi; Comitetul subliniază că aceste instrumente ar trebui să rămână în vigoare cel puțin până la finalizarea tranziției către fibră optică și a dezactivării rețelelor de cupru. Orice relaxare sau eliminare trebuie să se bazeze pe o analiză aprofundată a pieței care să demonstreze existența unei concurențe efective și trebuie să </w:t>
      </w:r>
      <w:r>
        <w:lastRenderedPageBreak/>
        <w:t>respecte principiile proporționalității și nediscriminării, astfel cum prevede cadrul de reglementare al UE și legislația UE în domeniul concurenței.</w:t>
      </w:r>
    </w:p>
    <w:p w14:paraId="3104E9A4" w14:textId="77777777" w:rsidR="008F6573" w:rsidRDefault="008F6573" w:rsidP="00953DA1">
      <w:pPr>
        <w:keepNext/>
        <w:keepLines/>
        <w:rPr>
          <w:szCs w:val="22"/>
        </w:rPr>
      </w:pPr>
    </w:p>
    <w:p w14:paraId="150FE0FD" w14:textId="39BAB464" w:rsidR="008F6573" w:rsidRDefault="004F0FC3" w:rsidP="00953DA1">
      <w:pPr>
        <w:pStyle w:val="Heading2"/>
        <w:rPr>
          <w:szCs w:val="22"/>
        </w:rPr>
      </w:pPr>
      <w:r>
        <w:t xml:space="preserve">Comitetul accentuează că noul cadru nu ar trebui să favorizeze </w:t>
      </w:r>
      <w:r>
        <w:rPr>
          <w:i/>
        </w:rPr>
        <w:t xml:space="preserve">de facto </w:t>
      </w:r>
      <w:r>
        <w:t>doar marii actori integrați vertical. Prin urmare, solicită evaluări ale impactului privind diferite modele de afaceri și, acolo unde este necesar, măsuri corective specifice, cum ar fi condiții de acces nediscriminatorii și prețuri echitabile și rezonabile, în conformitate cu legislația în domeniul concurenței și cu principiile privind facilitățile esențiale. Acest aspect este deosebit de relevant pentru operatorii care vând exclusiv angro, care au sprijinit semnificativ implementarea rețelelor de fibră până acasă (FTTH).</w:t>
      </w:r>
    </w:p>
    <w:p w14:paraId="7A7732DF" w14:textId="77777777" w:rsidR="008F6573" w:rsidRDefault="008F6573" w:rsidP="00953DA1">
      <w:pPr>
        <w:pStyle w:val="Heading1"/>
        <w:numPr>
          <w:ilvl w:val="0"/>
          <w:numId w:val="0"/>
        </w:numPr>
        <w:rPr>
          <w:szCs w:val="22"/>
        </w:rPr>
      </w:pPr>
    </w:p>
    <w:p w14:paraId="658BE3A1" w14:textId="57AB6AB4" w:rsidR="008F6573" w:rsidRDefault="004F0FC3" w:rsidP="00953DA1">
      <w:pPr>
        <w:pStyle w:val="Heading1"/>
        <w:keepNext/>
        <w:keepLines/>
        <w:numPr>
          <w:ilvl w:val="0"/>
          <w:numId w:val="0"/>
        </w:numPr>
        <w:ind w:left="567"/>
        <w:rPr>
          <w:b/>
          <w:bCs/>
          <w:i/>
          <w:iCs/>
          <w:szCs w:val="22"/>
        </w:rPr>
      </w:pPr>
      <w:r>
        <w:rPr>
          <w:b/>
          <w:i/>
        </w:rPr>
        <w:t>Argumente în sprijinul recomandării VI</w:t>
      </w:r>
    </w:p>
    <w:p w14:paraId="64110E1A" w14:textId="77777777" w:rsidR="008F6573" w:rsidRDefault="008F6573" w:rsidP="00953DA1">
      <w:pPr>
        <w:keepNext/>
        <w:keepLines/>
        <w:rPr>
          <w:szCs w:val="22"/>
        </w:rPr>
      </w:pPr>
    </w:p>
    <w:p w14:paraId="42A8888E" w14:textId="3DF7669A" w:rsidR="008F6573" w:rsidRDefault="004F0FC3" w:rsidP="00953DA1">
      <w:pPr>
        <w:pStyle w:val="Heading2"/>
        <w:rPr>
          <w:szCs w:val="22"/>
        </w:rPr>
      </w:pPr>
      <w:r>
        <w:t>Competențele autorităților naționale de reglementare de a impune accesul la fibră neagră și la infrastructura de inginerie civilă sunt necesare pentru a permite celor nou-intrați și operatorilor alternativi să implementeze eficient rețele de mare capacitate, contribuind astfel la dezvoltarea pieței unice. Din punct de vedere juridic, aceste măsuri corective se încadrează în abordarea consacrată a UE care permite impunerea accesului la infrastructuri ce constituie puncte de blocaj atunci când este necesar pentru o concurență efectivă, și sunt în conformitate cu cerințele de proporționalitate prevăzute în dreptul Uniunii.</w:t>
      </w:r>
    </w:p>
    <w:p w14:paraId="0B83295D" w14:textId="77777777" w:rsidR="008F6573" w:rsidRDefault="008F6573" w:rsidP="00953DA1">
      <w:pPr>
        <w:pStyle w:val="Heading1"/>
        <w:numPr>
          <w:ilvl w:val="0"/>
          <w:numId w:val="0"/>
        </w:numPr>
        <w:rPr>
          <w:szCs w:val="22"/>
        </w:rPr>
      </w:pPr>
    </w:p>
    <w:p w14:paraId="5F2EEB39" w14:textId="662951DB" w:rsidR="008F6573" w:rsidRDefault="004F0FC3" w:rsidP="00953DA1">
      <w:pPr>
        <w:pStyle w:val="Heading1"/>
        <w:keepNext/>
        <w:numPr>
          <w:ilvl w:val="0"/>
          <w:numId w:val="0"/>
        </w:numPr>
        <w:ind w:left="567"/>
        <w:rPr>
          <w:b/>
          <w:bCs/>
          <w:i/>
          <w:iCs/>
          <w:szCs w:val="22"/>
        </w:rPr>
      </w:pPr>
      <w:r>
        <w:rPr>
          <w:b/>
          <w:i/>
        </w:rPr>
        <w:t>Argumente în sprijinul recomandării VII</w:t>
      </w:r>
    </w:p>
    <w:p w14:paraId="4B4AFD21" w14:textId="77777777" w:rsidR="008F6573" w:rsidRDefault="008F6573" w:rsidP="00953DA1">
      <w:pPr>
        <w:keepNext/>
        <w:rPr>
          <w:b/>
          <w:bCs/>
          <w:szCs w:val="22"/>
        </w:rPr>
      </w:pPr>
    </w:p>
    <w:p w14:paraId="7FC1B3A2" w14:textId="0EC8E4A2" w:rsidR="008F6573" w:rsidRDefault="004F0FC3" w:rsidP="00953DA1">
      <w:pPr>
        <w:pStyle w:val="Heading2"/>
        <w:rPr>
          <w:szCs w:val="22"/>
        </w:rPr>
      </w:pPr>
      <w:r>
        <w:t>Comitetul acceptă că duratele mai lungi, și în unele cazuri nelimitate, ale licențelor pot sprijini planificarea și investițiile pe termen lung, dar insistă asupra unor revizuiri periodice și a unor mecanisme de tipul „utilizare integrală sau partajată”. Aceste garanții sunt necesare pentru a preveni blocarea spectrului, a asigura utilizarea eficientă a unei resurse publice limitate și a evita consolidarea pe termen lung a pozițiilor dominante, contrare principiilor UE în materie de concurență și de politică în domeniul spectrului de frecvențe radio. Comitetul solicită, de asemenea, proceduri transparente, criterii clare de evaluare și termene rezonabile pentru revizuirea la nivelul UE a deciziilor naționale privind spectrul de frecvențe radio, în conformitate cu principiul cooperării loiale prevăzut la articolul 4 alineatul (3) din TUE, contribuind astfel la alinierea deciziilor naționale la obiectivele comune ale UE și ținând în același timp seama de rolul legitim al statelor membre în gestionarea spectrului de frecvențe radio. Comitetul evidențiază că dispozițiile tranzitorii nu trebuie să prelungească nejustificat incertitudinea în materie de reglementare pentru titularii de licențe existenți și că noile norme privind durata și reînnoirea licențelor ar trebui puse în aplicare astfel încât să ofere stimulente prompte și previzibile pentru investiții susținute în rețelele 5G și în viitoarele rețele 6G.</w:t>
      </w:r>
    </w:p>
    <w:p w14:paraId="1ECA3380" w14:textId="6008BA82" w:rsidR="008F6573" w:rsidRDefault="008F6573" w:rsidP="00953DA1">
      <w:pPr>
        <w:pStyle w:val="Heading1"/>
        <w:numPr>
          <w:ilvl w:val="0"/>
          <w:numId w:val="0"/>
        </w:numPr>
        <w:rPr>
          <w:szCs w:val="22"/>
        </w:rPr>
      </w:pPr>
    </w:p>
    <w:p w14:paraId="4D7394C4" w14:textId="7B5A4DB4" w:rsidR="008F6573" w:rsidRDefault="004F0FC3" w:rsidP="00953DA1">
      <w:pPr>
        <w:pStyle w:val="Heading1"/>
        <w:numPr>
          <w:ilvl w:val="0"/>
          <w:numId w:val="0"/>
        </w:numPr>
        <w:ind w:left="567"/>
        <w:rPr>
          <w:b/>
          <w:bCs/>
          <w:i/>
          <w:iCs/>
          <w:szCs w:val="22"/>
        </w:rPr>
      </w:pPr>
      <w:r>
        <w:rPr>
          <w:b/>
          <w:i/>
        </w:rPr>
        <w:t>Argumente în sprijinul recomandării VIII</w:t>
      </w:r>
    </w:p>
    <w:p w14:paraId="51C5EF02" w14:textId="77777777" w:rsidR="008F6573" w:rsidRDefault="008F6573" w:rsidP="00953DA1">
      <w:pPr>
        <w:rPr>
          <w:b/>
          <w:bCs/>
          <w:szCs w:val="22"/>
        </w:rPr>
      </w:pPr>
    </w:p>
    <w:p w14:paraId="04A84E0C" w14:textId="6DD73B5B" w:rsidR="008F6573" w:rsidRDefault="004F0FC3" w:rsidP="00953DA1">
      <w:pPr>
        <w:pStyle w:val="Heading2"/>
        <w:rPr>
          <w:szCs w:val="22"/>
        </w:rPr>
      </w:pPr>
      <w:r>
        <w:t xml:space="preserve">Comitetul constată că dezactivarea ordonată a rețelelor de cupru, combinată cu adaptarea normativă adecvată într-un mediu care folosește integral fibra optică, poate susține implementarea unor servicii avansate, precum tehnica de calcul la margine și informatica cuantică, rețelele inteligente, telemedicina și agricultura inteligentă. La rândul său, acest lucru </w:t>
      </w:r>
      <w:r>
        <w:lastRenderedPageBreak/>
        <w:t>va contribui la reducerea decalajului în materie de inovare față de concurenții globali și este în concordanță cu obiectivele politicii industriale și digitale a UE.</w:t>
      </w:r>
    </w:p>
    <w:p w14:paraId="2E554688" w14:textId="77777777" w:rsidR="008F6573" w:rsidRDefault="008F6573" w:rsidP="00953DA1">
      <w:pPr>
        <w:pStyle w:val="Heading2"/>
        <w:numPr>
          <w:ilvl w:val="0"/>
          <w:numId w:val="0"/>
        </w:numPr>
        <w:ind w:left="567"/>
        <w:rPr>
          <w:szCs w:val="22"/>
        </w:rPr>
      </w:pPr>
    </w:p>
    <w:p w14:paraId="29F8F2C3" w14:textId="2B6A4F1E" w:rsidR="008F6573" w:rsidRDefault="004F0FC3" w:rsidP="00953DA1">
      <w:pPr>
        <w:pStyle w:val="Heading2"/>
        <w:rPr>
          <w:szCs w:val="22"/>
        </w:rPr>
      </w:pPr>
      <w:r>
        <w:t>Investițiile substanțiale necesare pentru extinderea rețelei de fibră optică și dezafectarea rețelei de cupru nu ar trebui să revină exclusiv operatorilor, în special în domeniile mai puțin profitabile. Prin urmare, Comitetul solicită Comisiei să clarifice și să promoveze utilizarea instrumentelor de finanțare ale UE și naționale, în conformitate cu normele privind ajutoarele de stat, pentru a sprijini această tranziție strategică și a asigura îndeplinirea obiectivelor de conectivitate în toate regiunile.</w:t>
      </w:r>
    </w:p>
    <w:p w14:paraId="50B8D8D0" w14:textId="77777777" w:rsidR="008F6573" w:rsidRDefault="008F6573" w:rsidP="00953DA1">
      <w:pPr>
        <w:pStyle w:val="Heading2"/>
        <w:numPr>
          <w:ilvl w:val="0"/>
          <w:numId w:val="0"/>
        </w:numPr>
        <w:ind w:left="567"/>
        <w:rPr>
          <w:szCs w:val="22"/>
        </w:rPr>
      </w:pPr>
    </w:p>
    <w:p w14:paraId="655A4A31" w14:textId="224341D6" w:rsidR="008F6573" w:rsidRDefault="004F0FC3" w:rsidP="00953DA1">
      <w:pPr>
        <w:pStyle w:val="Heading2"/>
        <w:rPr>
          <w:szCs w:val="22"/>
        </w:rPr>
      </w:pPr>
      <w:r>
        <w:t>Comitetul subliniază că obligațiile de dezafectare a rețelelor de cupru trebuie să fie corelate cu praguri minime de acoperire cu fibră optică și cu garanții specifice pentru zonele rurale, îndepărtate și defavorizate și pentru utilizatorii vulnerabili. Acest lucru este necesar pentru a asigura coerența cu obiectivele tratatelor privind coeziunea economică, socială și teritorială și cu evoluția obligațiilor de serviciu universal către o conectivitate eficace și accesibilă pentru toți.</w:t>
      </w:r>
    </w:p>
    <w:p w14:paraId="5260380B" w14:textId="77777777" w:rsidR="008F6573" w:rsidRDefault="008F6573" w:rsidP="00953DA1">
      <w:pPr>
        <w:rPr>
          <w:szCs w:val="22"/>
        </w:rPr>
      </w:pPr>
    </w:p>
    <w:p w14:paraId="6674C7A6" w14:textId="5EAC4AFB" w:rsidR="008F6573" w:rsidRDefault="004F0FC3" w:rsidP="00953DA1">
      <w:pPr>
        <w:pStyle w:val="Heading1"/>
        <w:keepNext/>
        <w:keepLines/>
        <w:numPr>
          <w:ilvl w:val="0"/>
          <w:numId w:val="0"/>
        </w:numPr>
        <w:ind w:left="567"/>
        <w:rPr>
          <w:b/>
          <w:bCs/>
          <w:i/>
          <w:iCs/>
          <w:szCs w:val="22"/>
        </w:rPr>
      </w:pPr>
      <w:r>
        <w:rPr>
          <w:b/>
          <w:i/>
        </w:rPr>
        <w:t>Argumente în sprijinul recomandării IX</w:t>
      </w:r>
    </w:p>
    <w:p w14:paraId="04186298" w14:textId="77777777" w:rsidR="008F6573" w:rsidRDefault="008F6573" w:rsidP="00953DA1">
      <w:pPr>
        <w:keepNext/>
        <w:keepLines/>
        <w:rPr>
          <w:szCs w:val="22"/>
        </w:rPr>
      </w:pPr>
    </w:p>
    <w:p w14:paraId="291C1BB3" w14:textId="12C578DF" w:rsidR="008F6573" w:rsidRDefault="004F0FC3" w:rsidP="00953DA1">
      <w:pPr>
        <w:pStyle w:val="Heading2"/>
        <w:rPr>
          <w:szCs w:val="22"/>
        </w:rPr>
      </w:pPr>
      <w:r>
        <w:t>Comitetul solicită adoptarea unor norme privind gestionarea traficului, serviciile specializate și practicile comerciale care să mențină o interdicție clară a discriminării nejustificate și a practicilor care subminează pluralismul mass-mediei, libertatea de exprimare și accesul la informații. Acest lucru este necesar pentru a respecta standardele UE existente în materie de neutralitate a rețelei și drepturile consacrate în Carta drepturilor fundamentale. Totodată, Comitetul subliniază că conectivitatea și serviciile gestionate în sectorul business-to-business, care se bazează pe contracte negociate între profesioniști, ar trebui să beneficieze de o flexibilitate corespunzătoare, în măsura în care nu subminează garanțiile privind neutralitatea rețelei pentru utilizatorii finali de retail.</w:t>
      </w:r>
    </w:p>
    <w:p w14:paraId="4B24A115" w14:textId="77777777" w:rsidR="008F6573" w:rsidRDefault="008F6573" w:rsidP="00953DA1">
      <w:pPr>
        <w:rPr>
          <w:szCs w:val="22"/>
        </w:rPr>
      </w:pPr>
    </w:p>
    <w:p w14:paraId="05066905" w14:textId="6411E183" w:rsidR="008F6573" w:rsidRDefault="004F0FC3" w:rsidP="00953DA1">
      <w:pPr>
        <w:pStyle w:val="Heading2"/>
        <w:rPr>
          <w:szCs w:val="22"/>
        </w:rPr>
      </w:pPr>
      <w:r>
        <w:t xml:space="preserve">Excepțiile legate de securitate, gestionarea congestiei sau respectarea legislației ar trebui enumerate exhaustiv și supuse unor criterii obiective, cu obligații clare de informare a utilizatorilor. Adoptarea acestei abordări reduce riscul ca noțiuni generale precum „eficiența” sau „durabilitatea” să fie utilizate ca justificări generice pentru practici de gestionare a traficului care, </w:t>
      </w:r>
      <w:r>
        <w:rPr>
          <w:i/>
        </w:rPr>
        <w:t>de facto</w:t>
      </w:r>
      <w:r>
        <w:t>, erodează neutralitatea rețelei și denaturează concurența. În ceea ce privește fraudele și comunicările nesolicitate, Comitetul susține consolidarea cooperării și a schimbului de informații între operatori și autorități, eventual prin intermediul unor platforme multipartite structurate. În același timp, Comitetul lansează un avertisment cu privire la cerințele tehnice excesiv de prescriptive ale Actului legislativ privind rețelele digitale, care ar putea deveni caduce rapid. Operatorii ar trebui să dispună de suficientă flexibilitate pentru a implementa cele mai eficace măsuri tehnice și organizatorice împotriva sistemelor de fraudă în continuă evoluție, utilizând un temei juridic clar pentru prelucrarea datelor în temeiul Regulamentului general privind protecția datelor.</w:t>
      </w:r>
    </w:p>
    <w:p w14:paraId="5F18BF7C" w14:textId="77777777" w:rsidR="008F6573" w:rsidRDefault="008F6573" w:rsidP="00953DA1">
      <w:pPr>
        <w:pStyle w:val="Heading1"/>
        <w:numPr>
          <w:ilvl w:val="0"/>
          <w:numId w:val="0"/>
        </w:numPr>
        <w:rPr>
          <w:szCs w:val="22"/>
        </w:rPr>
      </w:pPr>
    </w:p>
    <w:p w14:paraId="70839EF8" w14:textId="6F8300E7" w:rsidR="008F6573" w:rsidRDefault="004F0FC3" w:rsidP="0056072A">
      <w:pPr>
        <w:pStyle w:val="Heading1"/>
        <w:keepNext/>
        <w:keepLines/>
        <w:numPr>
          <w:ilvl w:val="0"/>
          <w:numId w:val="0"/>
        </w:numPr>
        <w:ind w:left="567"/>
        <w:rPr>
          <w:b/>
          <w:bCs/>
          <w:i/>
          <w:iCs/>
          <w:szCs w:val="22"/>
        </w:rPr>
      </w:pPr>
      <w:r>
        <w:rPr>
          <w:b/>
          <w:i/>
        </w:rPr>
        <w:lastRenderedPageBreak/>
        <w:t>Argumente în sprijinul recomandării X</w:t>
      </w:r>
    </w:p>
    <w:p w14:paraId="7A7EACB8" w14:textId="77777777" w:rsidR="008F6573" w:rsidRPr="0056072A" w:rsidRDefault="008F6573" w:rsidP="0056072A">
      <w:pPr>
        <w:keepNext/>
        <w:keepLines/>
        <w:rPr>
          <w:sz w:val="18"/>
          <w:szCs w:val="18"/>
        </w:rPr>
      </w:pPr>
    </w:p>
    <w:p w14:paraId="04768F1A" w14:textId="49E7ED5C" w:rsidR="008F6573" w:rsidRDefault="004F0FC3" w:rsidP="0056072A">
      <w:pPr>
        <w:pStyle w:val="Heading2"/>
        <w:keepNext/>
        <w:keepLines/>
        <w:rPr>
          <w:szCs w:val="22"/>
        </w:rPr>
      </w:pPr>
      <w:r>
        <w:t>Comitetul este îngrijorat că sistemele de tip „</w:t>
      </w:r>
      <w:r>
        <w:rPr>
          <w:i/>
        </w:rPr>
        <w:t>fair-share</w:t>
      </w:r>
      <w:r>
        <w:t>” care impun plăți obligatorii din partea marilor furnizori de conținuturi pe baza volumelor de trafic sau a originii traficului ar putea intra în conflict cu principiile neutralității rețelei, ar putea introduce un tratament discriminatoriu între operatori și ar putea perturba ecosistemul de interconectare stabilit, bazat pe contracte. Prin urmare, Comitetul pledează pentru menținerea modelului actual de negociere pentru interconectare și peering, supus legislației generale în domeniul concurenței, în locul introducerii unor obligații cvasifiscale sau de tipul unei taxe pentru generatorii de trafic.</w:t>
      </w:r>
    </w:p>
    <w:p w14:paraId="31D4E192" w14:textId="77777777" w:rsidR="008F6573" w:rsidRPr="0056072A" w:rsidRDefault="008F6573" w:rsidP="00953DA1">
      <w:pPr>
        <w:pStyle w:val="Heading1"/>
        <w:numPr>
          <w:ilvl w:val="0"/>
          <w:numId w:val="0"/>
        </w:numPr>
        <w:rPr>
          <w:sz w:val="18"/>
          <w:szCs w:val="18"/>
        </w:rPr>
      </w:pPr>
    </w:p>
    <w:p w14:paraId="1FC4362B" w14:textId="0FC68A31" w:rsidR="008F6573" w:rsidRDefault="004F0FC3" w:rsidP="00953DA1">
      <w:pPr>
        <w:pStyle w:val="Heading1"/>
        <w:numPr>
          <w:ilvl w:val="0"/>
          <w:numId w:val="0"/>
        </w:numPr>
        <w:ind w:left="567"/>
        <w:rPr>
          <w:b/>
          <w:bCs/>
          <w:i/>
          <w:iCs/>
          <w:szCs w:val="22"/>
        </w:rPr>
      </w:pPr>
      <w:r>
        <w:rPr>
          <w:b/>
          <w:i/>
        </w:rPr>
        <w:t>Argumente în sprijinul recomandării XI</w:t>
      </w:r>
    </w:p>
    <w:p w14:paraId="0EBCFBEF" w14:textId="77777777" w:rsidR="008F6573" w:rsidRPr="0056072A" w:rsidRDefault="008F6573" w:rsidP="00953DA1">
      <w:pPr>
        <w:rPr>
          <w:b/>
          <w:bCs/>
          <w:sz w:val="18"/>
          <w:szCs w:val="18"/>
        </w:rPr>
      </w:pPr>
    </w:p>
    <w:p w14:paraId="2881A136" w14:textId="5A7D6F2B" w:rsidR="008F6573" w:rsidRDefault="004F0FC3" w:rsidP="00953DA1">
      <w:pPr>
        <w:pStyle w:val="Heading2"/>
        <w:rPr>
          <w:szCs w:val="22"/>
        </w:rPr>
      </w:pPr>
      <w:r>
        <w:t xml:space="preserve">Orice mecanisme de conciliere sau de orientare, inclusiv cele care implică OAREC, ar trebui concepute astfel încât să se garanteze că acordurile negociate nu se traduc printr-un tratament diferențiat al traficului sau prin efecte la nivelul utilizatorilor care să fie incompatibile cu normele privind internetul deschis. Regulamentul ar trebui să precizeze clar că astfel de negocieri nu pot submina drepturile utilizatorilor finali sau duce la scheme </w:t>
      </w:r>
      <w:r>
        <w:rPr>
          <w:i/>
        </w:rPr>
        <w:t xml:space="preserve">de facto </w:t>
      </w:r>
      <w:r>
        <w:t xml:space="preserve">de plată pentru prioritate, asigurând astfel coerența cu legislația privind neutralitatea rețelei și cu cadrul mai larg al UE privind drepturile digitale. O abordare mai coerentă, neutră din punct de vedere tehnologic și bazată pe funcționalitate, în temeiul căreia serviciile cu funcții echivalente fac obiectul unor obligații consecvente și proporționale, ar sprijini concurența loială și investițiile durabile de-a lungul întregului lanț valoric. </w:t>
      </w:r>
    </w:p>
    <w:p w14:paraId="53F076D2" w14:textId="77777777" w:rsidR="008F6573" w:rsidRPr="0056072A" w:rsidRDefault="008F6573" w:rsidP="00953DA1">
      <w:pPr>
        <w:pStyle w:val="Heading1"/>
        <w:numPr>
          <w:ilvl w:val="0"/>
          <w:numId w:val="0"/>
        </w:numPr>
        <w:rPr>
          <w:sz w:val="18"/>
          <w:szCs w:val="18"/>
        </w:rPr>
      </w:pPr>
    </w:p>
    <w:p w14:paraId="0F3B201B" w14:textId="4CDCEB8C" w:rsidR="008F6573" w:rsidRDefault="004F0FC3" w:rsidP="00953DA1">
      <w:pPr>
        <w:pStyle w:val="Heading2"/>
        <w:rPr>
          <w:szCs w:val="22"/>
        </w:rPr>
      </w:pPr>
      <w:r>
        <w:t>Comitetul salută normele consolidate privind contractele, transparența, schimbarea furnizorului, portabilitatea și accesibilitatea pentru persoanele cu dizabilități și insistă că aceste protecții nu trebuie slăbite în comparație cu regimul actual. De asemenea, Comitetul recomandă introducerea unor indicatori privind calitatea minimă a serviciilor pentru a garanta că drepturile utilizatorilor finali nu sunt doar formale, ci pot fi aplicate în practică, echilibrând astfel simplificarea reglementării pentru operatori cu protejarea eficientă a consumatorilor.</w:t>
      </w:r>
    </w:p>
    <w:p w14:paraId="5A67BE6C" w14:textId="77777777" w:rsidR="00953DA1" w:rsidRPr="0056072A" w:rsidRDefault="00953DA1" w:rsidP="00953DA1">
      <w:pPr>
        <w:overflowPunct/>
        <w:autoSpaceDE/>
        <w:autoSpaceDN/>
        <w:adjustRightInd/>
        <w:jc w:val="left"/>
        <w:textAlignment w:val="auto"/>
        <w:rPr>
          <w:sz w:val="18"/>
          <w:szCs w:val="18"/>
        </w:rPr>
      </w:pPr>
    </w:p>
    <w:p w14:paraId="284F4A3F" w14:textId="46A6670E" w:rsidR="008F6573" w:rsidRDefault="004F0FC3" w:rsidP="00B941A0">
      <w:pPr>
        <w:keepNext/>
        <w:keepLines/>
        <w:rPr>
          <w:szCs w:val="22"/>
        </w:rPr>
      </w:pPr>
      <w:r>
        <w:rPr>
          <w:b/>
          <w:i/>
        </w:rPr>
        <w:t>Argumente în sprijinul recomandării XII</w:t>
      </w:r>
    </w:p>
    <w:p w14:paraId="0863CE93" w14:textId="77777777" w:rsidR="008F6573" w:rsidRPr="0056072A" w:rsidRDefault="008F6573" w:rsidP="00953DA1">
      <w:pPr>
        <w:pStyle w:val="Heading1"/>
        <w:keepNext/>
        <w:keepLines/>
        <w:numPr>
          <w:ilvl w:val="0"/>
          <w:numId w:val="0"/>
        </w:numPr>
        <w:ind w:left="567"/>
        <w:rPr>
          <w:sz w:val="18"/>
          <w:szCs w:val="18"/>
        </w:rPr>
      </w:pPr>
    </w:p>
    <w:p w14:paraId="355F74B9" w14:textId="2DF460A4" w:rsidR="008F6573" w:rsidRDefault="004F0FC3" w:rsidP="00953DA1">
      <w:pPr>
        <w:pStyle w:val="Heading2"/>
        <w:rPr>
          <w:szCs w:val="22"/>
        </w:rPr>
      </w:pPr>
      <w:r>
        <w:t>Comitetul solicită o aliniere strânsă între Actul legislativ privind rețelele digitale, Directiva NIS2, Regulamentul privind securitatea cibernetică și Directiva privind reziliența entităților critice, pentru a evita duplicarea obligațiilor, conflictele de competențe și neajunsurile în gestionarea incidentelor. De asemenea, se recomandă ca Planul de pregătire al UE pentru infrastructurile digitale să fie elaborat și actualizat prin consultarea sistematică a operatorilor, a partenerilor sociali și a societății civile, cu publicarea unor versiuni neconfidențiale, astfel încât să fie asigurate atât claritatea juridică, cât și legitimitatea democratică a măsurilor de securitate și reziliență cu impact semnificativ.</w:t>
      </w:r>
    </w:p>
    <w:p w14:paraId="32B3E4E0" w14:textId="77777777" w:rsidR="008F1732" w:rsidRPr="0056072A" w:rsidRDefault="008F1732" w:rsidP="00953DA1">
      <w:pPr>
        <w:rPr>
          <w:sz w:val="18"/>
          <w:szCs w:val="18"/>
        </w:rPr>
      </w:pPr>
    </w:p>
    <w:p w14:paraId="0DD46620" w14:textId="334A4F5C" w:rsidR="008F1732" w:rsidRPr="008F1732" w:rsidRDefault="008F1732" w:rsidP="00953DA1">
      <w:pPr>
        <w:rPr>
          <w:szCs w:val="22"/>
        </w:rPr>
      </w:pPr>
      <w:r>
        <w:t>Bruxelles, 26 mai 2026</w:t>
      </w:r>
    </w:p>
    <w:p w14:paraId="285E9DBD" w14:textId="77777777" w:rsidR="008F1732" w:rsidRPr="0056072A" w:rsidRDefault="008F1732" w:rsidP="00953DA1">
      <w:pPr>
        <w:rPr>
          <w:sz w:val="18"/>
          <w:szCs w:val="18"/>
        </w:rPr>
      </w:pPr>
    </w:p>
    <w:p w14:paraId="50D61368" w14:textId="77777777" w:rsidR="008F1732" w:rsidRPr="0056072A" w:rsidRDefault="008F1732" w:rsidP="00953DA1">
      <w:pPr>
        <w:rPr>
          <w:sz w:val="18"/>
          <w:szCs w:val="18"/>
        </w:rPr>
      </w:pPr>
    </w:p>
    <w:p w14:paraId="3FB35C04" w14:textId="77777777" w:rsidR="008F1732" w:rsidRPr="00B941A0" w:rsidRDefault="008F1732" w:rsidP="00953DA1">
      <w:pPr>
        <w:rPr>
          <w:i/>
          <w:iCs/>
          <w:szCs w:val="22"/>
        </w:rPr>
      </w:pPr>
      <w:r>
        <w:rPr>
          <w:i/>
        </w:rPr>
        <w:t>Președintele Secțiunii pentru transporturi, energie, infrastructură și societatea informațională</w:t>
      </w:r>
    </w:p>
    <w:p w14:paraId="60EBFEEA" w14:textId="5EDDDA1F" w:rsidR="008F6573" w:rsidRDefault="008F1732" w:rsidP="00953DA1">
      <w:pPr>
        <w:rPr>
          <w:szCs w:val="22"/>
        </w:rPr>
      </w:pPr>
      <w:r>
        <w:t>Marcin NOWACKI</w:t>
      </w:r>
    </w:p>
    <w:p w14:paraId="7371E367" w14:textId="77777777" w:rsidR="008F6573" w:rsidRDefault="004F0FC3" w:rsidP="00953DA1">
      <w:pPr>
        <w:jc w:val="center"/>
        <w:rPr>
          <w:szCs w:val="22"/>
        </w:rPr>
      </w:pPr>
      <w:r>
        <w:t>_____________</w:t>
      </w:r>
    </w:p>
    <w:sectPr w:rsidR="008F6573" w:rsidSect="00953DA1">
      <w:headerReference w:type="even" r:id="rId24"/>
      <w:headerReference w:type="default" r:id="rId25"/>
      <w:footerReference w:type="even" r:id="rId26"/>
      <w:footerReference w:type="default" r:id="rId27"/>
      <w:headerReference w:type="first" r:id="rId28"/>
      <w:footerReference w:type="first" r:id="rId29"/>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4F5FA" w14:textId="77777777" w:rsidR="00010560" w:rsidRDefault="00010560">
      <w:r>
        <w:separator/>
      </w:r>
    </w:p>
  </w:endnote>
  <w:endnote w:type="continuationSeparator" w:id="0">
    <w:p w14:paraId="1A06C1B8" w14:textId="77777777" w:rsidR="00010560" w:rsidRDefault="00010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53938" w14:textId="77777777" w:rsidR="00B16D67" w:rsidRPr="00953DA1" w:rsidRDefault="00B16D67" w:rsidP="00953D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22A4E" w14:textId="6492EA68" w:rsidR="008F6573" w:rsidRPr="00953DA1" w:rsidRDefault="00953DA1" w:rsidP="00953DA1">
    <w:pPr>
      <w:pStyle w:val="Footer"/>
    </w:pPr>
    <w:r>
      <w:t xml:space="preserve">TEN/879 – EESC-2026-00515-00-00-AS-TRA (EN) </w:t>
    </w:r>
    <w:r>
      <w:fldChar w:fldCharType="begin"/>
    </w:r>
    <w:r>
      <w:instrText xml:space="preserve"> PAGE  \* Arabic  \* MERGEFORMAT </w:instrText>
    </w:r>
    <w:r>
      <w:fldChar w:fldCharType="separate"/>
    </w:r>
    <w:r w:rsidR="003B1CC4">
      <w:t>1</w:t>
    </w:r>
    <w:r>
      <w:fldChar w:fldCharType="end"/>
    </w:r>
    <w:r>
      <w:t>/</w:t>
    </w:r>
    <w:fldSimple w:instr=" NUMPAGES ">
      <w:r w:rsidR="003B1CC4">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76AA1" w14:textId="77777777" w:rsidR="00B16D67" w:rsidRPr="00953DA1" w:rsidRDefault="00B16D67" w:rsidP="00953D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22A53" w14:textId="77777777" w:rsidR="008F6573" w:rsidRPr="00953DA1" w:rsidRDefault="008F6573" w:rsidP="00953DA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22A54" w14:textId="7D30AFBE" w:rsidR="008F6573" w:rsidRPr="00953DA1" w:rsidRDefault="00953DA1" w:rsidP="00953DA1">
    <w:pPr>
      <w:pStyle w:val="Footer"/>
    </w:pPr>
    <w:r>
      <w:t xml:space="preserve">TEN/879 – EESC-2026-00515-00-00-AS-TRA (EN) </w:t>
    </w:r>
    <w:r>
      <w:fldChar w:fldCharType="begin"/>
    </w:r>
    <w:r>
      <w:instrText xml:space="preserve"> PAGE  \* Arabic  \* MERGEFORMAT </w:instrText>
    </w:r>
    <w:r>
      <w:fldChar w:fldCharType="separate"/>
    </w:r>
    <w:r>
      <w:t>2</w:t>
    </w:r>
    <w:r>
      <w:fldChar w:fldCharType="end"/>
    </w:r>
    <w:r>
      <w:t>/</w:t>
    </w:r>
    <w:fldSimple w:instr=" NUMPAGES ">
      <w:r>
        <w:t>9</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22A56" w14:textId="77777777" w:rsidR="008F6573" w:rsidRPr="00953DA1" w:rsidRDefault="008F6573" w:rsidP="00953D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4C4DA" w14:textId="77777777" w:rsidR="00010560" w:rsidRDefault="00010560">
      <w:r>
        <w:separator/>
      </w:r>
    </w:p>
  </w:footnote>
  <w:footnote w:type="continuationSeparator" w:id="0">
    <w:p w14:paraId="6CC87E0E" w14:textId="77777777" w:rsidR="00010560" w:rsidRDefault="00010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304D8" w14:textId="77777777" w:rsidR="00B16D67" w:rsidRPr="00953DA1" w:rsidRDefault="00B16D67" w:rsidP="00953D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AAD5F" w14:textId="0CF4348C" w:rsidR="00B16D67" w:rsidRPr="00953DA1" w:rsidRDefault="00B16D67" w:rsidP="00953D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5D500" w14:textId="77777777" w:rsidR="00B16D67" w:rsidRPr="00953DA1" w:rsidRDefault="00B16D67" w:rsidP="00953D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22A51" w14:textId="77777777" w:rsidR="008F6573" w:rsidRPr="00953DA1" w:rsidRDefault="008F6573" w:rsidP="00953DA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22A52" w14:textId="3736CB55" w:rsidR="008F6573" w:rsidRPr="00953DA1" w:rsidRDefault="008F6573" w:rsidP="00953DA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22A55" w14:textId="77777777" w:rsidR="008F6573" w:rsidRPr="00953DA1" w:rsidRDefault="008F6573" w:rsidP="00953D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39E749C"/>
    <w:lvl w:ilvl="0">
      <w:start w:val="1"/>
      <w:numFmt w:val="decimal"/>
      <w:pStyle w:val="Heading1"/>
      <w:lvlText w:val="%1."/>
      <w:lvlJc w:val="left"/>
      <w:pPr>
        <w:ind w:left="0" w:firstLine="0"/>
      </w:pPr>
      <w:rPr>
        <w:rFonts w:hint="default"/>
        <w:b w:val="0"/>
        <w:i w:val="0"/>
        <w:iCs w:val="0"/>
      </w:rPr>
    </w:lvl>
    <w:lvl w:ilvl="1">
      <w:start w:val="1"/>
      <w:numFmt w:val="decimal"/>
      <w:pStyle w:val="Heading2"/>
      <w:lvlText w:val="%1.%2"/>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 w15:restartNumberingAfterBreak="0">
    <w:nsid w:val="07F87347"/>
    <w:multiLevelType w:val="hybridMultilevel"/>
    <w:tmpl w:val="778C98C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090A7AD1"/>
    <w:multiLevelType w:val="hybridMultilevel"/>
    <w:tmpl w:val="08306B84"/>
    <w:lvl w:ilvl="0" w:tplc="1000000F">
      <w:start w:val="1"/>
      <w:numFmt w:val="decimal"/>
      <w:lvlText w:val="%1."/>
      <w:lvlJc w:val="left"/>
      <w:pPr>
        <w:ind w:left="1440" w:hanging="360"/>
      </w:p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3" w15:restartNumberingAfterBreak="0">
    <w:nsid w:val="0D761B7F"/>
    <w:multiLevelType w:val="hybridMultilevel"/>
    <w:tmpl w:val="0444059A"/>
    <w:lvl w:ilvl="0" w:tplc="1000000F">
      <w:start w:val="1"/>
      <w:numFmt w:val="decimal"/>
      <w:lvlText w:val="%1."/>
      <w:lvlJc w:val="left"/>
      <w:pPr>
        <w:ind w:left="1287" w:hanging="360"/>
      </w:pPr>
    </w:lvl>
    <w:lvl w:ilvl="1" w:tplc="10000019" w:tentative="1">
      <w:start w:val="1"/>
      <w:numFmt w:val="lowerLetter"/>
      <w:lvlText w:val="%2."/>
      <w:lvlJc w:val="left"/>
      <w:pPr>
        <w:ind w:left="2007" w:hanging="360"/>
      </w:pPr>
    </w:lvl>
    <w:lvl w:ilvl="2" w:tplc="1000001B" w:tentative="1">
      <w:start w:val="1"/>
      <w:numFmt w:val="lowerRoman"/>
      <w:lvlText w:val="%3."/>
      <w:lvlJc w:val="right"/>
      <w:pPr>
        <w:ind w:left="2727" w:hanging="180"/>
      </w:pPr>
    </w:lvl>
    <w:lvl w:ilvl="3" w:tplc="1000000F" w:tentative="1">
      <w:start w:val="1"/>
      <w:numFmt w:val="decimal"/>
      <w:lvlText w:val="%4."/>
      <w:lvlJc w:val="left"/>
      <w:pPr>
        <w:ind w:left="3447" w:hanging="360"/>
      </w:pPr>
    </w:lvl>
    <w:lvl w:ilvl="4" w:tplc="10000019" w:tentative="1">
      <w:start w:val="1"/>
      <w:numFmt w:val="lowerLetter"/>
      <w:lvlText w:val="%5."/>
      <w:lvlJc w:val="left"/>
      <w:pPr>
        <w:ind w:left="4167" w:hanging="360"/>
      </w:pPr>
    </w:lvl>
    <w:lvl w:ilvl="5" w:tplc="1000001B" w:tentative="1">
      <w:start w:val="1"/>
      <w:numFmt w:val="lowerRoman"/>
      <w:lvlText w:val="%6."/>
      <w:lvlJc w:val="right"/>
      <w:pPr>
        <w:ind w:left="4887" w:hanging="180"/>
      </w:pPr>
    </w:lvl>
    <w:lvl w:ilvl="6" w:tplc="1000000F" w:tentative="1">
      <w:start w:val="1"/>
      <w:numFmt w:val="decimal"/>
      <w:lvlText w:val="%7."/>
      <w:lvlJc w:val="left"/>
      <w:pPr>
        <w:ind w:left="5607" w:hanging="360"/>
      </w:pPr>
    </w:lvl>
    <w:lvl w:ilvl="7" w:tplc="10000019" w:tentative="1">
      <w:start w:val="1"/>
      <w:numFmt w:val="lowerLetter"/>
      <w:lvlText w:val="%8."/>
      <w:lvlJc w:val="left"/>
      <w:pPr>
        <w:ind w:left="6327" w:hanging="360"/>
      </w:pPr>
    </w:lvl>
    <w:lvl w:ilvl="8" w:tplc="1000001B" w:tentative="1">
      <w:start w:val="1"/>
      <w:numFmt w:val="lowerRoman"/>
      <w:lvlText w:val="%9."/>
      <w:lvlJc w:val="right"/>
      <w:pPr>
        <w:ind w:left="7047" w:hanging="180"/>
      </w:pPr>
    </w:lvl>
  </w:abstractNum>
  <w:abstractNum w:abstractNumId="4" w15:restartNumberingAfterBreak="0">
    <w:nsid w:val="153F4524"/>
    <w:multiLevelType w:val="hybridMultilevel"/>
    <w:tmpl w:val="77CAEA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CE0D15"/>
    <w:multiLevelType w:val="hybridMultilevel"/>
    <w:tmpl w:val="29E8101C"/>
    <w:lvl w:ilvl="0" w:tplc="1000000F">
      <w:start w:val="1"/>
      <w:numFmt w:val="decimal"/>
      <w:lvlText w:val="%1."/>
      <w:lvlJc w:val="left"/>
      <w:pPr>
        <w:ind w:left="1287" w:hanging="360"/>
      </w:pPr>
    </w:lvl>
    <w:lvl w:ilvl="1" w:tplc="10000019" w:tentative="1">
      <w:start w:val="1"/>
      <w:numFmt w:val="lowerLetter"/>
      <w:lvlText w:val="%2."/>
      <w:lvlJc w:val="left"/>
      <w:pPr>
        <w:ind w:left="2007" w:hanging="360"/>
      </w:pPr>
    </w:lvl>
    <w:lvl w:ilvl="2" w:tplc="1000001B" w:tentative="1">
      <w:start w:val="1"/>
      <w:numFmt w:val="lowerRoman"/>
      <w:lvlText w:val="%3."/>
      <w:lvlJc w:val="right"/>
      <w:pPr>
        <w:ind w:left="2727" w:hanging="180"/>
      </w:pPr>
    </w:lvl>
    <w:lvl w:ilvl="3" w:tplc="1000000F" w:tentative="1">
      <w:start w:val="1"/>
      <w:numFmt w:val="decimal"/>
      <w:lvlText w:val="%4."/>
      <w:lvlJc w:val="left"/>
      <w:pPr>
        <w:ind w:left="3447" w:hanging="360"/>
      </w:pPr>
    </w:lvl>
    <w:lvl w:ilvl="4" w:tplc="10000019" w:tentative="1">
      <w:start w:val="1"/>
      <w:numFmt w:val="lowerLetter"/>
      <w:lvlText w:val="%5."/>
      <w:lvlJc w:val="left"/>
      <w:pPr>
        <w:ind w:left="4167" w:hanging="360"/>
      </w:pPr>
    </w:lvl>
    <w:lvl w:ilvl="5" w:tplc="1000001B" w:tentative="1">
      <w:start w:val="1"/>
      <w:numFmt w:val="lowerRoman"/>
      <w:lvlText w:val="%6."/>
      <w:lvlJc w:val="right"/>
      <w:pPr>
        <w:ind w:left="4887" w:hanging="180"/>
      </w:pPr>
    </w:lvl>
    <w:lvl w:ilvl="6" w:tplc="1000000F" w:tentative="1">
      <w:start w:val="1"/>
      <w:numFmt w:val="decimal"/>
      <w:lvlText w:val="%7."/>
      <w:lvlJc w:val="left"/>
      <w:pPr>
        <w:ind w:left="5607" w:hanging="360"/>
      </w:pPr>
    </w:lvl>
    <w:lvl w:ilvl="7" w:tplc="10000019" w:tentative="1">
      <w:start w:val="1"/>
      <w:numFmt w:val="lowerLetter"/>
      <w:lvlText w:val="%8."/>
      <w:lvlJc w:val="left"/>
      <w:pPr>
        <w:ind w:left="6327" w:hanging="360"/>
      </w:pPr>
    </w:lvl>
    <w:lvl w:ilvl="8" w:tplc="1000001B" w:tentative="1">
      <w:start w:val="1"/>
      <w:numFmt w:val="lowerRoman"/>
      <w:lvlText w:val="%9."/>
      <w:lvlJc w:val="right"/>
      <w:pPr>
        <w:ind w:left="7047" w:hanging="180"/>
      </w:pPr>
    </w:lvl>
  </w:abstractNum>
  <w:abstractNum w:abstractNumId="6" w15:restartNumberingAfterBreak="0">
    <w:nsid w:val="272B563D"/>
    <w:multiLevelType w:val="hybridMultilevel"/>
    <w:tmpl w:val="6ACCA8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C298A"/>
    <w:multiLevelType w:val="hybridMultilevel"/>
    <w:tmpl w:val="85DA864C"/>
    <w:lvl w:ilvl="0" w:tplc="1000000F">
      <w:start w:val="1"/>
      <w:numFmt w:val="decimal"/>
      <w:lvlText w:val="%1."/>
      <w:lvlJc w:val="left"/>
      <w:pPr>
        <w:ind w:left="1287" w:hanging="360"/>
      </w:pPr>
    </w:lvl>
    <w:lvl w:ilvl="1" w:tplc="10000019" w:tentative="1">
      <w:start w:val="1"/>
      <w:numFmt w:val="lowerLetter"/>
      <w:lvlText w:val="%2."/>
      <w:lvlJc w:val="left"/>
      <w:pPr>
        <w:ind w:left="2007" w:hanging="360"/>
      </w:pPr>
    </w:lvl>
    <w:lvl w:ilvl="2" w:tplc="1000001B" w:tentative="1">
      <w:start w:val="1"/>
      <w:numFmt w:val="lowerRoman"/>
      <w:lvlText w:val="%3."/>
      <w:lvlJc w:val="right"/>
      <w:pPr>
        <w:ind w:left="2727" w:hanging="180"/>
      </w:pPr>
    </w:lvl>
    <w:lvl w:ilvl="3" w:tplc="1000000F" w:tentative="1">
      <w:start w:val="1"/>
      <w:numFmt w:val="decimal"/>
      <w:lvlText w:val="%4."/>
      <w:lvlJc w:val="left"/>
      <w:pPr>
        <w:ind w:left="3447" w:hanging="360"/>
      </w:pPr>
    </w:lvl>
    <w:lvl w:ilvl="4" w:tplc="10000019" w:tentative="1">
      <w:start w:val="1"/>
      <w:numFmt w:val="lowerLetter"/>
      <w:lvlText w:val="%5."/>
      <w:lvlJc w:val="left"/>
      <w:pPr>
        <w:ind w:left="4167" w:hanging="360"/>
      </w:pPr>
    </w:lvl>
    <w:lvl w:ilvl="5" w:tplc="1000001B" w:tentative="1">
      <w:start w:val="1"/>
      <w:numFmt w:val="lowerRoman"/>
      <w:lvlText w:val="%6."/>
      <w:lvlJc w:val="right"/>
      <w:pPr>
        <w:ind w:left="4887" w:hanging="180"/>
      </w:pPr>
    </w:lvl>
    <w:lvl w:ilvl="6" w:tplc="1000000F" w:tentative="1">
      <w:start w:val="1"/>
      <w:numFmt w:val="decimal"/>
      <w:lvlText w:val="%7."/>
      <w:lvlJc w:val="left"/>
      <w:pPr>
        <w:ind w:left="5607" w:hanging="360"/>
      </w:pPr>
    </w:lvl>
    <w:lvl w:ilvl="7" w:tplc="10000019" w:tentative="1">
      <w:start w:val="1"/>
      <w:numFmt w:val="lowerLetter"/>
      <w:lvlText w:val="%8."/>
      <w:lvlJc w:val="left"/>
      <w:pPr>
        <w:ind w:left="6327" w:hanging="360"/>
      </w:pPr>
    </w:lvl>
    <w:lvl w:ilvl="8" w:tplc="1000001B" w:tentative="1">
      <w:start w:val="1"/>
      <w:numFmt w:val="lowerRoman"/>
      <w:lvlText w:val="%9."/>
      <w:lvlJc w:val="right"/>
      <w:pPr>
        <w:ind w:left="7047" w:hanging="180"/>
      </w:pPr>
    </w:lvl>
  </w:abstractNum>
  <w:abstractNum w:abstractNumId="8" w15:restartNumberingAfterBreak="0">
    <w:nsid w:val="3DAF1F4B"/>
    <w:multiLevelType w:val="hybridMultilevel"/>
    <w:tmpl w:val="915C1D18"/>
    <w:lvl w:ilvl="0" w:tplc="1000000F">
      <w:start w:val="1"/>
      <w:numFmt w:val="decimal"/>
      <w:lvlText w:val="%1."/>
      <w:lvlJc w:val="left"/>
      <w:pPr>
        <w:ind w:left="1287" w:hanging="360"/>
      </w:pPr>
    </w:lvl>
    <w:lvl w:ilvl="1" w:tplc="10000019" w:tentative="1">
      <w:start w:val="1"/>
      <w:numFmt w:val="lowerLetter"/>
      <w:lvlText w:val="%2."/>
      <w:lvlJc w:val="left"/>
      <w:pPr>
        <w:ind w:left="2007" w:hanging="360"/>
      </w:pPr>
    </w:lvl>
    <w:lvl w:ilvl="2" w:tplc="1000001B" w:tentative="1">
      <w:start w:val="1"/>
      <w:numFmt w:val="lowerRoman"/>
      <w:lvlText w:val="%3."/>
      <w:lvlJc w:val="right"/>
      <w:pPr>
        <w:ind w:left="2727" w:hanging="180"/>
      </w:pPr>
    </w:lvl>
    <w:lvl w:ilvl="3" w:tplc="1000000F" w:tentative="1">
      <w:start w:val="1"/>
      <w:numFmt w:val="decimal"/>
      <w:lvlText w:val="%4."/>
      <w:lvlJc w:val="left"/>
      <w:pPr>
        <w:ind w:left="3447" w:hanging="360"/>
      </w:pPr>
    </w:lvl>
    <w:lvl w:ilvl="4" w:tplc="10000019" w:tentative="1">
      <w:start w:val="1"/>
      <w:numFmt w:val="lowerLetter"/>
      <w:lvlText w:val="%5."/>
      <w:lvlJc w:val="left"/>
      <w:pPr>
        <w:ind w:left="4167" w:hanging="360"/>
      </w:pPr>
    </w:lvl>
    <w:lvl w:ilvl="5" w:tplc="1000001B" w:tentative="1">
      <w:start w:val="1"/>
      <w:numFmt w:val="lowerRoman"/>
      <w:lvlText w:val="%6."/>
      <w:lvlJc w:val="right"/>
      <w:pPr>
        <w:ind w:left="4887" w:hanging="180"/>
      </w:pPr>
    </w:lvl>
    <w:lvl w:ilvl="6" w:tplc="1000000F" w:tentative="1">
      <w:start w:val="1"/>
      <w:numFmt w:val="decimal"/>
      <w:lvlText w:val="%7."/>
      <w:lvlJc w:val="left"/>
      <w:pPr>
        <w:ind w:left="5607" w:hanging="360"/>
      </w:pPr>
    </w:lvl>
    <w:lvl w:ilvl="7" w:tplc="10000019" w:tentative="1">
      <w:start w:val="1"/>
      <w:numFmt w:val="lowerLetter"/>
      <w:lvlText w:val="%8."/>
      <w:lvlJc w:val="left"/>
      <w:pPr>
        <w:ind w:left="6327" w:hanging="360"/>
      </w:pPr>
    </w:lvl>
    <w:lvl w:ilvl="8" w:tplc="1000001B" w:tentative="1">
      <w:start w:val="1"/>
      <w:numFmt w:val="lowerRoman"/>
      <w:lvlText w:val="%9."/>
      <w:lvlJc w:val="right"/>
      <w:pPr>
        <w:ind w:left="7047" w:hanging="180"/>
      </w:pPr>
    </w:lvl>
  </w:abstractNum>
  <w:abstractNum w:abstractNumId="9" w15:restartNumberingAfterBreak="0">
    <w:nsid w:val="3EEC2C05"/>
    <w:multiLevelType w:val="hybridMultilevel"/>
    <w:tmpl w:val="D52C7A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396F6D"/>
    <w:multiLevelType w:val="hybridMultilevel"/>
    <w:tmpl w:val="103E7180"/>
    <w:lvl w:ilvl="0" w:tplc="1000000F">
      <w:start w:val="1"/>
      <w:numFmt w:val="decimal"/>
      <w:lvlText w:val="%1."/>
      <w:lvlJc w:val="left"/>
      <w:pPr>
        <w:ind w:left="1287" w:hanging="360"/>
      </w:pPr>
    </w:lvl>
    <w:lvl w:ilvl="1" w:tplc="10000019" w:tentative="1">
      <w:start w:val="1"/>
      <w:numFmt w:val="lowerLetter"/>
      <w:lvlText w:val="%2."/>
      <w:lvlJc w:val="left"/>
      <w:pPr>
        <w:ind w:left="2007" w:hanging="360"/>
      </w:pPr>
    </w:lvl>
    <w:lvl w:ilvl="2" w:tplc="1000001B" w:tentative="1">
      <w:start w:val="1"/>
      <w:numFmt w:val="lowerRoman"/>
      <w:lvlText w:val="%3."/>
      <w:lvlJc w:val="right"/>
      <w:pPr>
        <w:ind w:left="2727" w:hanging="180"/>
      </w:pPr>
    </w:lvl>
    <w:lvl w:ilvl="3" w:tplc="1000000F" w:tentative="1">
      <w:start w:val="1"/>
      <w:numFmt w:val="decimal"/>
      <w:lvlText w:val="%4."/>
      <w:lvlJc w:val="left"/>
      <w:pPr>
        <w:ind w:left="3447" w:hanging="360"/>
      </w:pPr>
    </w:lvl>
    <w:lvl w:ilvl="4" w:tplc="10000019" w:tentative="1">
      <w:start w:val="1"/>
      <w:numFmt w:val="lowerLetter"/>
      <w:lvlText w:val="%5."/>
      <w:lvlJc w:val="left"/>
      <w:pPr>
        <w:ind w:left="4167" w:hanging="360"/>
      </w:pPr>
    </w:lvl>
    <w:lvl w:ilvl="5" w:tplc="1000001B" w:tentative="1">
      <w:start w:val="1"/>
      <w:numFmt w:val="lowerRoman"/>
      <w:lvlText w:val="%6."/>
      <w:lvlJc w:val="right"/>
      <w:pPr>
        <w:ind w:left="4887" w:hanging="180"/>
      </w:pPr>
    </w:lvl>
    <w:lvl w:ilvl="6" w:tplc="1000000F" w:tentative="1">
      <w:start w:val="1"/>
      <w:numFmt w:val="decimal"/>
      <w:lvlText w:val="%7."/>
      <w:lvlJc w:val="left"/>
      <w:pPr>
        <w:ind w:left="5607" w:hanging="360"/>
      </w:pPr>
    </w:lvl>
    <w:lvl w:ilvl="7" w:tplc="10000019" w:tentative="1">
      <w:start w:val="1"/>
      <w:numFmt w:val="lowerLetter"/>
      <w:lvlText w:val="%8."/>
      <w:lvlJc w:val="left"/>
      <w:pPr>
        <w:ind w:left="6327" w:hanging="360"/>
      </w:pPr>
    </w:lvl>
    <w:lvl w:ilvl="8" w:tplc="1000001B" w:tentative="1">
      <w:start w:val="1"/>
      <w:numFmt w:val="lowerRoman"/>
      <w:lvlText w:val="%9."/>
      <w:lvlJc w:val="right"/>
      <w:pPr>
        <w:ind w:left="7047" w:hanging="180"/>
      </w:pPr>
    </w:lvl>
  </w:abstractNum>
  <w:abstractNum w:abstractNumId="11" w15:restartNumberingAfterBreak="0">
    <w:nsid w:val="4D447DCE"/>
    <w:multiLevelType w:val="hybridMultilevel"/>
    <w:tmpl w:val="00729754"/>
    <w:lvl w:ilvl="0" w:tplc="F64660EC">
      <w:start w:val="1"/>
      <w:numFmt w:val="upperRoman"/>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B674CE"/>
    <w:multiLevelType w:val="hybridMultilevel"/>
    <w:tmpl w:val="CC1E22CC"/>
    <w:lvl w:ilvl="0" w:tplc="1000000F">
      <w:start w:val="1"/>
      <w:numFmt w:val="decimal"/>
      <w:lvlText w:val="%1."/>
      <w:lvlJc w:val="left"/>
      <w:pPr>
        <w:ind w:left="1440" w:hanging="360"/>
      </w:p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13" w15:restartNumberingAfterBreak="0">
    <w:nsid w:val="64AA1E8B"/>
    <w:multiLevelType w:val="hybridMultilevel"/>
    <w:tmpl w:val="C86C5342"/>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64F31D90"/>
    <w:multiLevelType w:val="hybridMultilevel"/>
    <w:tmpl w:val="61DA69D4"/>
    <w:lvl w:ilvl="0" w:tplc="7730090C">
      <w:start w:val="1"/>
      <w:numFmt w:val="lowerRoman"/>
      <w:lvlText w:val="%1)"/>
      <w:lvlJc w:val="left"/>
      <w:pPr>
        <w:ind w:left="1429" w:hanging="72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5" w15:restartNumberingAfterBreak="0">
    <w:nsid w:val="7B1A6E53"/>
    <w:multiLevelType w:val="hybridMultilevel"/>
    <w:tmpl w:val="5DE8F4F2"/>
    <w:lvl w:ilvl="0" w:tplc="1000000F">
      <w:start w:val="1"/>
      <w:numFmt w:val="decimal"/>
      <w:lvlText w:val="%1."/>
      <w:lvlJc w:val="left"/>
      <w:pPr>
        <w:ind w:left="1287" w:hanging="360"/>
      </w:pPr>
    </w:lvl>
    <w:lvl w:ilvl="1" w:tplc="10000019" w:tentative="1">
      <w:start w:val="1"/>
      <w:numFmt w:val="lowerLetter"/>
      <w:lvlText w:val="%2."/>
      <w:lvlJc w:val="left"/>
      <w:pPr>
        <w:ind w:left="2007" w:hanging="360"/>
      </w:pPr>
    </w:lvl>
    <w:lvl w:ilvl="2" w:tplc="1000001B" w:tentative="1">
      <w:start w:val="1"/>
      <w:numFmt w:val="lowerRoman"/>
      <w:lvlText w:val="%3."/>
      <w:lvlJc w:val="right"/>
      <w:pPr>
        <w:ind w:left="2727" w:hanging="180"/>
      </w:pPr>
    </w:lvl>
    <w:lvl w:ilvl="3" w:tplc="1000000F" w:tentative="1">
      <w:start w:val="1"/>
      <w:numFmt w:val="decimal"/>
      <w:lvlText w:val="%4."/>
      <w:lvlJc w:val="left"/>
      <w:pPr>
        <w:ind w:left="3447" w:hanging="360"/>
      </w:pPr>
    </w:lvl>
    <w:lvl w:ilvl="4" w:tplc="10000019" w:tentative="1">
      <w:start w:val="1"/>
      <w:numFmt w:val="lowerLetter"/>
      <w:lvlText w:val="%5."/>
      <w:lvlJc w:val="left"/>
      <w:pPr>
        <w:ind w:left="4167" w:hanging="360"/>
      </w:pPr>
    </w:lvl>
    <w:lvl w:ilvl="5" w:tplc="1000001B" w:tentative="1">
      <w:start w:val="1"/>
      <w:numFmt w:val="lowerRoman"/>
      <w:lvlText w:val="%6."/>
      <w:lvlJc w:val="right"/>
      <w:pPr>
        <w:ind w:left="4887" w:hanging="180"/>
      </w:pPr>
    </w:lvl>
    <w:lvl w:ilvl="6" w:tplc="1000000F" w:tentative="1">
      <w:start w:val="1"/>
      <w:numFmt w:val="decimal"/>
      <w:lvlText w:val="%7."/>
      <w:lvlJc w:val="left"/>
      <w:pPr>
        <w:ind w:left="5607" w:hanging="360"/>
      </w:pPr>
    </w:lvl>
    <w:lvl w:ilvl="7" w:tplc="10000019" w:tentative="1">
      <w:start w:val="1"/>
      <w:numFmt w:val="lowerLetter"/>
      <w:lvlText w:val="%8."/>
      <w:lvlJc w:val="left"/>
      <w:pPr>
        <w:ind w:left="6327" w:hanging="360"/>
      </w:pPr>
    </w:lvl>
    <w:lvl w:ilvl="8" w:tplc="1000001B" w:tentative="1">
      <w:start w:val="1"/>
      <w:numFmt w:val="lowerRoman"/>
      <w:lvlText w:val="%9."/>
      <w:lvlJc w:val="right"/>
      <w:pPr>
        <w:ind w:left="7047" w:hanging="180"/>
      </w:pPr>
    </w:lvl>
  </w:abstractNum>
  <w:abstractNum w:abstractNumId="16" w15:restartNumberingAfterBreak="0">
    <w:nsid w:val="7E4A40CC"/>
    <w:multiLevelType w:val="hybridMultilevel"/>
    <w:tmpl w:val="0F02316C"/>
    <w:lvl w:ilvl="0" w:tplc="1000000F">
      <w:start w:val="1"/>
      <w:numFmt w:val="decimal"/>
      <w:lvlText w:val="%1."/>
      <w:lvlJc w:val="left"/>
      <w:pPr>
        <w:ind w:left="1287" w:hanging="360"/>
      </w:pPr>
    </w:lvl>
    <w:lvl w:ilvl="1" w:tplc="10000019" w:tentative="1">
      <w:start w:val="1"/>
      <w:numFmt w:val="lowerLetter"/>
      <w:lvlText w:val="%2."/>
      <w:lvlJc w:val="left"/>
      <w:pPr>
        <w:ind w:left="2007" w:hanging="360"/>
      </w:pPr>
    </w:lvl>
    <w:lvl w:ilvl="2" w:tplc="1000001B" w:tentative="1">
      <w:start w:val="1"/>
      <w:numFmt w:val="lowerRoman"/>
      <w:lvlText w:val="%3."/>
      <w:lvlJc w:val="right"/>
      <w:pPr>
        <w:ind w:left="2727" w:hanging="180"/>
      </w:pPr>
    </w:lvl>
    <w:lvl w:ilvl="3" w:tplc="1000000F" w:tentative="1">
      <w:start w:val="1"/>
      <w:numFmt w:val="decimal"/>
      <w:lvlText w:val="%4."/>
      <w:lvlJc w:val="left"/>
      <w:pPr>
        <w:ind w:left="3447" w:hanging="360"/>
      </w:pPr>
    </w:lvl>
    <w:lvl w:ilvl="4" w:tplc="10000019" w:tentative="1">
      <w:start w:val="1"/>
      <w:numFmt w:val="lowerLetter"/>
      <w:lvlText w:val="%5."/>
      <w:lvlJc w:val="left"/>
      <w:pPr>
        <w:ind w:left="4167" w:hanging="360"/>
      </w:pPr>
    </w:lvl>
    <w:lvl w:ilvl="5" w:tplc="1000001B" w:tentative="1">
      <w:start w:val="1"/>
      <w:numFmt w:val="lowerRoman"/>
      <w:lvlText w:val="%6."/>
      <w:lvlJc w:val="right"/>
      <w:pPr>
        <w:ind w:left="4887" w:hanging="180"/>
      </w:pPr>
    </w:lvl>
    <w:lvl w:ilvl="6" w:tplc="1000000F" w:tentative="1">
      <w:start w:val="1"/>
      <w:numFmt w:val="decimal"/>
      <w:lvlText w:val="%7."/>
      <w:lvlJc w:val="left"/>
      <w:pPr>
        <w:ind w:left="5607" w:hanging="360"/>
      </w:pPr>
    </w:lvl>
    <w:lvl w:ilvl="7" w:tplc="10000019" w:tentative="1">
      <w:start w:val="1"/>
      <w:numFmt w:val="lowerLetter"/>
      <w:lvlText w:val="%8."/>
      <w:lvlJc w:val="left"/>
      <w:pPr>
        <w:ind w:left="6327" w:hanging="360"/>
      </w:pPr>
    </w:lvl>
    <w:lvl w:ilvl="8" w:tplc="1000001B" w:tentative="1">
      <w:start w:val="1"/>
      <w:numFmt w:val="lowerRoman"/>
      <w:lvlText w:val="%9."/>
      <w:lvlJc w:val="right"/>
      <w:pPr>
        <w:ind w:left="7047" w:hanging="180"/>
      </w:pPr>
    </w:lvl>
  </w:abstractNum>
  <w:num w:numId="1" w16cid:durableId="436170883">
    <w:abstractNumId w:val="11"/>
  </w:num>
  <w:num w:numId="2" w16cid:durableId="1115977937">
    <w:abstractNumId w:val="0"/>
  </w:num>
  <w:num w:numId="3" w16cid:durableId="199887967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5005340">
    <w:abstractNumId w:val="9"/>
  </w:num>
  <w:num w:numId="5" w16cid:durableId="1093626233">
    <w:abstractNumId w:val="6"/>
  </w:num>
  <w:num w:numId="6" w16cid:durableId="22023822">
    <w:abstractNumId w:val="14"/>
  </w:num>
  <w:num w:numId="7" w16cid:durableId="807749270">
    <w:abstractNumId w:val="4"/>
  </w:num>
  <w:num w:numId="8" w16cid:durableId="1580750525">
    <w:abstractNumId w:val="0"/>
  </w:num>
  <w:num w:numId="9" w16cid:durableId="653608426">
    <w:abstractNumId w:val="0"/>
  </w:num>
  <w:num w:numId="10" w16cid:durableId="2044091542">
    <w:abstractNumId w:val="0"/>
  </w:num>
  <w:num w:numId="11" w16cid:durableId="837579332">
    <w:abstractNumId w:val="0"/>
  </w:num>
  <w:num w:numId="12" w16cid:durableId="71239600">
    <w:abstractNumId w:val="0"/>
  </w:num>
  <w:num w:numId="13" w16cid:durableId="735131278">
    <w:abstractNumId w:val="0"/>
  </w:num>
  <w:num w:numId="14" w16cid:durableId="1946384117">
    <w:abstractNumId w:val="0"/>
  </w:num>
  <w:num w:numId="15" w16cid:durableId="169562491">
    <w:abstractNumId w:val="0"/>
  </w:num>
  <w:num w:numId="16" w16cid:durableId="68965187">
    <w:abstractNumId w:val="0"/>
  </w:num>
  <w:num w:numId="17" w16cid:durableId="1428699326">
    <w:abstractNumId w:val="0"/>
  </w:num>
  <w:num w:numId="18" w16cid:durableId="634870096">
    <w:abstractNumId w:val="0"/>
  </w:num>
  <w:num w:numId="19" w16cid:durableId="1540698689">
    <w:abstractNumId w:val="0"/>
  </w:num>
  <w:num w:numId="20" w16cid:durableId="1513763870">
    <w:abstractNumId w:val="0"/>
  </w:num>
  <w:num w:numId="21" w16cid:durableId="1423333907">
    <w:abstractNumId w:val="0"/>
  </w:num>
  <w:num w:numId="22" w16cid:durableId="1483350369">
    <w:abstractNumId w:val="0"/>
  </w:num>
  <w:num w:numId="23" w16cid:durableId="58793650">
    <w:abstractNumId w:val="0"/>
  </w:num>
  <w:num w:numId="24" w16cid:durableId="930509222">
    <w:abstractNumId w:val="0"/>
  </w:num>
  <w:num w:numId="25" w16cid:durableId="132262165">
    <w:abstractNumId w:val="0"/>
  </w:num>
  <w:num w:numId="26" w16cid:durableId="1980839233">
    <w:abstractNumId w:val="0"/>
  </w:num>
  <w:num w:numId="27" w16cid:durableId="2124883295">
    <w:abstractNumId w:val="0"/>
  </w:num>
  <w:num w:numId="28" w16cid:durableId="1388996841">
    <w:abstractNumId w:val="1"/>
  </w:num>
  <w:num w:numId="29" w16cid:durableId="987634440">
    <w:abstractNumId w:val="12"/>
  </w:num>
  <w:num w:numId="30" w16cid:durableId="2132480732">
    <w:abstractNumId w:val="2"/>
  </w:num>
  <w:num w:numId="31" w16cid:durableId="247930715">
    <w:abstractNumId w:val="3"/>
  </w:num>
  <w:num w:numId="32" w16cid:durableId="1729495471">
    <w:abstractNumId w:val="15"/>
  </w:num>
  <w:num w:numId="33" w16cid:durableId="1008799189">
    <w:abstractNumId w:val="10"/>
  </w:num>
  <w:num w:numId="34" w16cid:durableId="47194176">
    <w:abstractNumId w:val="8"/>
  </w:num>
  <w:num w:numId="35" w16cid:durableId="2104648212">
    <w:abstractNumId w:val="7"/>
  </w:num>
  <w:num w:numId="36" w16cid:durableId="1186359208">
    <w:abstractNumId w:val="16"/>
  </w:num>
  <w:num w:numId="37" w16cid:durableId="1997684228">
    <w:abstractNumId w:val="5"/>
  </w:num>
  <w:num w:numId="38" w16cid:durableId="176651324">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displayBackgroundShape/>
  <w:embedSystemFonts/>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F8F"/>
    <w:rsid w:val="00001876"/>
    <w:rsid w:val="000028BB"/>
    <w:rsid w:val="00002B9F"/>
    <w:rsid w:val="00003B1C"/>
    <w:rsid w:val="00005163"/>
    <w:rsid w:val="00005AB9"/>
    <w:rsid w:val="00005EB9"/>
    <w:rsid w:val="00006912"/>
    <w:rsid w:val="00006E24"/>
    <w:rsid w:val="00007A40"/>
    <w:rsid w:val="00010560"/>
    <w:rsid w:val="00010DE1"/>
    <w:rsid w:val="000128CD"/>
    <w:rsid w:val="0001293D"/>
    <w:rsid w:val="000130ED"/>
    <w:rsid w:val="000141AB"/>
    <w:rsid w:val="0001584F"/>
    <w:rsid w:val="00017B45"/>
    <w:rsid w:val="00020E6E"/>
    <w:rsid w:val="000229C4"/>
    <w:rsid w:val="00026A08"/>
    <w:rsid w:val="00026BB2"/>
    <w:rsid w:val="00027409"/>
    <w:rsid w:val="00030156"/>
    <w:rsid w:val="00030A3D"/>
    <w:rsid w:val="00031A4B"/>
    <w:rsid w:val="00033913"/>
    <w:rsid w:val="00033AFC"/>
    <w:rsid w:val="00033DB4"/>
    <w:rsid w:val="00033E5B"/>
    <w:rsid w:val="000357A8"/>
    <w:rsid w:val="000430A6"/>
    <w:rsid w:val="00044923"/>
    <w:rsid w:val="000465F9"/>
    <w:rsid w:val="00046BCF"/>
    <w:rsid w:val="00046BEA"/>
    <w:rsid w:val="00046C05"/>
    <w:rsid w:val="0004756A"/>
    <w:rsid w:val="00050D7A"/>
    <w:rsid w:val="0005249C"/>
    <w:rsid w:val="000534A5"/>
    <w:rsid w:val="00053FEC"/>
    <w:rsid w:val="00055A47"/>
    <w:rsid w:val="0005680D"/>
    <w:rsid w:val="000575D1"/>
    <w:rsid w:val="0006063B"/>
    <w:rsid w:val="00062AD8"/>
    <w:rsid w:val="00063389"/>
    <w:rsid w:val="00063FB4"/>
    <w:rsid w:val="000663D1"/>
    <w:rsid w:val="000675DC"/>
    <w:rsid w:val="0006793E"/>
    <w:rsid w:val="000706CA"/>
    <w:rsid w:val="0007133E"/>
    <w:rsid w:val="00072E0F"/>
    <w:rsid w:val="000735E5"/>
    <w:rsid w:val="0007392F"/>
    <w:rsid w:val="00087B39"/>
    <w:rsid w:val="00093DE0"/>
    <w:rsid w:val="000954F8"/>
    <w:rsid w:val="00095701"/>
    <w:rsid w:val="00096384"/>
    <w:rsid w:val="00096496"/>
    <w:rsid w:val="00096502"/>
    <w:rsid w:val="00097E3F"/>
    <w:rsid w:val="000A09AE"/>
    <w:rsid w:val="000A3061"/>
    <w:rsid w:val="000A3CA6"/>
    <w:rsid w:val="000A4385"/>
    <w:rsid w:val="000A49BB"/>
    <w:rsid w:val="000A5670"/>
    <w:rsid w:val="000B542C"/>
    <w:rsid w:val="000B68FA"/>
    <w:rsid w:val="000B78F4"/>
    <w:rsid w:val="000C1E93"/>
    <w:rsid w:val="000C3441"/>
    <w:rsid w:val="000C6B0C"/>
    <w:rsid w:val="000C6FED"/>
    <w:rsid w:val="000C7582"/>
    <w:rsid w:val="000C7F1E"/>
    <w:rsid w:val="000C7F53"/>
    <w:rsid w:val="000D2215"/>
    <w:rsid w:val="000D2F8E"/>
    <w:rsid w:val="000D4CF9"/>
    <w:rsid w:val="000E00C5"/>
    <w:rsid w:val="000E20C4"/>
    <w:rsid w:val="000E49EC"/>
    <w:rsid w:val="000E7397"/>
    <w:rsid w:val="000F11BF"/>
    <w:rsid w:val="000F196B"/>
    <w:rsid w:val="000F4A3E"/>
    <w:rsid w:val="000F4C16"/>
    <w:rsid w:val="000F72D2"/>
    <w:rsid w:val="00101982"/>
    <w:rsid w:val="00103D3D"/>
    <w:rsid w:val="00105361"/>
    <w:rsid w:val="00107308"/>
    <w:rsid w:val="001101F8"/>
    <w:rsid w:val="00111995"/>
    <w:rsid w:val="0011206F"/>
    <w:rsid w:val="001134F6"/>
    <w:rsid w:val="001138BA"/>
    <w:rsid w:val="00114B4C"/>
    <w:rsid w:val="00115815"/>
    <w:rsid w:val="0011656A"/>
    <w:rsid w:val="00120E2F"/>
    <w:rsid w:val="0012220C"/>
    <w:rsid w:val="00131F37"/>
    <w:rsid w:val="00133B2D"/>
    <w:rsid w:val="00133C02"/>
    <w:rsid w:val="0013468D"/>
    <w:rsid w:val="00134E8C"/>
    <w:rsid w:val="00136EA3"/>
    <w:rsid w:val="00137575"/>
    <w:rsid w:val="00137CE2"/>
    <w:rsid w:val="00140323"/>
    <w:rsid w:val="00144231"/>
    <w:rsid w:val="001446B3"/>
    <w:rsid w:val="00145470"/>
    <w:rsid w:val="00145EE3"/>
    <w:rsid w:val="0014781D"/>
    <w:rsid w:val="00147FE8"/>
    <w:rsid w:val="00150434"/>
    <w:rsid w:val="0015344E"/>
    <w:rsid w:val="001554E5"/>
    <w:rsid w:val="00155721"/>
    <w:rsid w:val="001557CE"/>
    <w:rsid w:val="0015598E"/>
    <w:rsid w:val="001579E5"/>
    <w:rsid w:val="001600A7"/>
    <w:rsid w:val="00161D58"/>
    <w:rsid w:val="0016503F"/>
    <w:rsid w:val="0016674F"/>
    <w:rsid w:val="00167CA0"/>
    <w:rsid w:val="001711BE"/>
    <w:rsid w:val="0017120D"/>
    <w:rsid w:val="001714F6"/>
    <w:rsid w:val="00171DD2"/>
    <w:rsid w:val="00172204"/>
    <w:rsid w:val="00174871"/>
    <w:rsid w:val="00176168"/>
    <w:rsid w:val="00177158"/>
    <w:rsid w:val="00184FD4"/>
    <w:rsid w:val="00186B04"/>
    <w:rsid w:val="00186F1E"/>
    <w:rsid w:val="001902FB"/>
    <w:rsid w:val="00190409"/>
    <w:rsid w:val="00190836"/>
    <w:rsid w:val="00190B4F"/>
    <w:rsid w:val="00192AED"/>
    <w:rsid w:val="00193930"/>
    <w:rsid w:val="00194B36"/>
    <w:rsid w:val="001963A5"/>
    <w:rsid w:val="00196F1E"/>
    <w:rsid w:val="00197FCA"/>
    <w:rsid w:val="001A27DB"/>
    <w:rsid w:val="001A6852"/>
    <w:rsid w:val="001A7AA8"/>
    <w:rsid w:val="001B016E"/>
    <w:rsid w:val="001B02A8"/>
    <w:rsid w:val="001B286A"/>
    <w:rsid w:val="001B2D02"/>
    <w:rsid w:val="001B3647"/>
    <w:rsid w:val="001B77FA"/>
    <w:rsid w:val="001C02D3"/>
    <w:rsid w:val="001C0ABE"/>
    <w:rsid w:val="001C3011"/>
    <w:rsid w:val="001C3812"/>
    <w:rsid w:val="001C5852"/>
    <w:rsid w:val="001C7B6D"/>
    <w:rsid w:val="001D3319"/>
    <w:rsid w:val="001D45F0"/>
    <w:rsid w:val="001D5219"/>
    <w:rsid w:val="001D6F62"/>
    <w:rsid w:val="001E1335"/>
    <w:rsid w:val="001E1889"/>
    <w:rsid w:val="001E44E5"/>
    <w:rsid w:val="001E4A33"/>
    <w:rsid w:val="001E5C27"/>
    <w:rsid w:val="001E668F"/>
    <w:rsid w:val="001E6BE7"/>
    <w:rsid w:val="001E6CAF"/>
    <w:rsid w:val="001E7F9D"/>
    <w:rsid w:val="001F0EEB"/>
    <w:rsid w:val="001F110E"/>
    <w:rsid w:val="001F2A2F"/>
    <w:rsid w:val="001F2BEB"/>
    <w:rsid w:val="001F602B"/>
    <w:rsid w:val="001F6AC8"/>
    <w:rsid w:val="001F7427"/>
    <w:rsid w:val="002037D5"/>
    <w:rsid w:val="00206F90"/>
    <w:rsid w:val="00207500"/>
    <w:rsid w:val="002110FD"/>
    <w:rsid w:val="00212B03"/>
    <w:rsid w:val="00214410"/>
    <w:rsid w:val="00215C10"/>
    <w:rsid w:val="00215C2D"/>
    <w:rsid w:val="00216A41"/>
    <w:rsid w:val="00224AF6"/>
    <w:rsid w:val="002252C4"/>
    <w:rsid w:val="0022541A"/>
    <w:rsid w:val="00226CDE"/>
    <w:rsid w:val="0022706F"/>
    <w:rsid w:val="0022759C"/>
    <w:rsid w:val="0023140A"/>
    <w:rsid w:val="0023183E"/>
    <w:rsid w:val="00231932"/>
    <w:rsid w:val="00232B04"/>
    <w:rsid w:val="00233227"/>
    <w:rsid w:val="00235138"/>
    <w:rsid w:val="002407A9"/>
    <w:rsid w:val="002434ED"/>
    <w:rsid w:val="00243E36"/>
    <w:rsid w:val="00244393"/>
    <w:rsid w:val="00244AEA"/>
    <w:rsid w:val="0024540B"/>
    <w:rsid w:val="00245EF4"/>
    <w:rsid w:val="002465EB"/>
    <w:rsid w:val="00250E11"/>
    <w:rsid w:val="00251383"/>
    <w:rsid w:val="002522C9"/>
    <w:rsid w:val="00252A21"/>
    <w:rsid w:val="00252CAA"/>
    <w:rsid w:val="00253361"/>
    <w:rsid w:val="00253E4F"/>
    <w:rsid w:val="002542E4"/>
    <w:rsid w:val="0025561D"/>
    <w:rsid w:val="00256690"/>
    <w:rsid w:val="00257E7F"/>
    <w:rsid w:val="0026040F"/>
    <w:rsid w:val="00261053"/>
    <w:rsid w:val="0026220E"/>
    <w:rsid w:val="00262FDE"/>
    <w:rsid w:val="00263629"/>
    <w:rsid w:val="002641D0"/>
    <w:rsid w:val="00267754"/>
    <w:rsid w:val="002709D2"/>
    <w:rsid w:val="0027624A"/>
    <w:rsid w:val="002769BD"/>
    <w:rsid w:val="00276DC3"/>
    <w:rsid w:val="002809EA"/>
    <w:rsid w:val="00280BE8"/>
    <w:rsid w:val="002810F3"/>
    <w:rsid w:val="002816FD"/>
    <w:rsid w:val="00284962"/>
    <w:rsid w:val="00287B0E"/>
    <w:rsid w:val="0029549C"/>
    <w:rsid w:val="002954B9"/>
    <w:rsid w:val="002977EC"/>
    <w:rsid w:val="002A0B53"/>
    <w:rsid w:val="002A0EEF"/>
    <w:rsid w:val="002A2BEA"/>
    <w:rsid w:val="002A3B17"/>
    <w:rsid w:val="002A62C7"/>
    <w:rsid w:val="002A7599"/>
    <w:rsid w:val="002A7AB3"/>
    <w:rsid w:val="002B2316"/>
    <w:rsid w:val="002B2DF7"/>
    <w:rsid w:val="002C01B5"/>
    <w:rsid w:val="002C0E0E"/>
    <w:rsid w:val="002C1D46"/>
    <w:rsid w:val="002C2A0D"/>
    <w:rsid w:val="002C3BF4"/>
    <w:rsid w:val="002C5533"/>
    <w:rsid w:val="002C749F"/>
    <w:rsid w:val="002C75AD"/>
    <w:rsid w:val="002D203F"/>
    <w:rsid w:val="002D3246"/>
    <w:rsid w:val="002D47E1"/>
    <w:rsid w:val="002D4998"/>
    <w:rsid w:val="002D64CF"/>
    <w:rsid w:val="002E0063"/>
    <w:rsid w:val="002E1BC5"/>
    <w:rsid w:val="002E5AE1"/>
    <w:rsid w:val="002F059B"/>
    <w:rsid w:val="002F12D7"/>
    <w:rsid w:val="002F24B2"/>
    <w:rsid w:val="002F2ED5"/>
    <w:rsid w:val="002F31F6"/>
    <w:rsid w:val="002F4A16"/>
    <w:rsid w:val="002F5494"/>
    <w:rsid w:val="002F5B0B"/>
    <w:rsid w:val="002F7C19"/>
    <w:rsid w:val="00300924"/>
    <w:rsid w:val="00301B6D"/>
    <w:rsid w:val="0030255A"/>
    <w:rsid w:val="003045C1"/>
    <w:rsid w:val="00305777"/>
    <w:rsid w:val="0030596E"/>
    <w:rsid w:val="003073C3"/>
    <w:rsid w:val="003106D7"/>
    <w:rsid w:val="0031094C"/>
    <w:rsid w:val="00316CBF"/>
    <w:rsid w:val="003227AD"/>
    <w:rsid w:val="00323637"/>
    <w:rsid w:val="0032385E"/>
    <w:rsid w:val="00324E8A"/>
    <w:rsid w:val="00331D87"/>
    <w:rsid w:val="00332850"/>
    <w:rsid w:val="00334478"/>
    <w:rsid w:val="003346B4"/>
    <w:rsid w:val="00334AE6"/>
    <w:rsid w:val="003365D0"/>
    <w:rsid w:val="00336CCE"/>
    <w:rsid w:val="003423CE"/>
    <w:rsid w:val="00342D02"/>
    <w:rsid w:val="003439AB"/>
    <w:rsid w:val="0034525B"/>
    <w:rsid w:val="003453E4"/>
    <w:rsid w:val="00354695"/>
    <w:rsid w:val="0035549B"/>
    <w:rsid w:val="00355563"/>
    <w:rsid w:val="003631CD"/>
    <w:rsid w:val="0036454B"/>
    <w:rsid w:val="00367584"/>
    <w:rsid w:val="003706E1"/>
    <w:rsid w:val="00372762"/>
    <w:rsid w:val="003737CF"/>
    <w:rsid w:val="003755C8"/>
    <w:rsid w:val="00375687"/>
    <w:rsid w:val="00375C20"/>
    <w:rsid w:val="003761CF"/>
    <w:rsid w:val="00380AE0"/>
    <w:rsid w:val="00383324"/>
    <w:rsid w:val="00384FD5"/>
    <w:rsid w:val="00385B6A"/>
    <w:rsid w:val="00387357"/>
    <w:rsid w:val="00387A75"/>
    <w:rsid w:val="003904FD"/>
    <w:rsid w:val="0039246C"/>
    <w:rsid w:val="00394254"/>
    <w:rsid w:val="00394285"/>
    <w:rsid w:val="0039465F"/>
    <w:rsid w:val="00394AB0"/>
    <w:rsid w:val="00397B60"/>
    <w:rsid w:val="003A0923"/>
    <w:rsid w:val="003A1789"/>
    <w:rsid w:val="003A1AF6"/>
    <w:rsid w:val="003A326E"/>
    <w:rsid w:val="003A4477"/>
    <w:rsid w:val="003A4501"/>
    <w:rsid w:val="003B1CC4"/>
    <w:rsid w:val="003B5F16"/>
    <w:rsid w:val="003B7401"/>
    <w:rsid w:val="003C2BFB"/>
    <w:rsid w:val="003C3440"/>
    <w:rsid w:val="003C3E2D"/>
    <w:rsid w:val="003C436B"/>
    <w:rsid w:val="003C5337"/>
    <w:rsid w:val="003C5F92"/>
    <w:rsid w:val="003C7FD8"/>
    <w:rsid w:val="003D0F03"/>
    <w:rsid w:val="003D2E5C"/>
    <w:rsid w:val="003D329F"/>
    <w:rsid w:val="003D4C7B"/>
    <w:rsid w:val="003D7A8C"/>
    <w:rsid w:val="003D7C00"/>
    <w:rsid w:val="003E0EB4"/>
    <w:rsid w:val="003E1AED"/>
    <w:rsid w:val="003E423D"/>
    <w:rsid w:val="003E56E5"/>
    <w:rsid w:val="003E7051"/>
    <w:rsid w:val="003E7237"/>
    <w:rsid w:val="003E7A20"/>
    <w:rsid w:val="003E7E60"/>
    <w:rsid w:val="003F00D4"/>
    <w:rsid w:val="003F0592"/>
    <w:rsid w:val="003F156D"/>
    <w:rsid w:val="003F1E1A"/>
    <w:rsid w:val="003F2209"/>
    <w:rsid w:val="003F33B7"/>
    <w:rsid w:val="003F3D39"/>
    <w:rsid w:val="003F646A"/>
    <w:rsid w:val="003F6617"/>
    <w:rsid w:val="003F6761"/>
    <w:rsid w:val="003F6A0A"/>
    <w:rsid w:val="004004C8"/>
    <w:rsid w:val="00401744"/>
    <w:rsid w:val="004024F5"/>
    <w:rsid w:val="00402DE1"/>
    <w:rsid w:val="004030F7"/>
    <w:rsid w:val="00403B40"/>
    <w:rsid w:val="00403D8B"/>
    <w:rsid w:val="004058F1"/>
    <w:rsid w:val="00407E7D"/>
    <w:rsid w:val="00407FBC"/>
    <w:rsid w:val="0041076A"/>
    <w:rsid w:val="0041283D"/>
    <w:rsid w:val="00413AB4"/>
    <w:rsid w:val="00415795"/>
    <w:rsid w:val="00415B04"/>
    <w:rsid w:val="00415EBC"/>
    <w:rsid w:val="0042037B"/>
    <w:rsid w:val="00421373"/>
    <w:rsid w:val="00421FB7"/>
    <w:rsid w:val="004241C7"/>
    <w:rsid w:val="004249E1"/>
    <w:rsid w:val="00424C97"/>
    <w:rsid w:val="0042763B"/>
    <w:rsid w:val="00427D1C"/>
    <w:rsid w:val="0043024C"/>
    <w:rsid w:val="0043185A"/>
    <w:rsid w:val="00431A0D"/>
    <w:rsid w:val="00431BB9"/>
    <w:rsid w:val="004321C9"/>
    <w:rsid w:val="00433FEC"/>
    <w:rsid w:val="004359DD"/>
    <w:rsid w:val="00436706"/>
    <w:rsid w:val="004367EC"/>
    <w:rsid w:val="00437D49"/>
    <w:rsid w:val="00443D38"/>
    <w:rsid w:val="00443DAF"/>
    <w:rsid w:val="00444F84"/>
    <w:rsid w:val="00446CEC"/>
    <w:rsid w:val="00447D5F"/>
    <w:rsid w:val="004509EA"/>
    <w:rsid w:val="00450E7A"/>
    <w:rsid w:val="00456AF8"/>
    <w:rsid w:val="00456B20"/>
    <w:rsid w:val="00461822"/>
    <w:rsid w:val="004623C7"/>
    <w:rsid w:val="00462A15"/>
    <w:rsid w:val="00464D98"/>
    <w:rsid w:val="00465C5A"/>
    <w:rsid w:val="00470B15"/>
    <w:rsid w:val="00471424"/>
    <w:rsid w:val="004728DC"/>
    <w:rsid w:val="00472BCC"/>
    <w:rsid w:val="004735C8"/>
    <w:rsid w:val="00475869"/>
    <w:rsid w:val="00475A77"/>
    <w:rsid w:val="004765AC"/>
    <w:rsid w:val="004776A8"/>
    <w:rsid w:val="00477EF1"/>
    <w:rsid w:val="004801EB"/>
    <w:rsid w:val="00482DDC"/>
    <w:rsid w:val="00483E6C"/>
    <w:rsid w:val="00484421"/>
    <w:rsid w:val="00485129"/>
    <w:rsid w:val="004866A9"/>
    <w:rsid w:val="0048687E"/>
    <w:rsid w:val="00490FB8"/>
    <w:rsid w:val="00492774"/>
    <w:rsid w:val="00494F66"/>
    <w:rsid w:val="00496D7A"/>
    <w:rsid w:val="004A2475"/>
    <w:rsid w:val="004A31BC"/>
    <w:rsid w:val="004A3F1A"/>
    <w:rsid w:val="004A3F45"/>
    <w:rsid w:val="004B1AFA"/>
    <w:rsid w:val="004B1D73"/>
    <w:rsid w:val="004B45E8"/>
    <w:rsid w:val="004B4D2D"/>
    <w:rsid w:val="004B6047"/>
    <w:rsid w:val="004B7088"/>
    <w:rsid w:val="004C5823"/>
    <w:rsid w:val="004C5B76"/>
    <w:rsid w:val="004C6EC9"/>
    <w:rsid w:val="004D02CD"/>
    <w:rsid w:val="004D0B24"/>
    <w:rsid w:val="004D4B90"/>
    <w:rsid w:val="004D56A4"/>
    <w:rsid w:val="004D5EF3"/>
    <w:rsid w:val="004D6B95"/>
    <w:rsid w:val="004D7F41"/>
    <w:rsid w:val="004E03A2"/>
    <w:rsid w:val="004E0575"/>
    <w:rsid w:val="004E205F"/>
    <w:rsid w:val="004E2765"/>
    <w:rsid w:val="004E317E"/>
    <w:rsid w:val="004E324D"/>
    <w:rsid w:val="004E3954"/>
    <w:rsid w:val="004E4011"/>
    <w:rsid w:val="004E5856"/>
    <w:rsid w:val="004E62F9"/>
    <w:rsid w:val="004F0FC3"/>
    <w:rsid w:val="004F2330"/>
    <w:rsid w:val="004F5338"/>
    <w:rsid w:val="004F53C6"/>
    <w:rsid w:val="004F619E"/>
    <w:rsid w:val="004F69DB"/>
    <w:rsid w:val="004F6B87"/>
    <w:rsid w:val="005006DE"/>
    <w:rsid w:val="005006FE"/>
    <w:rsid w:val="00501C2D"/>
    <w:rsid w:val="00502637"/>
    <w:rsid w:val="00506262"/>
    <w:rsid w:val="00507721"/>
    <w:rsid w:val="005078DF"/>
    <w:rsid w:val="00507EE9"/>
    <w:rsid w:val="00511018"/>
    <w:rsid w:val="00511140"/>
    <w:rsid w:val="00511F86"/>
    <w:rsid w:val="00513CFE"/>
    <w:rsid w:val="00515EA8"/>
    <w:rsid w:val="00516482"/>
    <w:rsid w:val="00516EDB"/>
    <w:rsid w:val="0052260A"/>
    <w:rsid w:val="0052384A"/>
    <w:rsid w:val="00523B6A"/>
    <w:rsid w:val="00525F6C"/>
    <w:rsid w:val="005264D9"/>
    <w:rsid w:val="005311F5"/>
    <w:rsid w:val="005319D8"/>
    <w:rsid w:val="00532472"/>
    <w:rsid w:val="00534D9D"/>
    <w:rsid w:val="00534FD8"/>
    <w:rsid w:val="00537486"/>
    <w:rsid w:val="00542BBF"/>
    <w:rsid w:val="00546AB4"/>
    <w:rsid w:val="0055095C"/>
    <w:rsid w:val="005514E5"/>
    <w:rsid w:val="00552168"/>
    <w:rsid w:val="00553500"/>
    <w:rsid w:val="00553A52"/>
    <w:rsid w:val="00554182"/>
    <w:rsid w:val="0056072A"/>
    <w:rsid w:val="00563C84"/>
    <w:rsid w:val="005642C8"/>
    <w:rsid w:val="00567AF3"/>
    <w:rsid w:val="00572FFB"/>
    <w:rsid w:val="00573F19"/>
    <w:rsid w:val="005762F6"/>
    <w:rsid w:val="00581729"/>
    <w:rsid w:val="00582D68"/>
    <w:rsid w:val="00584FBE"/>
    <w:rsid w:val="00585483"/>
    <w:rsid w:val="00585A9D"/>
    <w:rsid w:val="00586C50"/>
    <w:rsid w:val="00587378"/>
    <w:rsid w:val="00587C05"/>
    <w:rsid w:val="00590AAB"/>
    <w:rsid w:val="0059116F"/>
    <w:rsid w:val="00592025"/>
    <w:rsid w:val="005931E9"/>
    <w:rsid w:val="005938C3"/>
    <w:rsid w:val="0059468C"/>
    <w:rsid w:val="00595125"/>
    <w:rsid w:val="005957EA"/>
    <w:rsid w:val="005965DB"/>
    <w:rsid w:val="00596F21"/>
    <w:rsid w:val="005A1E55"/>
    <w:rsid w:val="005A23F1"/>
    <w:rsid w:val="005A3F44"/>
    <w:rsid w:val="005A604F"/>
    <w:rsid w:val="005A7B8E"/>
    <w:rsid w:val="005B0D6D"/>
    <w:rsid w:val="005B183F"/>
    <w:rsid w:val="005B1CDD"/>
    <w:rsid w:val="005B1E19"/>
    <w:rsid w:val="005B4127"/>
    <w:rsid w:val="005B44EA"/>
    <w:rsid w:val="005B55FC"/>
    <w:rsid w:val="005B6456"/>
    <w:rsid w:val="005C04DD"/>
    <w:rsid w:val="005C2D5E"/>
    <w:rsid w:val="005C3B81"/>
    <w:rsid w:val="005C44D3"/>
    <w:rsid w:val="005C650C"/>
    <w:rsid w:val="005C7D43"/>
    <w:rsid w:val="005D086C"/>
    <w:rsid w:val="005D11D3"/>
    <w:rsid w:val="005D2DA9"/>
    <w:rsid w:val="005D3B59"/>
    <w:rsid w:val="005D3C94"/>
    <w:rsid w:val="005D4E1F"/>
    <w:rsid w:val="005D4FB3"/>
    <w:rsid w:val="005E0B58"/>
    <w:rsid w:val="005E1757"/>
    <w:rsid w:val="005E2494"/>
    <w:rsid w:val="005E2F07"/>
    <w:rsid w:val="005E2FEA"/>
    <w:rsid w:val="005E536E"/>
    <w:rsid w:val="005E57F8"/>
    <w:rsid w:val="005F1C40"/>
    <w:rsid w:val="005F2B4A"/>
    <w:rsid w:val="005F2E90"/>
    <w:rsid w:val="005F314B"/>
    <w:rsid w:val="005F722D"/>
    <w:rsid w:val="006062AF"/>
    <w:rsid w:val="00606DE4"/>
    <w:rsid w:val="00611012"/>
    <w:rsid w:val="00611AF2"/>
    <w:rsid w:val="0061212B"/>
    <w:rsid w:val="006127AF"/>
    <w:rsid w:val="0061311D"/>
    <w:rsid w:val="00615D12"/>
    <w:rsid w:val="00615FB2"/>
    <w:rsid w:val="00617BD1"/>
    <w:rsid w:val="00617CE8"/>
    <w:rsid w:val="00624594"/>
    <w:rsid w:val="006278A0"/>
    <w:rsid w:val="0063095F"/>
    <w:rsid w:val="006338B0"/>
    <w:rsid w:val="006346DF"/>
    <w:rsid w:val="00642D36"/>
    <w:rsid w:val="00644E36"/>
    <w:rsid w:val="00645793"/>
    <w:rsid w:val="00646659"/>
    <w:rsid w:val="00646AC2"/>
    <w:rsid w:val="00650390"/>
    <w:rsid w:val="00651080"/>
    <w:rsid w:val="00654DAB"/>
    <w:rsid w:val="00657AC1"/>
    <w:rsid w:val="00661F45"/>
    <w:rsid w:val="0066204A"/>
    <w:rsid w:val="00670035"/>
    <w:rsid w:val="00670CC1"/>
    <w:rsid w:val="00670E3C"/>
    <w:rsid w:val="00675CA6"/>
    <w:rsid w:val="00675ED3"/>
    <w:rsid w:val="00676157"/>
    <w:rsid w:val="00677092"/>
    <w:rsid w:val="006770E6"/>
    <w:rsid w:val="00677F57"/>
    <w:rsid w:val="00680FC5"/>
    <w:rsid w:val="00681088"/>
    <w:rsid w:val="006829E9"/>
    <w:rsid w:val="00682DDD"/>
    <w:rsid w:val="00684328"/>
    <w:rsid w:val="006857FD"/>
    <w:rsid w:val="0068697E"/>
    <w:rsid w:val="0068777F"/>
    <w:rsid w:val="00691264"/>
    <w:rsid w:val="00692E7B"/>
    <w:rsid w:val="0069577E"/>
    <w:rsid w:val="0069634B"/>
    <w:rsid w:val="00696623"/>
    <w:rsid w:val="006966CF"/>
    <w:rsid w:val="006A0173"/>
    <w:rsid w:val="006A04E9"/>
    <w:rsid w:val="006A268F"/>
    <w:rsid w:val="006A480B"/>
    <w:rsid w:val="006A4A03"/>
    <w:rsid w:val="006A531E"/>
    <w:rsid w:val="006A55DB"/>
    <w:rsid w:val="006A585F"/>
    <w:rsid w:val="006A72FA"/>
    <w:rsid w:val="006A7543"/>
    <w:rsid w:val="006B449F"/>
    <w:rsid w:val="006B6EDE"/>
    <w:rsid w:val="006B725C"/>
    <w:rsid w:val="006B764D"/>
    <w:rsid w:val="006C061A"/>
    <w:rsid w:val="006C273D"/>
    <w:rsid w:val="006C5C4F"/>
    <w:rsid w:val="006C6282"/>
    <w:rsid w:val="006C762A"/>
    <w:rsid w:val="006D10CD"/>
    <w:rsid w:val="006D42A7"/>
    <w:rsid w:val="006D42F5"/>
    <w:rsid w:val="006D4C79"/>
    <w:rsid w:val="006D5FF9"/>
    <w:rsid w:val="006D61E1"/>
    <w:rsid w:val="006E0772"/>
    <w:rsid w:val="006E0F86"/>
    <w:rsid w:val="006E748F"/>
    <w:rsid w:val="006F0B15"/>
    <w:rsid w:val="006F0DCC"/>
    <w:rsid w:val="006F25F3"/>
    <w:rsid w:val="007013F3"/>
    <w:rsid w:val="0070373B"/>
    <w:rsid w:val="00703DF9"/>
    <w:rsid w:val="007048EB"/>
    <w:rsid w:val="00704FBB"/>
    <w:rsid w:val="0070635E"/>
    <w:rsid w:val="007063A6"/>
    <w:rsid w:val="0070726A"/>
    <w:rsid w:val="0070729B"/>
    <w:rsid w:val="00711094"/>
    <w:rsid w:val="007121BC"/>
    <w:rsid w:val="0071226B"/>
    <w:rsid w:val="00717040"/>
    <w:rsid w:val="00717184"/>
    <w:rsid w:val="00720085"/>
    <w:rsid w:val="007200D2"/>
    <w:rsid w:val="00721DE1"/>
    <w:rsid w:val="00724622"/>
    <w:rsid w:val="007304EE"/>
    <w:rsid w:val="00731218"/>
    <w:rsid w:val="007339B7"/>
    <w:rsid w:val="0074133C"/>
    <w:rsid w:val="007448C0"/>
    <w:rsid w:val="00744F46"/>
    <w:rsid w:val="00751793"/>
    <w:rsid w:val="00757BBF"/>
    <w:rsid w:val="00766CC0"/>
    <w:rsid w:val="00766F64"/>
    <w:rsid w:val="007675FE"/>
    <w:rsid w:val="00772720"/>
    <w:rsid w:val="00773F5E"/>
    <w:rsid w:val="00774905"/>
    <w:rsid w:val="007750A2"/>
    <w:rsid w:val="00775CDC"/>
    <w:rsid w:val="0078065A"/>
    <w:rsid w:val="007817D6"/>
    <w:rsid w:val="00782686"/>
    <w:rsid w:val="007837F8"/>
    <w:rsid w:val="00783CD1"/>
    <w:rsid w:val="00787912"/>
    <w:rsid w:val="00790563"/>
    <w:rsid w:val="00790DE8"/>
    <w:rsid w:val="0079177A"/>
    <w:rsid w:val="00791CFA"/>
    <w:rsid w:val="007935E5"/>
    <w:rsid w:val="00794836"/>
    <w:rsid w:val="007948D5"/>
    <w:rsid w:val="007A15C9"/>
    <w:rsid w:val="007A21C5"/>
    <w:rsid w:val="007A4BBF"/>
    <w:rsid w:val="007A4EFB"/>
    <w:rsid w:val="007A6676"/>
    <w:rsid w:val="007A72D6"/>
    <w:rsid w:val="007B2FA6"/>
    <w:rsid w:val="007B7FF5"/>
    <w:rsid w:val="007C0987"/>
    <w:rsid w:val="007C2FC8"/>
    <w:rsid w:val="007C3D9E"/>
    <w:rsid w:val="007C3FC6"/>
    <w:rsid w:val="007C6AC0"/>
    <w:rsid w:val="007D0AE4"/>
    <w:rsid w:val="007D161B"/>
    <w:rsid w:val="007D2CE9"/>
    <w:rsid w:val="007D491A"/>
    <w:rsid w:val="007D4951"/>
    <w:rsid w:val="007D4FED"/>
    <w:rsid w:val="007D69DA"/>
    <w:rsid w:val="007D6E04"/>
    <w:rsid w:val="007D70B1"/>
    <w:rsid w:val="007D7140"/>
    <w:rsid w:val="007E1C73"/>
    <w:rsid w:val="007E1CDB"/>
    <w:rsid w:val="007E3302"/>
    <w:rsid w:val="007E408C"/>
    <w:rsid w:val="007E42E7"/>
    <w:rsid w:val="007E7A1E"/>
    <w:rsid w:val="007E7E21"/>
    <w:rsid w:val="007F0460"/>
    <w:rsid w:val="007F0DA2"/>
    <w:rsid w:val="007F1A56"/>
    <w:rsid w:val="007F2150"/>
    <w:rsid w:val="007F39CE"/>
    <w:rsid w:val="007F5720"/>
    <w:rsid w:val="007F5E0D"/>
    <w:rsid w:val="007F6662"/>
    <w:rsid w:val="007F6F3F"/>
    <w:rsid w:val="007F71D4"/>
    <w:rsid w:val="00801085"/>
    <w:rsid w:val="00801A89"/>
    <w:rsid w:val="00804E5C"/>
    <w:rsid w:val="00805038"/>
    <w:rsid w:val="00812138"/>
    <w:rsid w:val="008130BE"/>
    <w:rsid w:val="008151F2"/>
    <w:rsid w:val="0081535A"/>
    <w:rsid w:val="0081777A"/>
    <w:rsid w:val="008210E0"/>
    <w:rsid w:val="00824079"/>
    <w:rsid w:val="008247A2"/>
    <w:rsid w:val="00824914"/>
    <w:rsid w:val="0083138B"/>
    <w:rsid w:val="00831F0A"/>
    <w:rsid w:val="0083369F"/>
    <w:rsid w:val="0083392C"/>
    <w:rsid w:val="00833A78"/>
    <w:rsid w:val="00833E60"/>
    <w:rsid w:val="008356E6"/>
    <w:rsid w:val="008423DA"/>
    <w:rsid w:val="00842835"/>
    <w:rsid w:val="0084585F"/>
    <w:rsid w:val="00845D6F"/>
    <w:rsid w:val="008462B4"/>
    <w:rsid w:val="0084689A"/>
    <w:rsid w:val="00846A62"/>
    <w:rsid w:val="0085032E"/>
    <w:rsid w:val="0085047C"/>
    <w:rsid w:val="008514A9"/>
    <w:rsid w:val="00852463"/>
    <w:rsid w:val="00852D65"/>
    <w:rsid w:val="00853E53"/>
    <w:rsid w:val="00855108"/>
    <w:rsid w:val="0085748C"/>
    <w:rsid w:val="008615FF"/>
    <w:rsid w:val="00862CD5"/>
    <w:rsid w:val="00864D76"/>
    <w:rsid w:val="00865159"/>
    <w:rsid w:val="008656C9"/>
    <w:rsid w:val="00866FC9"/>
    <w:rsid w:val="0086711C"/>
    <w:rsid w:val="00867535"/>
    <w:rsid w:val="00870D0C"/>
    <w:rsid w:val="00875C5B"/>
    <w:rsid w:val="00875DFE"/>
    <w:rsid w:val="00876A6F"/>
    <w:rsid w:val="00882EE7"/>
    <w:rsid w:val="008832C7"/>
    <w:rsid w:val="00883C5F"/>
    <w:rsid w:val="008918AD"/>
    <w:rsid w:val="00891C7D"/>
    <w:rsid w:val="00892FA7"/>
    <w:rsid w:val="00896B4D"/>
    <w:rsid w:val="00896F44"/>
    <w:rsid w:val="00897DD8"/>
    <w:rsid w:val="008A0579"/>
    <w:rsid w:val="008A10EA"/>
    <w:rsid w:val="008A1B5F"/>
    <w:rsid w:val="008A2DAA"/>
    <w:rsid w:val="008A3301"/>
    <w:rsid w:val="008A4DF1"/>
    <w:rsid w:val="008A5636"/>
    <w:rsid w:val="008A57DE"/>
    <w:rsid w:val="008A6BCB"/>
    <w:rsid w:val="008A7A8E"/>
    <w:rsid w:val="008B0BA0"/>
    <w:rsid w:val="008B125E"/>
    <w:rsid w:val="008B1EBE"/>
    <w:rsid w:val="008B241C"/>
    <w:rsid w:val="008B309C"/>
    <w:rsid w:val="008B3DC8"/>
    <w:rsid w:val="008B408B"/>
    <w:rsid w:val="008B4F11"/>
    <w:rsid w:val="008B55C5"/>
    <w:rsid w:val="008B6DCD"/>
    <w:rsid w:val="008B6F3B"/>
    <w:rsid w:val="008C2362"/>
    <w:rsid w:val="008C24A0"/>
    <w:rsid w:val="008C3049"/>
    <w:rsid w:val="008C3736"/>
    <w:rsid w:val="008C6F2C"/>
    <w:rsid w:val="008C7780"/>
    <w:rsid w:val="008D232D"/>
    <w:rsid w:val="008D4AE9"/>
    <w:rsid w:val="008D5CF3"/>
    <w:rsid w:val="008D5E21"/>
    <w:rsid w:val="008D62AF"/>
    <w:rsid w:val="008D7D39"/>
    <w:rsid w:val="008E0464"/>
    <w:rsid w:val="008E0BBF"/>
    <w:rsid w:val="008E31C0"/>
    <w:rsid w:val="008E3AA1"/>
    <w:rsid w:val="008E4574"/>
    <w:rsid w:val="008E50CA"/>
    <w:rsid w:val="008E5A7A"/>
    <w:rsid w:val="008F1732"/>
    <w:rsid w:val="008F278F"/>
    <w:rsid w:val="008F4016"/>
    <w:rsid w:val="008F42FE"/>
    <w:rsid w:val="008F4A00"/>
    <w:rsid w:val="008F5402"/>
    <w:rsid w:val="008F6573"/>
    <w:rsid w:val="0090053A"/>
    <w:rsid w:val="00900EB3"/>
    <w:rsid w:val="00901C2A"/>
    <w:rsid w:val="00902692"/>
    <w:rsid w:val="00902F72"/>
    <w:rsid w:val="0090483D"/>
    <w:rsid w:val="009048D6"/>
    <w:rsid w:val="00904D49"/>
    <w:rsid w:val="009068BE"/>
    <w:rsid w:val="009076F9"/>
    <w:rsid w:val="009118C7"/>
    <w:rsid w:val="0091219B"/>
    <w:rsid w:val="009138D8"/>
    <w:rsid w:val="009201A0"/>
    <w:rsid w:val="009223A1"/>
    <w:rsid w:val="009225B6"/>
    <w:rsid w:val="00923DB8"/>
    <w:rsid w:val="00924189"/>
    <w:rsid w:val="009243A0"/>
    <w:rsid w:val="00925397"/>
    <w:rsid w:val="00926307"/>
    <w:rsid w:val="00926BA1"/>
    <w:rsid w:val="009323D3"/>
    <w:rsid w:val="00933A21"/>
    <w:rsid w:val="00934591"/>
    <w:rsid w:val="00934C10"/>
    <w:rsid w:val="0093662A"/>
    <w:rsid w:val="009375C3"/>
    <w:rsid w:val="00940345"/>
    <w:rsid w:val="0094060C"/>
    <w:rsid w:val="009408FC"/>
    <w:rsid w:val="00940FB6"/>
    <w:rsid w:val="00944075"/>
    <w:rsid w:val="0094578A"/>
    <w:rsid w:val="009478D2"/>
    <w:rsid w:val="00947E32"/>
    <w:rsid w:val="00950BE6"/>
    <w:rsid w:val="009510C2"/>
    <w:rsid w:val="009533AB"/>
    <w:rsid w:val="00953DA1"/>
    <w:rsid w:val="00955139"/>
    <w:rsid w:val="00955A4A"/>
    <w:rsid w:val="00955A7E"/>
    <w:rsid w:val="00955F3E"/>
    <w:rsid w:val="009568AC"/>
    <w:rsid w:val="009606A5"/>
    <w:rsid w:val="00962F1F"/>
    <w:rsid w:val="00963702"/>
    <w:rsid w:val="00965304"/>
    <w:rsid w:val="00970F0E"/>
    <w:rsid w:val="00971293"/>
    <w:rsid w:val="00973A3B"/>
    <w:rsid w:val="00973C8C"/>
    <w:rsid w:val="00974F2D"/>
    <w:rsid w:val="009808AB"/>
    <w:rsid w:val="00981234"/>
    <w:rsid w:val="009820F4"/>
    <w:rsid w:val="00982532"/>
    <w:rsid w:val="00982B0B"/>
    <w:rsid w:val="00983EAE"/>
    <w:rsid w:val="0098421A"/>
    <w:rsid w:val="00984816"/>
    <w:rsid w:val="00984B77"/>
    <w:rsid w:val="0098760B"/>
    <w:rsid w:val="00991EF7"/>
    <w:rsid w:val="0099245E"/>
    <w:rsid w:val="0099406B"/>
    <w:rsid w:val="00997E15"/>
    <w:rsid w:val="009A11DD"/>
    <w:rsid w:val="009A12E6"/>
    <w:rsid w:val="009A1FD4"/>
    <w:rsid w:val="009A416C"/>
    <w:rsid w:val="009A617E"/>
    <w:rsid w:val="009A684A"/>
    <w:rsid w:val="009B30AA"/>
    <w:rsid w:val="009B32EF"/>
    <w:rsid w:val="009B3D39"/>
    <w:rsid w:val="009B49FD"/>
    <w:rsid w:val="009B5217"/>
    <w:rsid w:val="009B5D43"/>
    <w:rsid w:val="009B6E92"/>
    <w:rsid w:val="009C0334"/>
    <w:rsid w:val="009C4798"/>
    <w:rsid w:val="009C48DE"/>
    <w:rsid w:val="009C4F87"/>
    <w:rsid w:val="009C677B"/>
    <w:rsid w:val="009C6C55"/>
    <w:rsid w:val="009C7861"/>
    <w:rsid w:val="009D1DBA"/>
    <w:rsid w:val="009D1EAE"/>
    <w:rsid w:val="009D5C29"/>
    <w:rsid w:val="009D6524"/>
    <w:rsid w:val="009D65B4"/>
    <w:rsid w:val="009D6BC9"/>
    <w:rsid w:val="009E12D9"/>
    <w:rsid w:val="009E1E1E"/>
    <w:rsid w:val="009E20D2"/>
    <w:rsid w:val="009E33E3"/>
    <w:rsid w:val="009E461E"/>
    <w:rsid w:val="009E4A97"/>
    <w:rsid w:val="009E5590"/>
    <w:rsid w:val="009E7F16"/>
    <w:rsid w:val="009F07B6"/>
    <w:rsid w:val="009F1681"/>
    <w:rsid w:val="009F2957"/>
    <w:rsid w:val="009F4871"/>
    <w:rsid w:val="009F5052"/>
    <w:rsid w:val="00A00842"/>
    <w:rsid w:val="00A02A02"/>
    <w:rsid w:val="00A02A1C"/>
    <w:rsid w:val="00A04C85"/>
    <w:rsid w:val="00A06639"/>
    <w:rsid w:val="00A07259"/>
    <w:rsid w:val="00A100F0"/>
    <w:rsid w:val="00A1040B"/>
    <w:rsid w:val="00A10E17"/>
    <w:rsid w:val="00A13C4C"/>
    <w:rsid w:val="00A156E6"/>
    <w:rsid w:val="00A220E8"/>
    <w:rsid w:val="00A257C5"/>
    <w:rsid w:val="00A2746D"/>
    <w:rsid w:val="00A27D86"/>
    <w:rsid w:val="00A30EED"/>
    <w:rsid w:val="00A316C0"/>
    <w:rsid w:val="00A3250A"/>
    <w:rsid w:val="00A33151"/>
    <w:rsid w:val="00A35277"/>
    <w:rsid w:val="00A36970"/>
    <w:rsid w:val="00A36F09"/>
    <w:rsid w:val="00A3702D"/>
    <w:rsid w:val="00A41EB4"/>
    <w:rsid w:val="00A4250D"/>
    <w:rsid w:val="00A43658"/>
    <w:rsid w:val="00A44BFF"/>
    <w:rsid w:val="00A45B51"/>
    <w:rsid w:val="00A47B55"/>
    <w:rsid w:val="00A501E3"/>
    <w:rsid w:val="00A50F0C"/>
    <w:rsid w:val="00A5304B"/>
    <w:rsid w:val="00A53A5D"/>
    <w:rsid w:val="00A55CAE"/>
    <w:rsid w:val="00A56441"/>
    <w:rsid w:val="00A60132"/>
    <w:rsid w:val="00A6153A"/>
    <w:rsid w:val="00A6360C"/>
    <w:rsid w:val="00A651B7"/>
    <w:rsid w:val="00A66069"/>
    <w:rsid w:val="00A6631E"/>
    <w:rsid w:val="00A7051E"/>
    <w:rsid w:val="00A72CAE"/>
    <w:rsid w:val="00A732CE"/>
    <w:rsid w:val="00A736DD"/>
    <w:rsid w:val="00A73A82"/>
    <w:rsid w:val="00A76E78"/>
    <w:rsid w:val="00A774EA"/>
    <w:rsid w:val="00A809B4"/>
    <w:rsid w:val="00A809FF"/>
    <w:rsid w:val="00A82869"/>
    <w:rsid w:val="00A8758C"/>
    <w:rsid w:val="00A87CF0"/>
    <w:rsid w:val="00A87E89"/>
    <w:rsid w:val="00A906F8"/>
    <w:rsid w:val="00A91006"/>
    <w:rsid w:val="00A92941"/>
    <w:rsid w:val="00A92BAF"/>
    <w:rsid w:val="00A92CCA"/>
    <w:rsid w:val="00A93381"/>
    <w:rsid w:val="00A9421A"/>
    <w:rsid w:val="00A95805"/>
    <w:rsid w:val="00A96BF0"/>
    <w:rsid w:val="00AA127E"/>
    <w:rsid w:val="00AA19AE"/>
    <w:rsid w:val="00AA345A"/>
    <w:rsid w:val="00AA34CE"/>
    <w:rsid w:val="00AA423D"/>
    <w:rsid w:val="00AA6844"/>
    <w:rsid w:val="00AA6A95"/>
    <w:rsid w:val="00AA7FD0"/>
    <w:rsid w:val="00AB10DE"/>
    <w:rsid w:val="00AB3460"/>
    <w:rsid w:val="00AB3668"/>
    <w:rsid w:val="00AB4940"/>
    <w:rsid w:val="00AB5ED7"/>
    <w:rsid w:val="00AB6A5C"/>
    <w:rsid w:val="00AC0B4C"/>
    <w:rsid w:val="00AC2519"/>
    <w:rsid w:val="00AC62E6"/>
    <w:rsid w:val="00AD01CA"/>
    <w:rsid w:val="00AD0AEE"/>
    <w:rsid w:val="00AD4216"/>
    <w:rsid w:val="00AD49E3"/>
    <w:rsid w:val="00AD4B4F"/>
    <w:rsid w:val="00AE48F5"/>
    <w:rsid w:val="00AE4960"/>
    <w:rsid w:val="00AE5603"/>
    <w:rsid w:val="00AE5F4B"/>
    <w:rsid w:val="00AF0616"/>
    <w:rsid w:val="00AF066A"/>
    <w:rsid w:val="00AF08D3"/>
    <w:rsid w:val="00AF0A5E"/>
    <w:rsid w:val="00AF0E28"/>
    <w:rsid w:val="00AF12FD"/>
    <w:rsid w:val="00AF5E6A"/>
    <w:rsid w:val="00AF6AB3"/>
    <w:rsid w:val="00AF6F9B"/>
    <w:rsid w:val="00B0048A"/>
    <w:rsid w:val="00B00DE4"/>
    <w:rsid w:val="00B01409"/>
    <w:rsid w:val="00B0317D"/>
    <w:rsid w:val="00B068BF"/>
    <w:rsid w:val="00B06F89"/>
    <w:rsid w:val="00B07D94"/>
    <w:rsid w:val="00B10DBD"/>
    <w:rsid w:val="00B11F54"/>
    <w:rsid w:val="00B12A68"/>
    <w:rsid w:val="00B15629"/>
    <w:rsid w:val="00B16D67"/>
    <w:rsid w:val="00B17C17"/>
    <w:rsid w:val="00B22ED8"/>
    <w:rsid w:val="00B23401"/>
    <w:rsid w:val="00B2372C"/>
    <w:rsid w:val="00B3022F"/>
    <w:rsid w:val="00B3252C"/>
    <w:rsid w:val="00B32F70"/>
    <w:rsid w:val="00B33564"/>
    <w:rsid w:val="00B3365D"/>
    <w:rsid w:val="00B338AD"/>
    <w:rsid w:val="00B341DE"/>
    <w:rsid w:val="00B35D0B"/>
    <w:rsid w:val="00B373D0"/>
    <w:rsid w:val="00B37F84"/>
    <w:rsid w:val="00B409EC"/>
    <w:rsid w:val="00B42B80"/>
    <w:rsid w:val="00B43AAA"/>
    <w:rsid w:val="00B44A10"/>
    <w:rsid w:val="00B50A8F"/>
    <w:rsid w:val="00B50FA6"/>
    <w:rsid w:val="00B510C2"/>
    <w:rsid w:val="00B53139"/>
    <w:rsid w:val="00B547D7"/>
    <w:rsid w:val="00B562CE"/>
    <w:rsid w:val="00B60B84"/>
    <w:rsid w:val="00B62DE2"/>
    <w:rsid w:val="00B650AB"/>
    <w:rsid w:val="00B662F1"/>
    <w:rsid w:val="00B6640B"/>
    <w:rsid w:val="00B70412"/>
    <w:rsid w:val="00B710FB"/>
    <w:rsid w:val="00B71955"/>
    <w:rsid w:val="00B719F1"/>
    <w:rsid w:val="00B72841"/>
    <w:rsid w:val="00B739A3"/>
    <w:rsid w:val="00B74417"/>
    <w:rsid w:val="00B74D36"/>
    <w:rsid w:val="00B757F4"/>
    <w:rsid w:val="00B76E65"/>
    <w:rsid w:val="00B77246"/>
    <w:rsid w:val="00B82982"/>
    <w:rsid w:val="00B82A90"/>
    <w:rsid w:val="00B838C3"/>
    <w:rsid w:val="00B857CC"/>
    <w:rsid w:val="00B86350"/>
    <w:rsid w:val="00B866CD"/>
    <w:rsid w:val="00B93034"/>
    <w:rsid w:val="00B941A0"/>
    <w:rsid w:val="00B96F3F"/>
    <w:rsid w:val="00B97C5D"/>
    <w:rsid w:val="00B97E58"/>
    <w:rsid w:val="00BA1290"/>
    <w:rsid w:val="00BA18DD"/>
    <w:rsid w:val="00BA3101"/>
    <w:rsid w:val="00BA576D"/>
    <w:rsid w:val="00BB19F7"/>
    <w:rsid w:val="00BB1C65"/>
    <w:rsid w:val="00BB2792"/>
    <w:rsid w:val="00BB76BF"/>
    <w:rsid w:val="00BB77D3"/>
    <w:rsid w:val="00BC0CBF"/>
    <w:rsid w:val="00BC1AD1"/>
    <w:rsid w:val="00BC4167"/>
    <w:rsid w:val="00BC4A58"/>
    <w:rsid w:val="00BC5878"/>
    <w:rsid w:val="00BC5AB9"/>
    <w:rsid w:val="00BC613B"/>
    <w:rsid w:val="00BC6C7B"/>
    <w:rsid w:val="00BC6F16"/>
    <w:rsid w:val="00BD0343"/>
    <w:rsid w:val="00BD0729"/>
    <w:rsid w:val="00BD0DC1"/>
    <w:rsid w:val="00BD455B"/>
    <w:rsid w:val="00BD4E73"/>
    <w:rsid w:val="00BD51D9"/>
    <w:rsid w:val="00BD5C76"/>
    <w:rsid w:val="00BD64E2"/>
    <w:rsid w:val="00BE099C"/>
    <w:rsid w:val="00BE1818"/>
    <w:rsid w:val="00BE3320"/>
    <w:rsid w:val="00BE4995"/>
    <w:rsid w:val="00BE619A"/>
    <w:rsid w:val="00BE7558"/>
    <w:rsid w:val="00BE79D4"/>
    <w:rsid w:val="00BE7E0C"/>
    <w:rsid w:val="00BF429A"/>
    <w:rsid w:val="00BF5224"/>
    <w:rsid w:val="00BF62B8"/>
    <w:rsid w:val="00BF62BE"/>
    <w:rsid w:val="00BF6E19"/>
    <w:rsid w:val="00C04543"/>
    <w:rsid w:val="00C07126"/>
    <w:rsid w:val="00C11CC0"/>
    <w:rsid w:val="00C15534"/>
    <w:rsid w:val="00C155BD"/>
    <w:rsid w:val="00C16853"/>
    <w:rsid w:val="00C17589"/>
    <w:rsid w:val="00C21827"/>
    <w:rsid w:val="00C23554"/>
    <w:rsid w:val="00C25E4F"/>
    <w:rsid w:val="00C262E6"/>
    <w:rsid w:val="00C26307"/>
    <w:rsid w:val="00C263F0"/>
    <w:rsid w:val="00C27892"/>
    <w:rsid w:val="00C33D41"/>
    <w:rsid w:val="00C35ABD"/>
    <w:rsid w:val="00C40106"/>
    <w:rsid w:val="00C40604"/>
    <w:rsid w:val="00C40AFD"/>
    <w:rsid w:val="00C40B62"/>
    <w:rsid w:val="00C41E20"/>
    <w:rsid w:val="00C42E3E"/>
    <w:rsid w:val="00C43C5B"/>
    <w:rsid w:val="00C51C13"/>
    <w:rsid w:val="00C51ECB"/>
    <w:rsid w:val="00C521C5"/>
    <w:rsid w:val="00C525A5"/>
    <w:rsid w:val="00C52A21"/>
    <w:rsid w:val="00C5300F"/>
    <w:rsid w:val="00C5630D"/>
    <w:rsid w:val="00C57A3C"/>
    <w:rsid w:val="00C57BF3"/>
    <w:rsid w:val="00C6035D"/>
    <w:rsid w:val="00C61739"/>
    <w:rsid w:val="00C66CE0"/>
    <w:rsid w:val="00C70486"/>
    <w:rsid w:val="00C717C5"/>
    <w:rsid w:val="00C71BED"/>
    <w:rsid w:val="00C747C0"/>
    <w:rsid w:val="00C76B75"/>
    <w:rsid w:val="00C80785"/>
    <w:rsid w:val="00C8116B"/>
    <w:rsid w:val="00C81B53"/>
    <w:rsid w:val="00C82AD2"/>
    <w:rsid w:val="00C862C7"/>
    <w:rsid w:val="00C8698B"/>
    <w:rsid w:val="00C90544"/>
    <w:rsid w:val="00C90AF8"/>
    <w:rsid w:val="00C90FB6"/>
    <w:rsid w:val="00C9220E"/>
    <w:rsid w:val="00C932BD"/>
    <w:rsid w:val="00C93429"/>
    <w:rsid w:val="00C9401A"/>
    <w:rsid w:val="00C9435C"/>
    <w:rsid w:val="00CA06AC"/>
    <w:rsid w:val="00CA16C5"/>
    <w:rsid w:val="00CA415A"/>
    <w:rsid w:val="00CA4E7F"/>
    <w:rsid w:val="00CA5143"/>
    <w:rsid w:val="00CA5F85"/>
    <w:rsid w:val="00CA7A35"/>
    <w:rsid w:val="00CB1536"/>
    <w:rsid w:val="00CB18D3"/>
    <w:rsid w:val="00CB5F3C"/>
    <w:rsid w:val="00CB78F3"/>
    <w:rsid w:val="00CB7FB8"/>
    <w:rsid w:val="00CB7FE8"/>
    <w:rsid w:val="00CC1F71"/>
    <w:rsid w:val="00CC27C4"/>
    <w:rsid w:val="00CC391E"/>
    <w:rsid w:val="00CC5EB3"/>
    <w:rsid w:val="00CC603B"/>
    <w:rsid w:val="00CD0E7B"/>
    <w:rsid w:val="00CD22F9"/>
    <w:rsid w:val="00CD2ABD"/>
    <w:rsid w:val="00CD35B1"/>
    <w:rsid w:val="00CD4024"/>
    <w:rsid w:val="00CD4617"/>
    <w:rsid w:val="00CD4855"/>
    <w:rsid w:val="00CD4C3C"/>
    <w:rsid w:val="00CE6D43"/>
    <w:rsid w:val="00CE7644"/>
    <w:rsid w:val="00CE7888"/>
    <w:rsid w:val="00CF1115"/>
    <w:rsid w:val="00CF3916"/>
    <w:rsid w:val="00CF7CED"/>
    <w:rsid w:val="00D029B3"/>
    <w:rsid w:val="00D043BA"/>
    <w:rsid w:val="00D06B82"/>
    <w:rsid w:val="00D10E1C"/>
    <w:rsid w:val="00D136A8"/>
    <w:rsid w:val="00D14774"/>
    <w:rsid w:val="00D157D0"/>
    <w:rsid w:val="00D161A3"/>
    <w:rsid w:val="00D170C0"/>
    <w:rsid w:val="00D22E49"/>
    <w:rsid w:val="00D23716"/>
    <w:rsid w:val="00D25ED8"/>
    <w:rsid w:val="00D27F8F"/>
    <w:rsid w:val="00D310E3"/>
    <w:rsid w:val="00D316B8"/>
    <w:rsid w:val="00D31CFC"/>
    <w:rsid w:val="00D31FD1"/>
    <w:rsid w:val="00D3255D"/>
    <w:rsid w:val="00D33067"/>
    <w:rsid w:val="00D33EC6"/>
    <w:rsid w:val="00D340C3"/>
    <w:rsid w:val="00D409CD"/>
    <w:rsid w:val="00D4195A"/>
    <w:rsid w:val="00D423D4"/>
    <w:rsid w:val="00D429D7"/>
    <w:rsid w:val="00D42CAF"/>
    <w:rsid w:val="00D42F30"/>
    <w:rsid w:val="00D47075"/>
    <w:rsid w:val="00D4763B"/>
    <w:rsid w:val="00D522D1"/>
    <w:rsid w:val="00D53136"/>
    <w:rsid w:val="00D538BA"/>
    <w:rsid w:val="00D54912"/>
    <w:rsid w:val="00D54E13"/>
    <w:rsid w:val="00D57311"/>
    <w:rsid w:val="00D57A78"/>
    <w:rsid w:val="00D601EF"/>
    <w:rsid w:val="00D61533"/>
    <w:rsid w:val="00D6277E"/>
    <w:rsid w:val="00D63B2F"/>
    <w:rsid w:val="00D6493C"/>
    <w:rsid w:val="00D6604D"/>
    <w:rsid w:val="00D662B3"/>
    <w:rsid w:val="00D70747"/>
    <w:rsid w:val="00D70BF4"/>
    <w:rsid w:val="00D71E1A"/>
    <w:rsid w:val="00D7261D"/>
    <w:rsid w:val="00D74CF8"/>
    <w:rsid w:val="00D755FC"/>
    <w:rsid w:val="00D76B6D"/>
    <w:rsid w:val="00D76C21"/>
    <w:rsid w:val="00D76CAF"/>
    <w:rsid w:val="00D76EA7"/>
    <w:rsid w:val="00D77863"/>
    <w:rsid w:val="00D77E81"/>
    <w:rsid w:val="00D84191"/>
    <w:rsid w:val="00D84D07"/>
    <w:rsid w:val="00D8526A"/>
    <w:rsid w:val="00D86252"/>
    <w:rsid w:val="00D875BC"/>
    <w:rsid w:val="00D87737"/>
    <w:rsid w:val="00D90E17"/>
    <w:rsid w:val="00D90E91"/>
    <w:rsid w:val="00DA0A1B"/>
    <w:rsid w:val="00DA2170"/>
    <w:rsid w:val="00DA3EB8"/>
    <w:rsid w:val="00DA4C38"/>
    <w:rsid w:val="00DA632C"/>
    <w:rsid w:val="00DA69D4"/>
    <w:rsid w:val="00DA6B21"/>
    <w:rsid w:val="00DA7D7A"/>
    <w:rsid w:val="00DB2EF4"/>
    <w:rsid w:val="00DB3C80"/>
    <w:rsid w:val="00DB3E40"/>
    <w:rsid w:val="00DB53C1"/>
    <w:rsid w:val="00DB7AF7"/>
    <w:rsid w:val="00DC111F"/>
    <w:rsid w:val="00DC1347"/>
    <w:rsid w:val="00DC205E"/>
    <w:rsid w:val="00DC39F1"/>
    <w:rsid w:val="00DD1291"/>
    <w:rsid w:val="00DD1ADF"/>
    <w:rsid w:val="00DD1F60"/>
    <w:rsid w:val="00DD26B3"/>
    <w:rsid w:val="00DD31A7"/>
    <w:rsid w:val="00DD422B"/>
    <w:rsid w:val="00DD7254"/>
    <w:rsid w:val="00DD759B"/>
    <w:rsid w:val="00DE20F2"/>
    <w:rsid w:val="00DE24AC"/>
    <w:rsid w:val="00DE4B35"/>
    <w:rsid w:val="00DE6DAE"/>
    <w:rsid w:val="00DF18F4"/>
    <w:rsid w:val="00DF19C1"/>
    <w:rsid w:val="00DF3C65"/>
    <w:rsid w:val="00DF54CA"/>
    <w:rsid w:val="00DF5B64"/>
    <w:rsid w:val="00E01009"/>
    <w:rsid w:val="00E0267D"/>
    <w:rsid w:val="00E02794"/>
    <w:rsid w:val="00E03410"/>
    <w:rsid w:val="00E043E3"/>
    <w:rsid w:val="00E0505B"/>
    <w:rsid w:val="00E07254"/>
    <w:rsid w:val="00E11280"/>
    <w:rsid w:val="00E11DA0"/>
    <w:rsid w:val="00E12359"/>
    <w:rsid w:val="00E12A2C"/>
    <w:rsid w:val="00E15009"/>
    <w:rsid w:val="00E152FF"/>
    <w:rsid w:val="00E2002D"/>
    <w:rsid w:val="00E2082E"/>
    <w:rsid w:val="00E22A4A"/>
    <w:rsid w:val="00E2461B"/>
    <w:rsid w:val="00E24886"/>
    <w:rsid w:val="00E24B5B"/>
    <w:rsid w:val="00E276FB"/>
    <w:rsid w:val="00E32595"/>
    <w:rsid w:val="00E33A74"/>
    <w:rsid w:val="00E33D8D"/>
    <w:rsid w:val="00E33F30"/>
    <w:rsid w:val="00E40069"/>
    <w:rsid w:val="00E4030B"/>
    <w:rsid w:val="00E41D56"/>
    <w:rsid w:val="00E42B6D"/>
    <w:rsid w:val="00E457DF"/>
    <w:rsid w:val="00E45846"/>
    <w:rsid w:val="00E4653D"/>
    <w:rsid w:val="00E46642"/>
    <w:rsid w:val="00E501C7"/>
    <w:rsid w:val="00E5139A"/>
    <w:rsid w:val="00E52148"/>
    <w:rsid w:val="00E52E2D"/>
    <w:rsid w:val="00E5413D"/>
    <w:rsid w:val="00E54D79"/>
    <w:rsid w:val="00E55F9E"/>
    <w:rsid w:val="00E57977"/>
    <w:rsid w:val="00E57AAD"/>
    <w:rsid w:val="00E61E79"/>
    <w:rsid w:val="00E635D7"/>
    <w:rsid w:val="00E67B8E"/>
    <w:rsid w:val="00E70576"/>
    <w:rsid w:val="00E70E23"/>
    <w:rsid w:val="00E72527"/>
    <w:rsid w:val="00E756F4"/>
    <w:rsid w:val="00E77425"/>
    <w:rsid w:val="00E8101A"/>
    <w:rsid w:val="00E83954"/>
    <w:rsid w:val="00E854BA"/>
    <w:rsid w:val="00E91730"/>
    <w:rsid w:val="00E91909"/>
    <w:rsid w:val="00E92121"/>
    <w:rsid w:val="00E96F04"/>
    <w:rsid w:val="00E9704D"/>
    <w:rsid w:val="00E97AEC"/>
    <w:rsid w:val="00EA20FE"/>
    <w:rsid w:val="00EA3BD1"/>
    <w:rsid w:val="00EA485E"/>
    <w:rsid w:val="00EA4865"/>
    <w:rsid w:val="00EA6D67"/>
    <w:rsid w:val="00EA7CA4"/>
    <w:rsid w:val="00EB108D"/>
    <w:rsid w:val="00EB19F6"/>
    <w:rsid w:val="00EB491E"/>
    <w:rsid w:val="00EB5031"/>
    <w:rsid w:val="00EB681B"/>
    <w:rsid w:val="00EB7C1C"/>
    <w:rsid w:val="00EC011B"/>
    <w:rsid w:val="00EC2C54"/>
    <w:rsid w:val="00EC4FAD"/>
    <w:rsid w:val="00EC5FD9"/>
    <w:rsid w:val="00ED05ED"/>
    <w:rsid w:val="00ED569B"/>
    <w:rsid w:val="00ED5B24"/>
    <w:rsid w:val="00ED5D49"/>
    <w:rsid w:val="00ED6940"/>
    <w:rsid w:val="00EE0C86"/>
    <w:rsid w:val="00EE3CFA"/>
    <w:rsid w:val="00EE3DB8"/>
    <w:rsid w:val="00EE69E4"/>
    <w:rsid w:val="00EF1115"/>
    <w:rsid w:val="00EF236E"/>
    <w:rsid w:val="00EF2A7F"/>
    <w:rsid w:val="00EF4FEE"/>
    <w:rsid w:val="00EF56A1"/>
    <w:rsid w:val="00EF68E9"/>
    <w:rsid w:val="00EF7511"/>
    <w:rsid w:val="00EF7E90"/>
    <w:rsid w:val="00F002B6"/>
    <w:rsid w:val="00F02B52"/>
    <w:rsid w:val="00F05080"/>
    <w:rsid w:val="00F10AFE"/>
    <w:rsid w:val="00F12154"/>
    <w:rsid w:val="00F14383"/>
    <w:rsid w:val="00F15C6C"/>
    <w:rsid w:val="00F17173"/>
    <w:rsid w:val="00F179B4"/>
    <w:rsid w:val="00F20EA4"/>
    <w:rsid w:val="00F224DC"/>
    <w:rsid w:val="00F23826"/>
    <w:rsid w:val="00F2460B"/>
    <w:rsid w:val="00F2568B"/>
    <w:rsid w:val="00F2687F"/>
    <w:rsid w:val="00F27F29"/>
    <w:rsid w:val="00F27F73"/>
    <w:rsid w:val="00F32D54"/>
    <w:rsid w:val="00F36C54"/>
    <w:rsid w:val="00F371A1"/>
    <w:rsid w:val="00F418EA"/>
    <w:rsid w:val="00F41A29"/>
    <w:rsid w:val="00F44C1C"/>
    <w:rsid w:val="00F45214"/>
    <w:rsid w:val="00F4645F"/>
    <w:rsid w:val="00F477C5"/>
    <w:rsid w:val="00F50BEA"/>
    <w:rsid w:val="00F518DF"/>
    <w:rsid w:val="00F544DB"/>
    <w:rsid w:val="00F5503F"/>
    <w:rsid w:val="00F55242"/>
    <w:rsid w:val="00F55EF4"/>
    <w:rsid w:val="00F579F8"/>
    <w:rsid w:val="00F6502E"/>
    <w:rsid w:val="00F65663"/>
    <w:rsid w:val="00F7210A"/>
    <w:rsid w:val="00F72C2C"/>
    <w:rsid w:val="00F73752"/>
    <w:rsid w:val="00F7506E"/>
    <w:rsid w:val="00F756C0"/>
    <w:rsid w:val="00F75A40"/>
    <w:rsid w:val="00F77637"/>
    <w:rsid w:val="00F8088B"/>
    <w:rsid w:val="00F80E3F"/>
    <w:rsid w:val="00F8186A"/>
    <w:rsid w:val="00F836DE"/>
    <w:rsid w:val="00F8435D"/>
    <w:rsid w:val="00F843BA"/>
    <w:rsid w:val="00F87DD0"/>
    <w:rsid w:val="00F91CA8"/>
    <w:rsid w:val="00F93360"/>
    <w:rsid w:val="00F93FE4"/>
    <w:rsid w:val="00F95BC3"/>
    <w:rsid w:val="00F968F5"/>
    <w:rsid w:val="00F969AD"/>
    <w:rsid w:val="00F97E4E"/>
    <w:rsid w:val="00F97FEE"/>
    <w:rsid w:val="00FA181D"/>
    <w:rsid w:val="00FA217B"/>
    <w:rsid w:val="00FA4ECE"/>
    <w:rsid w:val="00FB0BC5"/>
    <w:rsid w:val="00FB0BCC"/>
    <w:rsid w:val="00FB1048"/>
    <w:rsid w:val="00FB21D3"/>
    <w:rsid w:val="00FB2B56"/>
    <w:rsid w:val="00FB55FE"/>
    <w:rsid w:val="00FB6C2A"/>
    <w:rsid w:val="00FB76FE"/>
    <w:rsid w:val="00FC0FE5"/>
    <w:rsid w:val="00FC3539"/>
    <w:rsid w:val="00FC3AA1"/>
    <w:rsid w:val="00FC5867"/>
    <w:rsid w:val="00FC66EA"/>
    <w:rsid w:val="00FC71AA"/>
    <w:rsid w:val="00FD10F8"/>
    <w:rsid w:val="00FD1259"/>
    <w:rsid w:val="00FD1ABC"/>
    <w:rsid w:val="00FD2293"/>
    <w:rsid w:val="00FD3895"/>
    <w:rsid w:val="00FD4DFE"/>
    <w:rsid w:val="00FD76B8"/>
    <w:rsid w:val="00FD7DDF"/>
    <w:rsid w:val="00FE11BD"/>
    <w:rsid w:val="00FE4C92"/>
    <w:rsid w:val="00FF0BE2"/>
    <w:rsid w:val="00FF0FAA"/>
    <w:rsid w:val="00FF12A7"/>
    <w:rsid w:val="00FF12D9"/>
    <w:rsid w:val="00FF1FDA"/>
    <w:rsid w:val="00FF4396"/>
    <w:rsid w:val="00FF7F4E"/>
    <w:rsid w:val="4CF6D56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522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o-RO" w:eastAsia="en-GB" w:bidi="en-GB"/>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iPriority="0" w:unhideWhenUsed="1"/>
    <w:lsdException w:name="header" w:locked="1" w:semiHidden="1" w:uiPriority="0" w:unhideWhenUsed="1" w:qFormat="1"/>
    <w:lsdException w:name="footer" w:locked="1"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6C0"/>
    <w:pPr>
      <w:overflowPunct w:val="0"/>
      <w:autoSpaceDE w:val="0"/>
      <w:autoSpaceDN w:val="0"/>
      <w:adjustRightInd w:val="0"/>
      <w:spacing w:line="288" w:lineRule="auto"/>
      <w:jc w:val="both"/>
      <w:textAlignment w:val="baseline"/>
    </w:pPr>
    <w:rPr>
      <w:szCs w:val="20"/>
      <w:lang w:eastAsia="en-US" w:bidi="ar-SA"/>
    </w:rPr>
  </w:style>
  <w:style w:type="paragraph" w:styleId="Heading1">
    <w:name w:val="heading 1"/>
    <w:basedOn w:val="Normal"/>
    <w:next w:val="Normal"/>
    <w:link w:val="Heading1Char"/>
    <w:qFormat/>
    <w:rsid w:val="00A316C0"/>
    <w:pPr>
      <w:numPr>
        <w:numId w:val="2"/>
      </w:numPr>
      <w:outlineLvl w:val="0"/>
    </w:pPr>
    <w:rPr>
      <w:kern w:val="28"/>
    </w:rPr>
  </w:style>
  <w:style w:type="paragraph" w:styleId="Heading2">
    <w:name w:val="heading 2"/>
    <w:basedOn w:val="Normal"/>
    <w:next w:val="Normal"/>
    <w:link w:val="Heading2Char"/>
    <w:qFormat/>
    <w:rsid w:val="00624594"/>
    <w:pPr>
      <w:numPr>
        <w:ilvl w:val="1"/>
        <w:numId w:val="2"/>
      </w:numPr>
      <w:ind w:left="567" w:hanging="567"/>
      <w:outlineLvl w:val="1"/>
    </w:pPr>
  </w:style>
  <w:style w:type="paragraph" w:styleId="Heading3">
    <w:name w:val="heading 3"/>
    <w:basedOn w:val="Normal"/>
    <w:next w:val="Normal"/>
    <w:link w:val="Heading3Char"/>
    <w:qFormat/>
    <w:rsid w:val="00A316C0"/>
    <w:pPr>
      <w:numPr>
        <w:ilvl w:val="2"/>
        <w:numId w:val="2"/>
      </w:numPr>
      <w:outlineLvl w:val="2"/>
    </w:pPr>
  </w:style>
  <w:style w:type="paragraph" w:styleId="Heading4">
    <w:name w:val="heading 4"/>
    <w:basedOn w:val="Normal"/>
    <w:next w:val="Normal"/>
    <w:link w:val="Heading4Char"/>
    <w:qFormat/>
    <w:rsid w:val="00A316C0"/>
    <w:pPr>
      <w:numPr>
        <w:ilvl w:val="3"/>
        <w:numId w:val="2"/>
      </w:numPr>
      <w:outlineLvl w:val="3"/>
    </w:pPr>
  </w:style>
  <w:style w:type="paragraph" w:styleId="Heading5">
    <w:name w:val="heading 5"/>
    <w:basedOn w:val="Normal"/>
    <w:next w:val="Normal"/>
    <w:link w:val="Heading5Char"/>
    <w:qFormat/>
    <w:rsid w:val="00A316C0"/>
    <w:pPr>
      <w:numPr>
        <w:ilvl w:val="4"/>
        <w:numId w:val="2"/>
      </w:numPr>
      <w:outlineLvl w:val="4"/>
    </w:pPr>
  </w:style>
  <w:style w:type="paragraph" w:styleId="Heading6">
    <w:name w:val="heading 6"/>
    <w:basedOn w:val="Normal"/>
    <w:next w:val="Normal"/>
    <w:link w:val="Heading6Char"/>
    <w:qFormat/>
    <w:rsid w:val="00A316C0"/>
    <w:pPr>
      <w:numPr>
        <w:ilvl w:val="5"/>
        <w:numId w:val="2"/>
      </w:numPr>
      <w:outlineLvl w:val="5"/>
    </w:pPr>
  </w:style>
  <w:style w:type="paragraph" w:styleId="Heading7">
    <w:name w:val="heading 7"/>
    <w:basedOn w:val="Normal"/>
    <w:next w:val="Normal"/>
    <w:link w:val="Heading7Char"/>
    <w:qFormat/>
    <w:rsid w:val="00A316C0"/>
    <w:pPr>
      <w:numPr>
        <w:ilvl w:val="6"/>
        <w:numId w:val="2"/>
      </w:numPr>
      <w:outlineLvl w:val="6"/>
    </w:pPr>
  </w:style>
  <w:style w:type="paragraph" w:styleId="Heading8">
    <w:name w:val="heading 8"/>
    <w:basedOn w:val="Normal"/>
    <w:next w:val="Normal"/>
    <w:link w:val="Heading8Char"/>
    <w:qFormat/>
    <w:rsid w:val="00A316C0"/>
    <w:pPr>
      <w:numPr>
        <w:ilvl w:val="7"/>
        <w:numId w:val="2"/>
      </w:numPr>
      <w:outlineLvl w:val="7"/>
    </w:pPr>
  </w:style>
  <w:style w:type="paragraph" w:styleId="Heading9">
    <w:name w:val="heading 9"/>
    <w:basedOn w:val="Normal"/>
    <w:next w:val="Normal"/>
    <w:link w:val="Heading9Char"/>
    <w:qFormat/>
    <w:rsid w:val="00A316C0"/>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szCs w:val="20"/>
      <w:lang w:eastAsia="en-US" w:bidi="ar-SA"/>
    </w:rPr>
  </w:style>
  <w:style w:type="character" w:customStyle="1" w:styleId="Heading2Char">
    <w:name w:val="Heading 2 Char"/>
    <w:basedOn w:val="DefaultParagraphFont"/>
    <w:link w:val="Heading2"/>
    <w:locked/>
    <w:rsid w:val="00624594"/>
    <w:rPr>
      <w:szCs w:val="20"/>
      <w:lang w:eastAsia="en-US" w:bidi="ar-SA"/>
    </w:rPr>
  </w:style>
  <w:style w:type="character" w:customStyle="1" w:styleId="Heading3Char">
    <w:name w:val="Heading 3 Char"/>
    <w:basedOn w:val="DefaultParagraphFont"/>
    <w:link w:val="Heading3"/>
    <w:locked/>
    <w:rsid w:val="00CB1536"/>
    <w:rPr>
      <w:szCs w:val="20"/>
      <w:lang w:eastAsia="en-US" w:bidi="ar-SA"/>
    </w:rPr>
  </w:style>
  <w:style w:type="character" w:customStyle="1" w:styleId="Heading4Char">
    <w:name w:val="Heading 4 Char"/>
    <w:basedOn w:val="DefaultParagraphFont"/>
    <w:link w:val="Heading4"/>
    <w:locked/>
    <w:rsid w:val="00CB1536"/>
    <w:rPr>
      <w:szCs w:val="20"/>
      <w:lang w:eastAsia="en-US" w:bidi="ar-SA"/>
    </w:rPr>
  </w:style>
  <w:style w:type="character" w:customStyle="1" w:styleId="Heading5Char">
    <w:name w:val="Heading 5 Char"/>
    <w:basedOn w:val="DefaultParagraphFont"/>
    <w:link w:val="Heading5"/>
    <w:locked/>
    <w:rsid w:val="00CB1536"/>
    <w:rPr>
      <w:szCs w:val="20"/>
      <w:lang w:eastAsia="en-US" w:bidi="ar-SA"/>
    </w:rPr>
  </w:style>
  <w:style w:type="character" w:customStyle="1" w:styleId="Heading6Char">
    <w:name w:val="Heading 6 Char"/>
    <w:basedOn w:val="DefaultParagraphFont"/>
    <w:link w:val="Heading6"/>
    <w:locked/>
    <w:rsid w:val="00CB1536"/>
    <w:rPr>
      <w:szCs w:val="20"/>
      <w:lang w:eastAsia="en-US" w:bidi="ar-SA"/>
    </w:rPr>
  </w:style>
  <w:style w:type="character" w:customStyle="1" w:styleId="Heading7Char">
    <w:name w:val="Heading 7 Char"/>
    <w:basedOn w:val="DefaultParagraphFont"/>
    <w:link w:val="Heading7"/>
    <w:locked/>
    <w:rsid w:val="00CB1536"/>
    <w:rPr>
      <w:szCs w:val="20"/>
      <w:lang w:eastAsia="en-US" w:bidi="ar-SA"/>
    </w:rPr>
  </w:style>
  <w:style w:type="character" w:customStyle="1" w:styleId="Heading8Char">
    <w:name w:val="Heading 8 Char"/>
    <w:basedOn w:val="DefaultParagraphFont"/>
    <w:link w:val="Heading8"/>
    <w:locked/>
    <w:rsid w:val="00CB1536"/>
    <w:rPr>
      <w:szCs w:val="20"/>
      <w:lang w:eastAsia="en-US" w:bidi="ar-SA"/>
    </w:rPr>
  </w:style>
  <w:style w:type="character" w:customStyle="1" w:styleId="Heading9Char">
    <w:name w:val="Heading 9 Char"/>
    <w:basedOn w:val="DefaultParagraphFont"/>
    <w:link w:val="Heading9"/>
    <w:locked/>
    <w:rsid w:val="00CB1536"/>
    <w:rPr>
      <w:szCs w:val="20"/>
      <w:lang w:eastAsia="en-US" w:bidi="ar-SA"/>
    </w:rPr>
  </w:style>
  <w:style w:type="paragraph" w:styleId="Footer">
    <w:name w:val="footer"/>
    <w:basedOn w:val="Normal"/>
    <w:link w:val="FooterChar"/>
    <w:uiPriority w:val="99"/>
    <w:rsid w:val="00A316C0"/>
  </w:style>
  <w:style w:type="character" w:customStyle="1" w:styleId="FooterChar">
    <w:name w:val="Footer Char"/>
    <w:basedOn w:val="DefaultParagraphFont"/>
    <w:link w:val="Footer"/>
    <w:uiPriority w:val="99"/>
    <w:locked/>
    <w:rsid w:val="00CB1536"/>
    <w:rPr>
      <w:szCs w:val="20"/>
      <w:lang w:eastAsia="en-US" w:bidi="ar-SA"/>
    </w:rPr>
  </w:style>
  <w:style w:type="paragraph" w:styleId="FootnoteText">
    <w:name w:val="footnote text"/>
    <w:basedOn w:val="Normal"/>
    <w:link w:val="FootnoteTextChar"/>
    <w:qFormat/>
    <w:rsid w:val="00A316C0"/>
    <w:pPr>
      <w:keepLines/>
      <w:spacing w:after="60" w:line="240" w:lineRule="auto"/>
      <w:ind w:left="720" w:hanging="720"/>
    </w:pPr>
    <w:rPr>
      <w:sz w:val="16"/>
    </w:rPr>
  </w:style>
  <w:style w:type="character" w:customStyle="1" w:styleId="FootnoteTextChar">
    <w:name w:val="Footnote Text Char"/>
    <w:basedOn w:val="DefaultParagraphFont"/>
    <w:link w:val="FootnoteText"/>
    <w:locked/>
    <w:rsid w:val="00CB1536"/>
    <w:rPr>
      <w:sz w:val="16"/>
      <w:szCs w:val="20"/>
      <w:lang w:eastAsia="en-US" w:bidi="ar-SA"/>
    </w:rPr>
  </w:style>
  <w:style w:type="paragraph" w:styleId="Header">
    <w:name w:val="header"/>
    <w:basedOn w:val="Normal"/>
    <w:link w:val="HeaderChar"/>
    <w:qFormat/>
    <w:rsid w:val="00A316C0"/>
  </w:style>
  <w:style w:type="character" w:customStyle="1" w:styleId="HeaderChar">
    <w:name w:val="Header Char"/>
    <w:basedOn w:val="DefaultParagraphFont"/>
    <w:link w:val="Header"/>
    <w:locked/>
    <w:rsid w:val="00CB1536"/>
    <w:rPr>
      <w:szCs w:val="20"/>
      <w:lang w:eastAsia="en-US" w:bidi="ar-SA"/>
    </w:rPr>
  </w:style>
  <w:style w:type="character" w:styleId="Hyperlink">
    <w:name w:val="Hyperlink"/>
    <w:basedOn w:val="DefaultParagraphFont"/>
    <w:uiPriority w:val="99"/>
    <w:rsid w:val="00934C10"/>
    <w:rPr>
      <w:color w:val="0000FF"/>
      <w:u w:val="single"/>
    </w:rPr>
  </w:style>
  <w:style w:type="character" w:styleId="FootnoteReference">
    <w:name w:val="footnote reference"/>
    <w:aliases w:val="Footnote symbol"/>
    <w:basedOn w:val="DefaultParagraphFont"/>
    <w:qFormat/>
    <w:rsid w:val="00A316C0"/>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character" w:customStyle="1" w:styleId="UnresolvedMention1">
    <w:name w:val="Unresolved Mention1"/>
    <w:basedOn w:val="DefaultParagraphFont"/>
    <w:uiPriority w:val="99"/>
    <w:semiHidden/>
    <w:unhideWhenUsed/>
    <w:rsid w:val="005965DB"/>
    <w:rPr>
      <w:color w:val="605E5C"/>
      <w:shd w:val="clear" w:color="auto" w:fill="E1DFDD"/>
    </w:rPr>
  </w:style>
  <w:style w:type="paragraph" w:styleId="ListParagraph">
    <w:name w:val="List Paragraph"/>
    <w:basedOn w:val="Normal"/>
    <w:uiPriority w:val="34"/>
    <w:qFormat/>
    <w:rsid w:val="00E55F9E"/>
    <w:pPr>
      <w:ind w:left="720"/>
      <w:contextualSpacing/>
    </w:pPr>
  </w:style>
  <w:style w:type="character" w:styleId="CommentReference">
    <w:name w:val="annotation reference"/>
    <w:basedOn w:val="DefaultParagraphFont"/>
    <w:semiHidden/>
    <w:unhideWhenUsed/>
    <w:rsid w:val="00E55F9E"/>
    <w:rPr>
      <w:sz w:val="16"/>
      <w:szCs w:val="16"/>
    </w:rPr>
  </w:style>
  <w:style w:type="paragraph" w:styleId="CommentText">
    <w:name w:val="annotation text"/>
    <w:basedOn w:val="Normal"/>
    <w:link w:val="CommentTextChar"/>
    <w:unhideWhenUsed/>
    <w:rsid w:val="00E55F9E"/>
    <w:pPr>
      <w:spacing w:line="240" w:lineRule="auto"/>
    </w:pPr>
    <w:rPr>
      <w:sz w:val="20"/>
    </w:rPr>
  </w:style>
  <w:style w:type="character" w:customStyle="1" w:styleId="CommentTextChar">
    <w:name w:val="Comment Text Char"/>
    <w:basedOn w:val="DefaultParagraphFont"/>
    <w:link w:val="CommentText"/>
    <w:rsid w:val="00E55F9E"/>
    <w:rPr>
      <w:sz w:val="20"/>
      <w:szCs w:val="20"/>
      <w:lang w:eastAsia="en-US" w:bidi="ar-SA"/>
    </w:rPr>
  </w:style>
  <w:style w:type="paragraph" w:styleId="CommentSubject">
    <w:name w:val="annotation subject"/>
    <w:basedOn w:val="CommentText"/>
    <w:next w:val="CommentText"/>
    <w:link w:val="CommentSubjectChar"/>
    <w:uiPriority w:val="99"/>
    <w:semiHidden/>
    <w:unhideWhenUsed/>
    <w:rsid w:val="00E55F9E"/>
    <w:rPr>
      <w:b/>
      <w:bCs/>
    </w:rPr>
  </w:style>
  <w:style w:type="character" w:customStyle="1" w:styleId="CommentSubjectChar">
    <w:name w:val="Comment Subject Char"/>
    <w:basedOn w:val="CommentTextChar"/>
    <w:link w:val="CommentSubject"/>
    <w:uiPriority w:val="99"/>
    <w:semiHidden/>
    <w:rsid w:val="00E55F9E"/>
    <w:rPr>
      <w:b/>
      <w:bCs/>
      <w:sz w:val="20"/>
      <w:szCs w:val="20"/>
      <w:lang w:eastAsia="en-US" w:bidi="ar-SA"/>
    </w:rPr>
  </w:style>
  <w:style w:type="character" w:customStyle="1" w:styleId="UnresolvedMention2">
    <w:name w:val="Unresolved Mention2"/>
    <w:basedOn w:val="DefaultParagraphFont"/>
    <w:uiPriority w:val="99"/>
    <w:semiHidden/>
    <w:unhideWhenUsed/>
    <w:rsid w:val="00515E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04500">
      <w:bodyDiv w:val="1"/>
      <w:marLeft w:val="0"/>
      <w:marRight w:val="0"/>
      <w:marTop w:val="0"/>
      <w:marBottom w:val="0"/>
      <w:divBdr>
        <w:top w:val="none" w:sz="0" w:space="0" w:color="auto"/>
        <w:left w:val="none" w:sz="0" w:space="0" w:color="auto"/>
        <w:bottom w:val="none" w:sz="0" w:space="0" w:color="auto"/>
        <w:right w:val="none" w:sz="0" w:space="0" w:color="auto"/>
      </w:divBdr>
      <w:divsChild>
        <w:div w:id="77101897">
          <w:marLeft w:val="0"/>
          <w:marRight w:val="0"/>
          <w:marTop w:val="0"/>
          <w:marBottom w:val="0"/>
          <w:divBdr>
            <w:top w:val="none" w:sz="0" w:space="0" w:color="auto"/>
            <w:left w:val="none" w:sz="0" w:space="0" w:color="auto"/>
            <w:bottom w:val="none" w:sz="0" w:space="0" w:color="auto"/>
            <w:right w:val="none" w:sz="0" w:space="0" w:color="auto"/>
          </w:divBdr>
          <w:divsChild>
            <w:div w:id="207911718">
              <w:marLeft w:val="-75"/>
              <w:marRight w:val="0"/>
              <w:marTop w:val="30"/>
              <w:marBottom w:val="30"/>
              <w:divBdr>
                <w:top w:val="none" w:sz="0" w:space="0" w:color="auto"/>
                <w:left w:val="none" w:sz="0" w:space="0" w:color="auto"/>
                <w:bottom w:val="none" w:sz="0" w:space="0" w:color="auto"/>
                <w:right w:val="none" w:sz="0" w:space="0" w:color="auto"/>
              </w:divBdr>
              <w:divsChild>
                <w:div w:id="1679229970">
                  <w:marLeft w:val="0"/>
                  <w:marRight w:val="0"/>
                  <w:marTop w:val="0"/>
                  <w:marBottom w:val="0"/>
                  <w:divBdr>
                    <w:top w:val="none" w:sz="0" w:space="0" w:color="auto"/>
                    <w:left w:val="none" w:sz="0" w:space="0" w:color="auto"/>
                    <w:bottom w:val="none" w:sz="0" w:space="0" w:color="auto"/>
                    <w:right w:val="none" w:sz="0" w:space="0" w:color="auto"/>
                  </w:divBdr>
                  <w:divsChild>
                    <w:div w:id="375356434">
                      <w:marLeft w:val="0"/>
                      <w:marRight w:val="0"/>
                      <w:marTop w:val="0"/>
                      <w:marBottom w:val="0"/>
                      <w:divBdr>
                        <w:top w:val="none" w:sz="0" w:space="0" w:color="auto"/>
                        <w:left w:val="none" w:sz="0" w:space="0" w:color="auto"/>
                        <w:bottom w:val="none" w:sz="0" w:space="0" w:color="auto"/>
                        <w:right w:val="none" w:sz="0" w:space="0" w:color="auto"/>
                      </w:divBdr>
                    </w:div>
                  </w:divsChild>
                </w:div>
                <w:div w:id="1728456931">
                  <w:marLeft w:val="0"/>
                  <w:marRight w:val="0"/>
                  <w:marTop w:val="0"/>
                  <w:marBottom w:val="0"/>
                  <w:divBdr>
                    <w:top w:val="none" w:sz="0" w:space="0" w:color="auto"/>
                    <w:left w:val="none" w:sz="0" w:space="0" w:color="auto"/>
                    <w:bottom w:val="none" w:sz="0" w:space="0" w:color="auto"/>
                    <w:right w:val="none" w:sz="0" w:space="0" w:color="auto"/>
                  </w:divBdr>
                  <w:divsChild>
                    <w:div w:id="133483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960356">
          <w:marLeft w:val="0"/>
          <w:marRight w:val="0"/>
          <w:marTop w:val="0"/>
          <w:marBottom w:val="0"/>
          <w:divBdr>
            <w:top w:val="none" w:sz="0" w:space="0" w:color="auto"/>
            <w:left w:val="none" w:sz="0" w:space="0" w:color="auto"/>
            <w:bottom w:val="none" w:sz="0" w:space="0" w:color="auto"/>
            <w:right w:val="none" w:sz="0" w:space="0" w:color="auto"/>
          </w:divBdr>
        </w:div>
        <w:div w:id="341977377">
          <w:marLeft w:val="0"/>
          <w:marRight w:val="0"/>
          <w:marTop w:val="0"/>
          <w:marBottom w:val="0"/>
          <w:divBdr>
            <w:top w:val="none" w:sz="0" w:space="0" w:color="auto"/>
            <w:left w:val="none" w:sz="0" w:space="0" w:color="auto"/>
            <w:bottom w:val="none" w:sz="0" w:space="0" w:color="auto"/>
            <w:right w:val="none" w:sz="0" w:space="0" w:color="auto"/>
          </w:divBdr>
        </w:div>
        <w:div w:id="627202416">
          <w:marLeft w:val="0"/>
          <w:marRight w:val="0"/>
          <w:marTop w:val="0"/>
          <w:marBottom w:val="0"/>
          <w:divBdr>
            <w:top w:val="none" w:sz="0" w:space="0" w:color="auto"/>
            <w:left w:val="none" w:sz="0" w:space="0" w:color="auto"/>
            <w:bottom w:val="none" w:sz="0" w:space="0" w:color="auto"/>
            <w:right w:val="none" w:sz="0" w:space="0" w:color="auto"/>
          </w:divBdr>
        </w:div>
        <w:div w:id="786698623">
          <w:marLeft w:val="0"/>
          <w:marRight w:val="0"/>
          <w:marTop w:val="0"/>
          <w:marBottom w:val="0"/>
          <w:divBdr>
            <w:top w:val="none" w:sz="0" w:space="0" w:color="auto"/>
            <w:left w:val="none" w:sz="0" w:space="0" w:color="auto"/>
            <w:bottom w:val="none" w:sz="0" w:space="0" w:color="auto"/>
            <w:right w:val="none" w:sz="0" w:space="0" w:color="auto"/>
          </w:divBdr>
        </w:div>
        <w:div w:id="926841864">
          <w:marLeft w:val="0"/>
          <w:marRight w:val="0"/>
          <w:marTop w:val="0"/>
          <w:marBottom w:val="0"/>
          <w:divBdr>
            <w:top w:val="none" w:sz="0" w:space="0" w:color="auto"/>
            <w:left w:val="none" w:sz="0" w:space="0" w:color="auto"/>
            <w:bottom w:val="none" w:sz="0" w:space="0" w:color="auto"/>
            <w:right w:val="none" w:sz="0" w:space="0" w:color="auto"/>
          </w:divBdr>
        </w:div>
        <w:div w:id="1088770290">
          <w:marLeft w:val="0"/>
          <w:marRight w:val="0"/>
          <w:marTop w:val="0"/>
          <w:marBottom w:val="0"/>
          <w:divBdr>
            <w:top w:val="none" w:sz="0" w:space="0" w:color="auto"/>
            <w:left w:val="none" w:sz="0" w:space="0" w:color="auto"/>
            <w:bottom w:val="none" w:sz="0" w:space="0" w:color="auto"/>
            <w:right w:val="none" w:sz="0" w:space="0" w:color="auto"/>
          </w:divBdr>
          <w:divsChild>
            <w:div w:id="903494865">
              <w:marLeft w:val="-75"/>
              <w:marRight w:val="0"/>
              <w:marTop w:val="30"/>
              <w:marBottom w:val="30"/>
              <w:divBdr>
                <w:top w:val="none" w:sz="0" w:space="0" w:color="auto"/>
                <w:left w:val="none" w:sz="0" w:space="0" w:color="auto"/>
                <w:bottom w:val="none" w:sz="0" w:space="0" w:color="auto"/>
                <w:right w:val="none" w:sz="0" w:space="0" w:color="auto"/>
              </w:divBdr>
              <w:divsChild>
                <w:div w:id="384841762">
                  <w:marLeft w:val="0"/>
                  <w:marRight w:val="0"/>
                  <w:marTop w:val="0"/>
                  <w:marBottom w:val="0"/>
                  <w:divBdr>
                    <w:top w:val="none" w:sz="0" w:space="0" w:color="auto"/>
                    <w:left w:val="none" w:sz="0" w:space="0" w:color="auto"/>
                    <w:bottom w:val="none" w:sz="0" w:space="0" w:color="auto"/>
                    <w:right w:val="none" w:sz="0" w:space="0" w:color="auto"/>
                  </w:divBdr>
                  <w:divsChild>
                    <w:div w:id="78647945">
                      <w:marLeft w:val="0"/>
                      <w:marRight w:val="0"/>
                      <w:marTop w:val="0"/>
                      <w:marBottom w:val="0"/>
                      <w:divBdr>
                        <w:top w:val="none" w:sz="0" w:space="0" w:color="auto"/>
                        <w:left w:val="none" w:sz="0" w:space="0" w:color="auto"/>
                        <w:bottom w:val="none" w:sz="0" w:space="0" w:color="auto"/>
                        <w:right w:val="none" w:sz="0" w:space="0" w:color="auto"/>
                      </w:divBdr>
                    </w:div>
                  </w:divsChild>
                </w:div>
                <w:div w:id="1534490734">
                  <w:marLeft w:val="0"/>
                  <w:marRight w:val="0"/>
                  <w:marTop w:val="0"/>
                  <w:marBottom w:val="0"/>
                  <w:divBdr>
                    <w:top w:val="none" w:sz="0" w:space="0" w:color="auto"/>
                    <w:left w:val="none" w:sz="0" w:space="0" w:color="auto"/>
                    <w:bottom w:val="none" w:sz="0" w:space="0" w:color="auto"/>
                    <w:right w:val="none" w:sz="0" w:space="0" w:color="auto"/>
                  </w:divBdr>
                  <w:divsChild>
                    <w:div w:id="1465078362">
                      <w:marLeft w:val="0"/>
                      <w:marRight w:val="0"/>
                      <w:marTop w:val="0"/>
                      <w:marBottom w:val="0"/>
                      <w:divBdr>
                        <w:top w:val="none" w:sz="0" w:space="0" w:color="auto"/>
                        <w:left w:val="none" w:sz="0" w:space="0" w:color="auto"/>
                        <w:bottom w:val="none" w:sz="0" w:space="0" w:color="auto"/>
                        <w:right w:val="none" w:sz="0" w:space="0" w:color="auto"/>
                      </w:divBdr>
                    </w:div>
                  </w:divsChild>
                </w:div>
                <w:div w:id="1881934417">
                  <w:marLeft w:val="0"/>
                  <w:marRight w:val="0"/>
                  <w:marTop w:val="0"/>
                  <w:marBottom w:val="0"/>
                  <w:divBdr>
                    <w:top w:val="none" w:sz="0" w:space="0" w:color="auto"/>
                    <w:left w:val="none" w:sz="0" w:space="0" w:color="auto"/>
                    <w:bottom w:val="none" w:sz="0" w:space="0" w:color="auto"/>
                    <w:right w:val="none" w:sz="0" w:space="0" w:color="auto"/>
                  </w:divBdr>
                  <w:divsChild>
                    <w:div w:id="1156530764">
                      <w:marLeft w:val="0"/>
                      <w:marRight w:val="0"/>
                      <w:marTop w:val="0"/>
                      <w:marBottom w:val="0"/>
                      <w:divBdr>
                        <w:top w:val="none" w:sz="0" w:space="0" w:color="auto"/>
                        <w:left w:val="none" w:sz="0" w:space="0" w:color="auto"/>
                        <w:bottom w:val="none" w:sz="0" w:space="0" w:color="auto"/>
                        <w:right w:val="none" w:sz="0" w:space="0" w:color="auto"/>
                      </w:divBdr>
                    </w:div>
                  </w:divsChild>
                </w:div>
                <w:div w:id="2019237185">
                  <w:marLeft w:val="0"/>
                  <w:marRight w:val="0"/>
                  <w:marTop w:val="0"/>
                  <w:marBottom w:val="0"/>
                  <w:divBdr>
                    <w:top w:val="none" w:sz="0" w:space="0" w:color="auto"/>
                    <w:left w:val="none" w:sz="0" w:space="0" w:color="auto"/>
                    <w:bottom w:val="none" w:sz="0" w:space="0" w:color="auto"/>
                    <w:right w:val="none" w:sz="0" w:space="0" w:color="auto"/>
                  </w:divBdr>
                  <w:divsChild>
                    <w:div w:id="199683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97468">
          <w:marLeft w:val="0"/>
          <w:marRight w:val="0"/>
          <w:marTop w:val="0"/>
          <w:marBottom w:val="0"/>
          <w:divBdr>
            <w:top w:val="none" w:sz="0" w:space="0" w:color="auto"/>
            <w:left w:val="none" w:sz="0" w:space="0" w:color="auto"/>
            <w:bottom w:val="none" w:sz="0" w:space="0" w:color="auto"/>
            <w:right w:val="none" w:sz="0" w:space="0" w:color="auto"/>
          </w:divBdr>
          <w:divsChild>
            <w:div w:id="2092576736">
              <w:marLeft w:val="-75"/>
              <w:marRight w:val="0"/>
              <w:marTop w:val="30"/>
              <w:marBottom w:val="30"/>
              <w:divBdr>
                <w:top w:val="none" w:sz="0" w:space="0" w:color="auto"/>
                <w:left w:val="none" w:sz="0" w:space="0" w:color="auto"/>
                <w:bottom w:val="none" w:sz="0" w:space="0" w:color="auto"/>
                <w:right w:val="none" w:sz="0" w:space="0" w:color="auto"/>
              </w:divBdr>
              <w:divsChild>
                <w:div w:id="862598018">
                  <w:marLeft w:val="0"/>
                  <w:marRight w:val="0"/>
                  <w:marTop w:val="0"/>
                  <w:marBottom w:val="0"/>
                  <w:divBdr>
                    <w:top w:val="none" w:sz="0" w:space="0" w:color="auto"/>
                    <w:left w:val="none" w:sz="0" w:space="0" w:color="auto"/>
                    <w:bottom w:val="none" w:sz="0" w:space="0" w:color="auto"/>
                    <w:right w:val="none" w:sz="0" w:space="0" w:color="auto"/>
                  </w:divBdr>
                  <w:divsChild>
                    <w:div w:id="781265000">
                      <w:marLeft w:val="0"/>
                      <w:marRight w:val="0"/>
                      <w:marTop w:val="0"/>
                      <w:marBottom w:val="0"/>
                      <w:divBdr>
                        <w:top w:val="none" w:sz="0" w:space="0" w:color="auto"/>
                        <w:left w:val="none" w:sz="0" w:space="0" w:color="auto"/>
                        <w:bottom w:val="none" w:sz="0" w:space="0" w:color="auto"/>
                        <w:right w:val="none" w:sz="0" w:space="0" w:color="auto"/>
                      </w:divBdr>
                    </w:div>
                  </w:divsChild>
                </w:div>
                <w:div w:id="1437673744">
                  <w:marLeft w:val="0"/>
                  <w:marRight w:val="0"/>
                  <w:marTop w:val="0"/>
                  <w:marBottom w:val="0"/>
                  <w:divBdr>
                    <w:top w:val="none" w:sz="0" w:space="0" w:color="auto"/>
                    <w:left w:val="none" w:sz="0" w:space="0" w:color="auto"/>
                    <w:bottom w:val="none" w:sz="0" w:space="0" w:color="auto"/>
                    <w:right w:val="none" w:sz="0" w:space="0" w:color="auto"/>
                  </w:divBdr>
                  <w:divsChild>
                    <w:div w:id="1199704467">
                      <w:marLeft w:val="0"/>
                      <w:marRight w:val="0"/>
                      <w:marTop w:val="0"/>
                      <w:marBottom w:val="0"/>
                      <w:divBdr>
                        <w:top w:val="none" w:sz="0" w:space="0" w:color="auto"/>
                        <w:left w:val="none" w:sz="0" w:space="0" w:color="auto"/>
                        <w:bottom w:val="none" w:sz="0" w:space="0" w:color="auto"/>
                        <w:right w:val="none" w:sz="0" w:space="0" w:color="auto"/>
                      </w:divBdr>
                    </w:div>
                  </w:divsChild>
                </w:div>
                <w:div w:id="1823236175">
                  <w:marLeft w:val="0"/>
                  <w:marRight w:val="0"/>
                  <w:marTop w:val="0"/>
                  <w:marBottom w:val="0"/>
                  <w:divBdr>
                    <w:top w:val="none" w:sz="0" w:space="0" w:color="auto"/>
                    <w:left w:val="none" w:sz="0" w:space="0" w:color="auto"/>
                    <w:bottom w:val="none" w:sz="0" w:space="0" w:color="auto"/>
                    <w:right w:val="none" w:sz="0" w:space="0" w:color="auto"/>
                  </w:divBdr>
                  <w:divsChild>
                    <w:div w:id="1449548169">
                      <w:marLeft w:val="0"/>
                      <w:marRight w:val="0"/>
                      <w:marTop w:val="0"/>
                      <w:marBottom w:val="0"/>
                      <w:divBdr>
                        <w:top w:val="none" w:sz="0" w:space="0" w:color="auto"/>
                        <w:left w:val="none" w:sz="0" w:space="0" w:color="auto"/>
                        <w:bottom w:val="none" w:sz="0" w:space="0" w:color="auto"/>
                        <w:right w:val="none" w:sz="0" w:space="0" w:color="auto"/>
                      </w:divBdr>
                    </w:div>
                  </w:divsChild>
                </w:div>
                <w:div w:id="2066830890">
                  <w:marLeft w:val="0"/>
                  <w:marRight w:val="0"/>
                  <w:marTop w:val="0"/>
                  <w:marBottom w:val="0"/>
                  <w:divBdr>
                    <w:top w:val="none" w:sz="0" w:space="0" w:color="auto"/>
                    <w:left w:val="none" w:sz="0" w:space="0" w:color="auto"/>
                    <w:bottom w:val="none" w:sz="0" w:space="0" w:color="auto"/>
                    <w:right w:val="none" w:sz="0" w:space="0" w:color="auto"/>
                  </w:divBdr>
                  <w:divsChild>
                    <w:div w:id="183757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994851">
          <w:marLeft w:val="0"/>
          <w:marRight w:val="0"/>
          <w:marTop w:val="0"/>
          <w:marBottom w:val="0"/>
          <w:divBdr>
            <w:top w:val="none" w:sz="0" w:space="0" w:color="auto"/>
            <w:left w:val="none" w:sz="0" w:space="0" w:color="auto"/>
            <w:bottom w:val="none" w:sz="0" w:space="0" w:color="auto"/>
            <w:right w:val="none" w:sz="0" w:space="0" w:color="auto"/>
          </w:divBdr>
        </w:div>
        <w:div w:id="1241595141">
          <w:marLeft w:val="0"/>
          <w:marRight w:val="0"/>
          <w:marTop w:val="0"/>
          <w:marBottom w:val="0"/>
          <w:divBdr>
            <w:top w:val="none" w:sz="0" w:space="0" w:color="auto"/>
            <w:left w:val="none" w:sz="0" w:space="0" w:color="auto"/>
            <w:bottom w:val="none" w:sz="0" w:space="0" w:color="auto"/>
            <w:right w:val="none" w:sz="0" w:space="0" w:color="auto"/>
          </w:divBdr>
          <w:divsChild>
            <w:div w:id="117846161">
              <w:marLeft w:val="0"/>
              <w:marRight w:val="0"/>
              <w:marTop w:val="0"/>
              <w:marBottom w:val="0"/>
              <w:divBdr>
                <w:top w:val="none" w:sz="0" w:space="0" w:color="auto"/>
                <w:left w:val="none" w:sz="0" w:space="0" w:color="auto"/>
                <w:bottom w:val="none" w:sz="0" w:space="0" w:color="auto"/>
                <w:right w:val="none" w:sz="0" w:space="0" w:color="auto"/>
              </w:divBdr>
            </w:div>
            <w:div w:id="1145925578">
              <w:marLeft w:val="0"/>
              <w:marRight w:val="0"/>
              <w:marTop w:val="0"/>
              <w:marBottom w:val="0"/>
              <w:divBdr>
                <w:top w:val="none" w:sz="0" w:space="0" w:color="auto"/>
                <w:left w:val="none" w:sz="0" w:space="0" w:color="auto"/>
                <w:bottom w:val="none" w:sz="0" w:space="0" w:color="auto"/>
                <w:right w:val="none" w:sz="0" w:space="0" w:color="auto"/>
              </w:divBdr>
            </w:div>
            <w:div w:id="1277365832">
              <w:marLeft w:val="0"/>
              <w:marRight w:val="0"/>
              <w:marTop w:val="0"/>
              <w:marBottom w:val="0"/>
              <w:divBdr>
                <w:top w:val="none" w:sz="0" w:space="0" w:color="auto"/>
                <w:left w:val="none" w:sz="0" w:space="0" w:color="auto"/>
                <w:bottom w:val="none" w:sz="0" w:space="0" w:color="auto"/>
                <w:right w:val="none" w:sz="0" w:space="0" w:color="auto"/>
              </w:divBdr>
            </w:div>
            <w:div w:id="1395005617">
              <w:marLeft w:val="0"/>
              <w:marRight w:val="0"/>
              <w:marTop w:val="0"/>
              <w:marBottom w:val="0"/>
              <w:divBdr>
                <w:top w:val="none" w:sz="0" w:space="0" w:color="auto"/>
                <w:left w:val="none" w:sz="0" w:space="0" w:color="auto"/>
                <w:bottom w:val="none" w:sz="0" w:space="0" w:color="auto"/>
                <w:right w:val="none" w:sz="0" w:space="0" w:color="auto"/>
              </w:divBdr>
            </w:div>
            <w:div w:id="2046952548">
              <w:marLeft w:val="0"/>
              <w:marRight w:val="0"/>
              <w:marTop w:val="0"/>
              <w:marBottom w:val="0"/>
              <w:divBdr>
                <w:top w:val="none" w:sz="0" w:space="0" w:color="auto"/>
                <w:left w:val="none" w:sz="0" w:space="0" w:color="auto"/>
                <w:bottom w:val="none" w:sz="0" w:space="0" w:color="auto"/>
                <w:right w:val="none" w:sz="0" w:space="0" w:color="auto"/>
              </w:divBdr>
            </w:div>
          </w:divsChild>
        </w:div>
        <w:div w:id="1253198023">
          <w:marLeft w:val="0"/>
          <w:marRight w:val="0"/>
          <w:marTop w:val="0"/>
          <w:marBottom w:val="0"/>
          <w:divBdr>
            <w:top w:val="none" w:sz="0" w:space="0" w:color="auto"/>
            <w:left w:val="none" w:sz="0" w:space="0" w:color="auto"/>
            <w:bottom w:val="none" w:sz="0" w:space="0" w:color="auto"/>
            <w:right w:val="none" w:sz="0" w:space="0" w:color="auto"/>
          </w:divBdr>
          <w:divsChild>
            <w:div w:id="1032265375">
              <w:marLeft w:val="-75"/>
              <w:marRight w:val="0"/>
              <w:marTop w:val="30"/>
              <w:marBottom w:val="30"/>
              <w:divBdr>
                <w:top w:val="none" w:sz="0" w:space="0" w:color="auto"/>
                <w:left w:val="none" w:sz="0" w:space="0" w:color="auto"/>
                <w:bottom w:val="none" w:sz="0" w:space="0" w:color="auto"/>
                <w:right w:val="none" w:sz="0" w:space="0" w:color="auto"/>
              </w:divBdr>
              <w:divsChild>
                <w:div w:id="869882954">
                  <w:marLeft w:val="0"/>
                  <w:marRight w:val="0"/>
                  <w:marTop w:val="0"/>
                  <w:marBottom w:val="0"/>
                  <w:divBdr>
                    <w:top w:val="none" w:sz="0" w:space="0" w:color="auto"/>
                    <w:left w:val="none" w:sz="0" w:space="0" w:color="auto"/>
                    <w:bottom w:val="none" w:sz="0" w:space="0" w:color="auto"/>
                    <w:right w:val="none" w:sz="0" w:space="0" w:color="auto"/>
                  </w:divBdr>
                  <w:divsChild>
                    <w:div w:id="1032001996">
                      <w:marLeft w:val="0"/>
                      <w:marRight w:val="0"/>
                      <w:marTop w:val="0"/>
                      <w:marBottom w:val="0"/>
                      <w:divBdr>
                        <w:top w:val="none" w:sz="0" w:space="0" w:color="auto"/>
                        <w:left w:val="none" w:sz="0" w:space="0" w:color="auto"/>
                        <w:bottom w:val="none" w:sz="0" w:space="0" w:color="auto"/>
                        <w:right w:val="none" w:sz="0" w:space="0" w:color="auto"/>
                      </w:divBdr>
                    </w:div>
                  </w:divsChild>
                </w:div>
                <w:div w:id="1750351379">
                  <w:marLeft w:val="0"/>
                  <w:marRight w:val="0"/>
                  <w:marTop w:val="0"/>
                  <w:marBottom w:val="0"/>
                  <w:divBdr>
                    <w:top w:val="none" w:sz="0" w:space="0" w:color="auto"/>
                    <w:left w:val="none" w:sz="0" w:space="0" w:color="auto"/>
                    <w:bottom w:val="none" w:sz="0" w:space="0" w:color="auto"/>
                    <w:right w:val="none" w:sz="0" w:space="0" w:color="auto"/>
                  </w:divBdr>
                  <w:divsChild>
                    <w:div w:id="50660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958237">
          <w:marLeft w:val="0"/>
          <w:marRight w:val="0"/>
          <w:marTop w:val="0"/>
          <w:marBottom w:val="0"/>
          <w:divBdr>
            <w:top w:val="none" w:sz="0" w:space="0" w:color="auto"/>
            <w:left w:val="none" w:sz="0" w:space="0" w:color="auto"/>
            <w:bottom w:val="none" w:sz="0" w:space="0" w:color="auto"/>
            <w:right w:val="none" w:sz="0" w:space="0" w:color="auto"/>
          </w:divBdr>
          <w:divsChild>
            <w:div w:id="1083798021">
              <w:marLeft w:val="-75"/>
              <w:marRight w:val="0"/>
              <w:marTop w:val="30"/>
              <w:marBottom w:val="30"/>
              <w:divBdr>
                <w:top w:val="none" w:sz="0" w:space="0" w:color="auto"/>
                <w:left w:val="none" w:sz="0" w:space="0" w:color="auto"/>
                <w:bottom w:val="none" w:sz="0" w:space="0" w:color="auto"/>
                <w:right w:val="none" w:sz="0" w:space="0" w:color="auto"/>
              </w:divBdr>
              <w:divsChild>
                <w:div w:id="261913413">
                  <w:marLeft w:val="0"/>
                  <w:marRight w:val="0"/>
                  <w:marTop w:val="0"/>
                  <w:marBottom w:val="0"/>
                  <w:divBdr>
                    <w:top w:val="none" w:sz="0" w:space="0" w:color="auto"/>
                    <w:left w:val="none" w:sz="0" w:space="0" w:color="auto"/>
                    <w:bottom w:val="none" w:sz="0" w:space="0" w:color="auto"/>
                    <w:right w:val="none" w:sz="0" w:space="0" w:color="auto"/>
                  </w:divBdr>
                  <w:divsChild>
                    <w:div w:id="1152411509">
                      <w:marLeft w:val="0"/>
                      <w:marRight w:val="0"/>
                      <w:marTop w:val="0"/>
                      <w:marBottom w:val="0"/>
                      <w:divBdr>
                        <w:top w:val="none" w:sz="0" w:space="0" w:color="auto"/>
                        <w:left w:val="none" w:sz="0" w:space="0" w:color="auto"/>
                        <w:bottom w:val="none" w:sz="0" w:space="0" w:color="auto"/>
                        <w:right w:val="none" w:sz="0" w:space="0" w:color="auto"/>
                      </w:divBdr>
                    </w:div>
                  </w:divsChild>
                </w:div>
                <w:div w:id="774710644">
                  <w:marLeft w:val="0"/>
                  <w:marRight w:val="0"/>
                  <w:marTop w:val="0"/>
                  <w:marBottom w:val="0"/>
                  <w:divBdr>
                    <w:top w:val="none" w:sz="0" w:space="0" w:color="auto"/>
                    <w:left w:val="none" w:sz="0" w:space="0" w:color="auto"/>
                    <w:bottom w:val="none" w:sz="0" w:space="0" w:color="auto"/>
                    <w:right w:val="none" w:sz="0" w:space="0" w:color="auto"/>
                  </w:divBdr>
                  <w:divsChild>
                    <w:div w:id="81599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130486">
          <w:marLeft w:val="0"/>
          <w:marRight w:val="0"/>
          <w:marTop w:val="0"/>
          <w:marBottom w:val="0"/>
          <w:divBdr>
            <w:top w:val="none" w:sz="0" w:space="0" w:color="auto"/>
            <w:left w:val="none" w:sz="0" w:space="0" w:color="auto"/>
            <w:bottom w:val="none" w:sz="0" w:space="0" w:color="auto"/>
            <w:right w:val="none" w:sz="0" w:space="0" w:color="auto"/>
          </w:divBdr>
        </w:div>
        <w:div w:id="1600094101">
          <w:marLeft w:val="0"/>
          <w:marRight w:val="0"/>
          <w:marTop w:val="0"/>
          <w:marBottom w:val="0"/>
          <w:divBdr>
            <w:top w:val="none" w:sz="0" w:space="0" w:color="auto"/>
            <w:left w:val="none" w:sz="0" w:space="0" w:color="auto"/>
            <w:bottom w:val="none" w:sz="0" w:space="0" w:color="auto"/>
            <w:right w:val="none" w:sz="0" w:space="0" w:color="auto"/>
          </w:divBdr>
          <w:divsChild>
            <w:div w:id="1400900001">
              <w:marLeft w:val="-75"/>
              <w:marRight w:val="0"/>
              <w:marTop w:val="30"/>
              <w:marBottom w:val="30"/>
              <w:divBdr>
                <w:top w:val="none" w:sz="0" w:space="0" w:color="auto"/>
                <w:left w:val="none" w:sz="0" w:space="0" w:color="auto"/>
                <w:bottom w:val="none" w:sz="0" w:space="0" w:color="auto"/>
                <w:right w:val="none" w:sz="0" w:space="0" w:color="auto"/>
              </w:divBdr>
              <w:divsChild>
                <w:div w:id="599720890">
                  <w:marLeft w:val="0"/>
                  <w:marRight w:val="0"/>
                  <w:marTop w:val="0"/>
                  <w:marBottom w:val="0"/>
                  <w:divBdr>
                    <w:top w:val="none" w:sz="0" w:space="0" w:color="auto"/>
                    <w:left w:val="none" w:sz="0" w:space="0" w:color="auto"/>
                    <w:bottom w:val="none" w:sz="0" w:space="0" w:color="auto"/>
                    <w:right w:val="none" w:sz="0" w:space="0" w:color="auto"/>
                  </w:divBdr>
                  <w:divsChild>
                    <w:div w:id="1654063972">
                      <w:marLeft w:val="0"/>
                      <w:marRight w:val="0"/>
                      <w:marTop w:val="0"/>
                      <w:marBottom w:val="0"/>
                      <w:divBdr>
                        <w:top w:val="none" w:sz="0" w:space="0" w:color="auto"/>
                        <w:left w:val="none" w:sz="0" w:space="0" w:color="auto"/>
                        <w:bottom w:val="none" w:sz="0" w:space="0" w:color="auto"/>
                        <w:right w:val="none" w:sz="0" w:space="0" w:color="auto"/>
                      </w:divBdr>
                    </w:div>
                  </w:divsChild>
                </w:div>
                <w:div w:id="866672889">
                  <w:marLeft w:val="0"/>
                  <w:marRight w:val="0"/>
                  <w:marTop w:val="0"/>
                  <w:marBottom w:val="0"/>
                  <w:divBdr>
                    <w:top w:val="none" w:sz="0" w:space="0" w:color="auto"/>
                    <w:left w:val="none" w:sz="0" w:space="0" w:color="auto"/>
                    <w:bottom w:val="none" w:sz="0" w:space="0" w:color="auto"/>
                    <w:right w:val="none" w:sz="0" w:space="0" w:color="auto"/>
                  </w:divBdr>
                  <w:divsChild>
                    <w:div w:id="1971519756">
                      <w:marLeft w:val="0"/>
                      <w:marRight w:val="0"/>
                      <w:marTop w:val="0"/>
                      <w:marBottom w:val="0"/>
                      <w:divBdr>
                        <w:top w:val="none" w:sz="0" w:space="0" w:color="auto"/>
                        <w:left w:val="none" w:sz="0" w:space="0" w:color="auto"/>
                        <w:bottom w:val="none" w:sz="0" w:space="0" w:color="auto"/>
                        <w:right w:val="none" w:sz="0" w:space="0" w:color="auto"/>
                      </w:divBdr>
                    </w:div>
                  </w:divsChild>
                </w:div>
                <w:div w:id="1091121428">
                  <w:marLeft w:val="0"/>
                  <w:marRight w:val="0"/>
                  <w:marTop w:val="0"/>
                  <w:marBottom w:val="0"/>
                  <w:divBdr>
                    <w:top w:val="none" w:sz="0" w:space="0" w:color="auto"/>
                    <w:left w:val="none" w:sz="0" w:space="0" w:color="auto"/>
                    <w:bottom w:val="none" w:sz="0" w:space="0" w:color="auto"/>
                    <w:right w:val="none" w:sz="0" w:space="0" w:color="auto"/>
                  </w:divBdr>
                  <w:divsChild>
                    <w:div w:id="2002737313">
                      <w:marLeft w:val="0"/>
                      <w:marRight w:val="0"/>
                      <w:marTop w:val="0"/>
                      <w:marBottom w:val="0"/>
                      <w:divBdr>
                        <w:top w:val="none" w:sz="0" w:space="0" w:color="auto"/>
                        <w:left w:val="none" w:sz="0" w:space="0" w:color="auto"/>
                        <w:bottom w:val="none" w:sz="0" w:space="0" w:color="auto"/>
                        <w:right w:val="none" w:sz="0" w:space="0" w:color="auto"/>
                      </w:divBdr>
                    </w:div>
                  </w:divsChild>
                </w:div>
                <w:div w:id="1160584331">
                  <w:marLeft w:val="0"/>
                  <w:marRight w:val="0"/>
                  <w:marTop w:val="0"/>
                  <w:marBottom w:val="0"/>
                  <w:divBdr>
                    <w:top w:val="none" w:sz="0" w:space="0" w:color="auto"/>
                    <w:left w:val="none" w:sz="0" w:space="0" w:color="auto"/>
                    <w:bottom w:val="none" w:sz="0" w:space="0" w:color="auto"/>
                    <w:right w:val="none" w:sz="0" w:space="0" w:color="auto"/>
                  </w:divBdr>
                  <w:divsChild>
                    <w:div w:id="2629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259846">
          <w:marLeft w:val="0"/>
          <w:marRight w:val="0"/>
          <w:marTop w:val="0"/>
          <w:marBottom w:val="0"/>
          <w:divBdr>
            <w:top w:val="none" w:sz="0" w:space="0" w:color="auto"/>
            <w:left w:val="none" w:sz="0" w:space="0" w:color="auto"/>
            <w:bottom w:val="none" w:sz="0" w:space="0" w:color="auto"/>
            <w:right w:val="none" w:sz="0" w:space="0" w:color="auto"/>
          </w:divBdr>
        </w:div>
        <w:div w:id="1713111492">
          <w:marLeft w:val="0"/>
          <w:marRight w:val="0"/>
          <w:marTop w:val="0"/>
          <w:marBottom w:val="0"/>
          <w:divBdr>
            <w:top w:val="none" w:sz="0" w:space="0" w:color="auto"/>
            <w:left w:val="none" w:sz="0" w:space="0" w:color="auto"/>
            <w:bottom w:val="none" w:sz="0" w:space="0" w:color="auto"/>
            <w:right w:val="none" w:sz="0" w:space="0" w:color="auto"/>
          </w:divBdr>
        </w:div>
        <w:div w:id="1826242021">
          <w:marLeft w:val="0"/>
          <w:marRight w:val="0"/>
          <w:marTop w:val="0"/>
          <w:marBottom w:val="0"/>
          <w:divBdr>
            <w:top w:val="none" w:sz="0" w:space="0" w:color="auto"/>
            <w:left w:val="none" w:sz="0" w:space="0" w:color="auto"/>
            <w:bottom w:val="none" w:sz="0" w:space="0" w:color="auto"/>
            <w:right w:val="none" w:sz="0" w:space="0" w:color="auto"/>
          </w:divBdr>
          <w:divsChild>
            <w:div w:id="67003743">
              <w:marLeft w:val="0"/>
              <w:marRight w:val="0"/>
              <w:marTop w:val="0"/>
              <w:marBottom w:val="0"/>
              <w:divBdr>
                <w:top w:val="none" w:sz="0" w:space="0" w:color="auto"/>
                <w:left w:val="none" w:sz="0" w:space="0" w:color="auto"/>
                <w:bottom w:val="none" w:sz="0" w:space="0" w:color="auto"/>
                <w:right w:val="none" w:sz="0" w:space="0" w:color="auto"/>
              </w:divBdr>
            </w:div>
            <w:div w:id="89785285">
              <w:marLeft w:val="0"/>
              <w:marRight w:val="0"/>
              <w:marTop w:val="0"/>
              <w:marBottom w:val="0"/>
              <w:divBdr>
                <w:top w:val="none" w:sz="0" w:space="0" w:color="auto"/>
                <w:left w:val="none" w:sz="0" w:space="0" w:color="auto"/>
                <w:bottom w:val="none" w:sz="0" w:space="0" w:color="auto"/>
                <w:right w:val="none" w:sz="0" w:space="0" w:color="auto"/>
              </w:divBdr>
            </w:div>
            <w:div w:id="225604204">
              <w:marLeft w:val="0"/>
              <w:marRight w:val="0"/>
              <w:marTop w:val="0"/>
              <w:marBottom w:val="0"/>
              <w:divBdr>
                <w:top w:val="none" w:sz="0" w:space="0" w:color="auto"/>
                <w:left w:val="none" w:sz="0" w:space="0" w:color="auto"/>
                <w:bottom w:val="none" w:sz="0" w:space="0" w:color="auto"/>
                <w:right w:val="none" w:sz="0" w:space="0" w:color="auto"/>
              </w:divBdr>
            </w:div>
            <w:div w:id="306782878">
              <w:marLeft w:val="0"/>
              <w:marRight w:val="0"/>
              <w:marTop w:val="0"/>
              <w:marBottom w:val="0"/>
              <w:divBdr>
                <w:top w:val="none" w:sz="0" w:space="0" w:color="auto"/>
                <w:left w:val="none" w:sz="0" w:space="0" w:color="auto"/>
                <w:bottom w:val="none" w:sz="0" w:space="0" w:color="auto"/>
                <w:right w:val="none" w:sz="0" w:space="0" w:color="auto"/>
              </w:divBdr>
            </w:div>
            <w:div w:id="579826640">
              <w:marLeft w:val="0"/>
              <w:marRight w:val="0"/>
              <w:marTop w:val="0"/>
              <w:marBottom w:val="0"/>
              <w:divBdr>
                <w:top w:val="none" w:sz="0" w:space="0" w:color="auto"/>
                <w:left w:val="none" w:sz="0" w:space="0" w:color="auto"/>
                <w:bottom w:val="none" w:sz="0" w:space="0" w:color="auto"/>
                <w:right w:val="none" w:sz="0" w:space="0" w:color="auto"/>
              </w:divBdr>
            </w:div>
            <w:div w:id="728381547">
              <w:marLeft w:val="0"/>
              <w:marRight w:val="0"/>
              <w:marTop w:val="0"/>
              <w:marBottom w:val="0"/>
              <w:divBdr>
                <w:top w:val="none" w:sz="0" w:space="0" w:color="auto"/>
                <w:left w:val="none" w:sz="0" w:space="0" w:color="auto"/>
                <w:bottom w:val="none" w:sz="0" w:space="0" w:color="auto"/>
                <w:right w:val="none" w:sz="0" w:space="0" w:color="auto"/>
              </w:divBdr>
            </w:div>
            <w:div w:id="836308734">
              <w:marLeft w:val="0"/>
              <w:marRight w:val="0"/>
              <w:marTop w:val="0"/>
              <w:marBottom w:val="0"/>
              <w:divBdr>
                <w:top w:val="none" w:sz="0" w:space="0" w:color="auto"/>
                <w:left w:val="none" w:sz="0" w:space="0" w:color="auto"/>
                <w:bottom w:val="none" w:sz="0" w:space="0" w:color="auto"/>
                <w:right w:val="none" w:sz="0" w:space="0" w:color="auto"/>
              </w:divBdr>
            </w:div>
            <w:div w:id="846529254">
              <w:marLeft w:val="0"/>
              <w:marRight w:val="0"/>
              <w:marTop w:val="0"/>
              <w:marBottom w:val="0"/>
              <w:divBdr>
                <w:top w:val="none" w:sz="0" w:space="0" w:color="auto"/>
                <w:left w:val="none" w:sz="0" w:space="0" w:color="auto"/>
                <w:bottom w:val="none" w:sz="0" w:space="0" w:color="auto"/>
                <w:right w:val="none" w:sz="0" w:space="0" w:color="auto"/>
              </w:divBdr>
            </w:div>
            <w:div w:id="948044886">
              <w:marLeft w:val="0"/>
              <w:marRight w:val="0"/>
              <w:marTop w:val="0"/>
              <w:marBottom w:val="0"/>
              <w:divBdr>
                <w:top w:val="none" w:sz="0" w:space="0" w:color="auto"/>
                <w:left w:val="none" w:sz="0" w:space="0" w:color="auto"/>
                <w:bottom w:val="none" w:sz="0" w:space="0" w:color="auto"/>
                <w:right w:val="none" w:sz="0" w:space="0" w:color="auto"/>
              </w:divBdr>
            </w:div>
            <w:div w:id="1309506821">
              <w:marLeft w:val="0"/>
              <w:marRight w:val="0"/>
              <w:marTop w:val="0"/>
              <w:marBottom w:val="0"/>
              <w:divBdr>
                <w:top w:val="none" w:sz="0" w:space="0" w:color="auto"/>
                <w:left w:val="none" w:sz="0" w:space="0" w:color="auto"/>
                <w:bottom w:val="none" w:sz="0" w:space="0" w:color="auto"/>
                <w:right w:val="none" w:sz="0" w:space="0" w:color="auto"/>
              </w:divBdr>
            </w:div>
            <w:div w:id="1317487884">
              <w:marLeft w:val="0"/>
              <w:marRight w:val="0"/>
              <w:marTop w:val="0"/>
              <w:marBottom w:val="0"/>
              <w:divBdr>
                <w:top w:val="none" w:sz="0" w:space="0" w:color="auto"/>
                <w:left w:val="none" w:sz="0" w:space="0" w:color="auto"/>
                <w:bottom w:val="none" w:sz="0" w:space="0" w:color="auto"/>
                <w:right w:val="none" w:sz="0" w:space="0" w:color="auto"/>
              </w:divBdr>
            </w:div>
            <w:div w:id="1496149060">
              <w:marLeft w:val="0"/>
              <w:marRight w:val="0"/>
              <w:marTop w:val="0"/>
              <w:marBottom w:val="0"/>
              <w:divBdr>
                <w:top w:val="none" w:sz="0" w:space="0" w:color="auto"/>
                <w:left w:val="none" w:sz="0" w:space="0" w:color="auto"/>
                <w:bottom w:val="none" w:sz="0" w:space="0" w:color="auto"/>
                <w:right w:val="none" w:sz="0" w:space="0" w:color="auto"/>
              </w:divBdr>
            </w:div>
            <w:div w:id="1611626738">
              <w:marLeft w:val="0"/>
              <w:marRight w:val="0"/>
              <w:marTop w:val="0"/>
              <w:marBottom w:val="0"/>
              <w:divBdr>
                <w:top w:val="none" w:sz="0" w:space="0" w:color="auto"/>
                <w:left w:val="none" w:sz="0" w:space="0" w:color="auto"/>
                <w:bottom w:val="none" w:sz="0" w:space="0" w:color="auto"/>
                <w:right w:val="none" w:sz="0" w:space="0" w:color="auto"/>
              </w:divBdr>
            </w:div>
            <w:div w:id="1751003382">
              <w:marLeft w:val="0"/>
              <w:marRight w:val="0"/>
              <w:marTop w:val="0"/>
              <w:marBottom w:val="0"/>
              <w:divBdr>
                <w:top w:val="none" w:sz="0" w:space="0" w:color="auto"/>
                <w:left w:val="none" w:sz="0" w:space="0" w:color="auto"/>
                <w:bottom w:val="none" w:sz="0" w:space="0" w:color="auto"/>
                <w:right w:val="none" w:sz="0" w:space="0" w:color="auto"/>
              </w:divBdr>
            </w:div>
            <w:div w:id="1821388102">
              <w:marLeft w:val="0"/>
              <w:marRight w:val="0"/>
              <w:marTop w:val="0"/>
              <w:marBottom w:val="0"/>
              <w:divBdr>
                <w:top w:val="none" w:sz="0" w:space="0" w:color="auto"/>
                <w:left w:val="none" w:sz="0" w:space="0" w:color="auto"/>
                <w:bottom w:val="none" w:sz="0" w:space="0" w:color="auto"/>
                <w:right w:val="none" w:sz="0" w:space="0" w:color="auto"/>
              </w:divBdr>
            </w:div>
            <w:div w:id="2019650190">
              <w:marLeft w:val="0"/>
              <w:marRight w:val="0"/>
              <w:marTop w:val="0"/>
              <w:marBottom w:val="0"/>
              <w:divBdr>
                <w:top w:val="none" w:sz="0" w:space="0" w:color="auto"/>
                <w:left w:val="none" w:sz="0" w:space="0" w:color="auto"/>
                <w:bottom w:val="none" w:sz="0" w:space="0" w:color="auto"/>
                <w:right w:val="none" w:sz="0" w:space="0" w:color="auto"/>
              </w:divBdr>
            </w:div>
            <w:div w:id="2075007407">
              <w:marLeft w:val="0"/>
              <w:marRight w:val="0"/>
              <w:marTop w:val="0"/>
              <w:marBottom w:val="0"/>
              <w:divBdr>
                <w:top w:val="none" w:sz="0" w:space="0" w:color="auto"/>
                <w:left w:val="none" w:sz="0" w:space="0" w:color="auto"/>
                <w:bottom w:val="none" w:sz="0" w:space="0" w:color="auto"/>
                <w:right w:val="none" w:sz="0" w:space="0" w:color="auto"/>
              </w:divBdr>
            </w:div>
          </w:divsChild>
        </w:div>
        <w:div w:id="1857839279">
          <w:marLeft w:val="0"/>
          <w:marRight w:val="0"/>
          <w:marTop w:val="0"/>
          <w:marBottom w:val="0"/>
          <w:divBdr>
            <w:top w:val="none" w:sz="0" w:space="0" w:color="auto"/>
            <w:left w:val="none" w:sz="0" w:space="0" w:color="auto"/>
            <w:bottom w:val="none" w:sz="0" w:space="0" w:color="auto"/>
            <w:right w:val="none" w:sz="0" w:space="0" w:color="auto"/>
          </w:divBdr>
        </w:div>
        <w:div w:id="2029601939">
          <w:marLeft w:val="0"/>
          <w:marRight w:val="0"/>
          <w:marTop w:val="0"/>
          <w:marBottom w:val="0"/>
          <w:divBdr>
            <w:top w:val="none" w:sz="0" w:space="0" w:color="auto"/>
            <w:left w:val="none" w:sz="0" w:space="0" w:color="auto"/>
            <w:bottom w:val="none" w:sz="0" w:space="0" w:color="auto"/>
            <w:right w:val="none" w:sz="0" w:space="0" w:color="auto"/>
          </w:divBdr>
        </w:div>
      </w:divsChild>
    </w:div>
    <w:div w:id="180357162">
      <w:bodyDiv w:val="1"/>
      <w:marLeft w:val="0"/>
      <w:marRight w:val="0"/>
      <w:marTop w:val="0"/>
      <w:marBottom w:val="0"/>
      <w:divBdr>
        <w:top w:val="none" w:sz="0" w:space="0" w:color="auto"/>
        <w:left w:val="none" w:sz="0" w:space="0" w:color="auto"/>
        <w:bottom w:val="none" w:sz="0" w:space="0" w:color="auto"/>
        <w:right w:val="none" w:sz="0" w:space="0" w:color="auto"/>
      </w:divBdr>
    </w:div>
    <w:div w:id="436950852">
      <w:bodyDiv w:val="1"/>
      <w:marLeft w:val="0"/>
      <w:marRight w:val="0"/>
      <w:marTop w:val="0"/>
      <w:marBottom w:val="0"/>
      <w:divBdr>
        <w:top w:val="none" w:sz="0" w:space="0" w:color="auto"/>
        <w:left w:val="none" w:sz="0" w:space="0" w:color="auto"/>
        <w:bottom w:val="none" w:sz="0" w:space="0" w:color="auto"/>
        <w:right w:val="none" w:sz="0" w:space="0" w:color="auto"/>
      </w:divBdr>
      <w:divsChild>
        <w:div w:id="683095631">
          <w:marLeft w:val="0"/>
          <w:marRight w:val="0"/>
          <w:marTop w:val="0"/>
          <w:marBottom w:val="0"/>
          <w:divBdr>
            <w:top w:val="none" w:sz="0" w:space="0" w:color="auto"/>
            <w:left w:val="none" w:sz="0" w:space="0" w:color="auto"/>
            <w:bottom w:val="none" w:sz="0" w:space="0" w:color="auto"/>
            <w:right w:val="none" w:sz="0" w:space="0" w:color="auto"/>
          </w:divBdr>
        </w:div>
        <w:div w:id="796874719">
          <w:marLeft w:val="0"/>
          <w:marRight w:val="0"/>
          <w:marTop w:val="0"/>
          <w:marBottom w:val="0"/>
          <w:divBdr>
            <w:top w:val="none" w:sz="0" w:space="0" w:color="auto"/>
            <w:left w:val="none" w:sz="0" w:space="0" w:color="auto"/>
            <w:bottom w:val="none" w:sz="0" w:space="0" w:color="auto"/>
            <w:right w:val="none" w:sz="0" w:space="0" w:color="auto"/>
          </w:divBdr>
        </w:div>
        <w:div w:id="944188944">
          <w:marLeft w:val="0"/>
          <w:marRight w:val="0"/>
          <w:marTop w:val="0"/>
          <w:marBottom w:val="0"/>
          <w:divBdr>
            <w:top w:val="none" w:sz="0" w:space="0" w:color="auto"/>
            <w:left w:val="none" w:sz="0" w:space="0" w:color="auto"/>
            <w:bottom w:val="none" w:sz="0" w:space="0" w:color="auto"/>
            <w:right w:val="none" w:sz="0" w:space="0" w:color="auto"/>
          </w:divBdr>
        </w:div>
        <w:div w:id="1219440805">
          <w:marLeft w:val="0"/>
          <w:marRight w:val="0"/>
          <w:marTop w:val="0"/>
          <w:marBottom w:val="0"/>
          <w:divBdr>
            <w:top w:val="none" w:sz="0" w:space="0" w:color="auto"/>
            <w:left w:val="none" w:sz="0" w:space="0" w:color="auto"/>
            <w:bottom w:val="none" w:sz="0" w:space="0" w:color="auto"/>
            <w:right w:val="none" w:sz="0" w:space="0" w:color="auto"/>
          </w:divBdr>
        </w:div>
      </w:divsChild>
    </w:div>
    <w:div w:id="472334041">
      <w:bodyDiv w:val="1"/>
      <w:marLeft w:val="0"/>
      <w:marRight w:val="0"/>
      <w:marTop w:val="0"/>
      <w:marBottom w:val="0"/>
      <w:divBdr>
        <w:top w:val="none" w:sz="0" w:space="0" w:color="auto"/>
        <w:left w:val="none" w:sz="0" w:space="0" w:color="auto"/>
        <w:bottom w:val="none" w:sz="0" w:space="0" w:color="auto"/>
        <w:right w:val="none" w:sz="0" w:space="0" w:color="auto"/>
      </w:divBdr>
    </w:div>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210102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un.org/sustainabledevelopment/infrastructure-industrialization/" TargetMode="External"/><Relationship Id="rId7" Type="http://schemas.openxmlformats.org/officeDocument/2006/relationships/settings" Target="settings.xml"/><Relationship Id="rId12" Type="http://schemas.openxmlformats.org/officeDocument/2006/relationships/hyperlink" Target="mailto:ten@eesc.europa.eu" TargetMode="Externa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eur-lex.europa.eu/legal-content/ro/TXT/?uri=celex:52026PC0016"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un.org/sustainabledevelopment/peace-justice/"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law-tracker.europa.eu/procedure/2026_13?lang=ro"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un.org/sustainabledevelopment/climate-change/" TargetMode="External"/><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VP3JK3XSEPRV-2087481956-9499</_dlc_DocId>
    <_dlc_DocIdUrl xmlns="7d640e6d-779c-472f-a269-6b546787f1c9">
      <Url>http://dm/eesc/2026/_layouts/15/DocIdRedir.aspx?ID=VP3JK3XSEPRV-2087481956-9499</Url>
      <Description>VP3JK3XSEPRV-2087481956-9499</Description>
    </_dlc_DocIdUrl>
    <Procedure xmlns="7d640e6d-779c-472f-a269-6b546787f1c9">2026/0013(COD)</Procedure>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2026-05-29T12:00:00+00:00</ProductionDate>
    <DocumentNumber xmlns="a95533f8-59af-4217-bc7a-c1167744adb0">515</DocumentNumber>
    <FicheYear xmlns="7d640e6d-779c-472f-a269-6b546787f1c9" xsi:nil="true"/>
    <DossierNumber xmlns="7d640e6d-779c-472f-a269-6b546787f1c9">879</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7d640e6d-779c-472f-a269-6b546787f1c9">2026-06-17T12:00:00+00:00</MeetingDate>
    <TaxCatchAll xmlns="7d640e6d-779c-472f-a269-6b546787f1c9">
      <Value>43</Value>
      <Value>69</Value>
      <Value>66</Value>
      <Value>60</Value>
      <Value>59</Value>
      <Value>55</Value>
      <Value>53</Value>
      <Value>51</Value>
      <Value>46</Value>
      <Value>45</Value>
      <Value>44</Value>
      <Value>132</Value>
      <Value>37</Value>
      <Value>36</Value>
      <Value>34</Value>
      <Value>32</Value>
      <Value>31</Value>
      <Value>30</Value>
      <Value>29</Value>
      <Value>28</Value>
      <Value>27</Value>
      <Value>25</Value>
      <Value>23</Value>
      <Value>19</Value>
      <Value>13</Value>
      <Value>12</Value>
      <Value>11</Value>
      <Value>9</Value>
      <Value>7</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feb747a2-64cd-4299-af12-4833ddc30497</TermId>
        </TermInfo>
      </Terms>
    </DocumentLanguage_0>
    <Rapporteur xmlns="7d640e6d-779c-472f-a269-6b546787f1c9">MENSI</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7d640e6d-779c-472f-a269-6b546787f1c9">2026</DocumentYear>
    <FicheNumber xmlns="7d640e6d-779c-472f-a269-6b546787f1c9">300476</FicheNumber>
    <OriginalSender xmlns="7d640e6d-779c-472f-a269-6b546787f1c9">
      <UserInfo>
        <DisplayName>Soldan Aureliana Cristiana</DisplayName>
        <AccountId>1412</AccountId>
        <AccountType/>
      </UserInfo>
    </OriginalSender>
    <DocumentPart xmlns="7d640e6d-779c-472f-a269-6b546787f1c9">0</DocumentPart>
    <AdoptionDate xmlns="7d640e6d-779c-472f-a269-6b546787f1c9" xsi:nil="true"/>
    <RequestingService xmlns="7d640e6d-779c-472f-a269-6b546787f1c9">Transports, énergie, infrastructures et société de l'information</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95533f8-59af-4217-bc7a-c1167744adb0">606</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TEN</TermName>
          <TermId xmlns="http://schemas.microsoft.com/office/infopath/2007/PartnerControls">5e12260d-3aca-41f8-baf2-ad3d18475f10</TermId>
        </TermInfo>
      </Terms>
    </DossierName_0>
    <DocumentVersion xmlns="7d640e6d-779c-472f-a269-6b546787f1c9">0</DocumentVersion>
  </documentManagement>
</p:propertie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42CFDF3EA65A64469BBC042F89C9AB74" ma:contentTypeVersion="4" ma:contentTypeDescription="Defines the documents for Document Manager V2" ma:contentTypeScope="" ma:versionID="950fd1e17e619020af71b7c808e1ed46">
  <xsd:schema xmlns:xsd="http://www.w3.org/2001/XMLSchema" xmlns:xs="http://www.w3.org/2001/XMLSchema" xmlns:p="http://schemas.microsoft.com/office/2006/metadata/properties" xmlns:ns2="7d640e6d-779c-472f-a269-6b546787f1c9" xmlns:ns3="http://schemas.microsoft.com/sharepoint/v3/fields" xmlns:ns4="a95533f8-59af-4217-bc7a-c1167744adb0" targetNamespace="http://schemas.microsoft.com/office/2006/metadata/properties" ma:root="true" ma:fieldsID="6ac0e0394313d7e2a7cc0de55d4cf26a" ns2:_="" ns3:_="" ns4:_="">
    <xsd:import namespace="7d640e6d-779c-472f-a269-6b546787f1c9"/>
    <xsd:import namespace="http://schemas.microsoft.com/sharepoint/v3/fields"/>
    <xsd:import namespace="a95533f8-59af-4217-bc7a-c1167744adb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5533f8-59af-4217-bc7a-c1167744adb0"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D8D626D-21E6-4FB0-87C3-E9D7A469A7EF}">
  <ds:schemaRefs>
    <ds:schemaRef ds:uri="http://schemas.microsoft.com/sharepoint/v3/contenttype/forms"/>
  </ds:schemaRefs>
</ds:datastoreItem>
</file>

<file path=customXml/itemProps2.xml><?xml version="1.0" encoding="utf-8"?>
<ds:datastoreItem xmlns:ds="http://schemas.openxmlformats.org/officeDocument/2006/customXml" ds:itemID="{D072E380-E001-4AA0-8B43-5D7B6B7CA5D0}">
  <ds:schemaRefs>
    <ds:schemaRef ds:uri="http://schemas.microsoft.com/office/2006/metadata/properties"/>
    <ds:schemaRef ds:uri="http://schemas.microsoft.com/office/infopath/2007/PartnerControls"/>
    <ds:schemaRef ds:uri="7d640e6d-779c-472f-a269-6b546787f1c9"/>
    <ds:schemaRef ds:uri="http://schemas.microsoft.com/sharepoint/v3/fields"/>
    <ds:schemaRef ds:uri="a95533f8-59af-4217-bc7a-c1167744adb0"/>
  </ds:schemaRefs>
</ds:datastoreItem>
</file>

<file path=customXml/itemProps3.xml><?xml version="1.0" encoding="utf-8"?>
<ds:datastoreItem xmlns:ds="http://schemas.openxmlformats.org/officeDocument/2006/customXml" ds:itemID="{AF5128D1-C1EF-4571-9BB7-C63903B65E9D}"/>
</file>

<file path=customXml/itemProps4.xml><?xml version="1.0" encoding="utf-8"?>
<ds:datastoreItem xmlns:ds="http://schemas.openxmlformats.org/officeDocument/2006/customXml" ds:itemID="{84039EBF-30E2-45D5-88B1-57ADBB45EB3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3327</Words>
  <Characters>21330</Characters>
  <Application>Microsoft Office Word</Application>
  <DocSecurity>0</DocSecurity>
  <Lines>395</Lines>
  <Paragraphs>112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Digital Networks Act</vt:lpstr>
      <vt:lpstr/>
    </vt:vector>
  </TitlesOfParts>
  <Company/>
  <LinksUpToDate>false</LinksUpToDate>
  <CharactersWithSpaces>24545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Actul legislativ privind rețelele digitale</dc:title>
  <dc:subject>Draft opinion</dc:subject>
  <dc:creator/>
  <cp:keywords>EESC-2026-00515-00-00-PA-TRA-EN</cp:keywords>
  <dc:description>Rapporteur: - MENSI Original language: - EN Date of document: - 06/05/2026 Date of meeting: - 26/05/2026 External documents: - COM(2026)16- final Administrator responsible: -  PRECUP ALBERT</dc:description>
  <cp:lastModifiedBy/>
  <cp:revision>3</cp:revision>
  <dcterms:created xsi:type="dcterms:W3CDTF">2026-05-29T07:39:00Z</dcterms:created>
  <dcterms:modified xsi:type="dcterms:W3CDTF">2026-05-29T07:45:00Z</dcterms:modified>
  <cp:category>TEN/879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0x010100EA97B91038054C99906057A708A1480A0042CFDF3EA65A64469BBC042F89C9AB74</vt:lpwstr>
  </property>
  <property fmtid="{D5CDD505-2E9C-101B-9397-08002B2CF9AE}" pid="3" name="_dlc_DocIdItemGuid">
    <vt:lpwstr>492794d9-8365-4e6a-9f50-fc094c2d130b</vt:lpwstr>
  </property>
  <property fmtid="{D5CDD505-2E9C-101B-9397-08002B2CF9AE}" pid="4" name="Procedure">
    <vt:lpwstr>2026/0013(COD)</vt:lpwstr>
  </property>
  <property fmtid="{D5CDD505-2E9C-101B-9397-08002B2CF9AE}" pid="5" name="AvailableTranslations">
    <vt:lpwstr>66;#GA|762d2456-c427-4ecb-b312-af3dad8e258c;#32;#PL|1e03da61-4678-4e07-b136-b5024ca9197b;#51;#LV|46f7e311-5d9f-4663-b433-18aeccb7ace7;#23;#FR|d2afafd3-4c81-4f60-8f52-ee33f2f54ff3;#36;#NL|55c6556c-b4f4-441d-9acf-c498d4f838bd;#53;#MT|7df99101-6854-4a26-b53a-b88c0da02c26;#29;#CS|72f9705b-0217-4fd3-bea2-cbc7ed80e26e;#11;#DE|f6b31e5a-26fa-4935-b661-318e46daf27e;#25;#FI|87606a43-d45f-42d6-b8c9-e1a3457db5b7;#4;#EN|f2175f21-25d7-44a3-96da-d6a61b075e1b;#13;#IT|0774613c-01ed-4e5d-a25d-11d2388de825;#44;#LT|a7ff5ce7-6123-4f68-865a-a57c31810414;#28;#PT|50ccc04a-eadd-42ae-a0cb-acaf45f812ba;#27;#ET|ff6c3f4c-b02c-4c3c-ab07-2c37995a7a0a;#30;#SK|46d9fce0-ef79-4f71-b89b-cd6aa82426b8;#31;#SL|98a412ae-eb01-49e9-ae3d-585a81724cfc;#34;#HR|2f555653-ed1a-4fe6-8362-9082d95989e5;#46;#DA|5d49c027-8956-412b-aa16-e85a0f96ad0e;#12;#ES|e7a6b05b-ae16-40c8-add9-68b64b03aeba;#60;#EL|6d4f4d51-af9b-4650-94b4-4276bee85c91;#43;#BG|1a1b3951-7821-4e6a-85f5-5673fc08bd2c;#37;#HU|6b229040-c589-4408-b4c1-4285663d20a8;#45;#SV|c2ed69e7-a339-43d7-8f22-d93680a92aa0;#55;#RO|feb747a2-64cd-4299-af12-4833ddc30497</vt:lpwstr>
  </property>
  <property fmtid="{D5CDD505-2E9C-101B-9397-08002B2CF9AE}" pid="6" name="DocumentType_0">
    <vt:lpwstr>AS|c7a748eb-f6f2-4d9d-8b5a-af0cafebc224</vt:lpwstr>
  </property>
  <property fmtid="{D5CDD505-2E9C-101B-9397-08002B2CF9AE}" pid="7" name="MeetingNumber">
    <vt:i4>606</vt:i4>
  </property>
  <property fmtid="{D5CDD505-2E9C-101B-9397-08002B2CF9AE}" pid="8" name="DossierName_0">
    <vt:lpwstr>TEN|5e12260d-3aca-41f8-baf2-ad3d18475f10</vt:lpwstr>
  </property>
  <property fmtid="{D5CDD505-2E9C-101B-9397-08002B2CF9AE}" pid="9" name="DocumentSource_0">
    <vt:lpwstr>EESC|422833ec-8d7e-4e65-8e4e-8bed07ffb729</vt:lpwstr>
  </property>
  <property fmtid="{D5CDD505-2E9C-101B-9397-08002B2CF9AE}" pid="10" name="DocumentNumber">
    <vt:i4>515</vt:i4>
  </property>
  <property fmtid="{D5CDD505-2E9C-101B-9397-08002B2CF9AE}" pid="11" name="FicheYear">
    <vt:i4>2026</vt:i4>
  </property>
  <property fmtid="{D5CDD505-2E9C-101B-9397-08002B2CF9AE}" pid="12" name="DocumentVersion">
    <vt:i4>0</vt:i4>
  </property>
  <property fmtid="{D5CDD505-2E9C-101B-9397-08002B2CF9AE}" pid="13" name="DossierNumber">
    <vt:i4>879</vt:i4>
  </property>
  <property fmtid="{D5CDD505-2E9C-101B-9397-08002B2CF9AE}" pid="14" name="DocumentStatus">
    <vt:lpwstr>9;#TRA|150d2a88-1431-44e6-a8ca-0bb753ab8672</vt:lpwstr>
  </property>
  <property fmtid="{D5CDD505-2E9C-101B-9397-08002B2CF9AE}" pid="15" name="DocumentPart">
    <vt:i4>0</vt:i4>
  </property>
  <property fmtid="{D5CDD505-2E9C-101B-9397-08002B2CF9AE}" pid="16" name="DossierName">
    <vt:lpwstr>69;#TEN|5e12260d-3aca-41f8-baf2-ad3d18475f10</vt:lpwstr>
  </property>
  <property fmtid="{D5CDD505-2E9C-101B-9397-08002B2CF9AE}" pid="17" name="DocumentSource">
    <vt:lpwstr>1;#EESC|422833ec-8d7e-4e65-8e4e-8bed07ffb729</vt:lpwstr>
  </property>
  <property fmtid="{D5CDD505-2E9C-101B-9397-08002B2CF9AE}" pid="18" name="DocumentType">
    <vt:lpwstr>132;#AS|c7a748eb-f6f2-4d9d-8b5a-af0cafebc224</vt:lpwstr>
  </property>
  <property fmtid="{D5CDD505-2E9C-101B-9397-08002B2CF9AE}" pid="19" name="RequestingService">
    <vt:lpwstr>Transports, énergie, infrastructures et société de l'information</vt:lpwstr>
  </property>
  <property fmtid="{D5CDD505-2E9C-101B-9397-08002B2CF9AE}" pid="20" name="Confidentiality">
    <vt:lpwstr>19;#Unrestricted|826e22d7-d029-4ec0-a450-0c28ff673572</vt:lpwstr>
  </property>
  <property fmtid="{D5CDD505-2E9C-101B-9397-08002B2CF9AE}" pid="21" name="MeetingName_0">
    <vt:lpwstr>SPL-CES|32d8cb1f-c9ec-4365-95c7-8385a18618ac</vt:lpwstr>
  </property>
  <property fmtid="{D5CDD505-2E9C-101B-9397-08002B2CF9AE}" pid="22" name="Confidentiality_0">
    <vt:lpwstr>Unrestricted|826e22d7-d029-4ec0-a450-0c28ff673572</vt:lpwstr>
  </property>
  <property fmtid="{D5CDD505-2E9C-101B-9397-08002B2CF9AE}" pid="23" name="OriginalLanguage">
    <vt:lpwstr>4;#EN|f2175f21-25d7-44a3-96da-d6a61b075e1b</vt:lpwstr>
  </property>
  <property fmtid="{D5CDD505-2E9C-101B-9397-08002B2CF9AE}" pid="24" name="MeetingName">
    <vt:lpwstr>59;#SPL-CES|32d8cb1f-c9ec-4365-95c7-8385a18618ac</vt:lpwstr>
  </property>
  <property fmtid="{D5CDD505-2E9C-101B-9397-08002B2CF9AE}" pid="25" name="MeetingDate">
    <vt:filetime>2026-06-17T12:00:00Z</vt:filetime>
  </property>
  <property fmtid="{D5CDD505-2E9C-101B-9397-08002B2CF9AE}" pid="26" name="AvailableTranslations_0">
    <vt:lpwstr>GA|762d2456-c427-4ecb-b312-af3dad8e258c;LV|46f7e311-5d9f-4663-b433-18aeccb7ace7;FR|d2afafd3-4c81-4f60-8f52-ee33f2f54ff3;NL|55c6556c-b4f4-441d-9acf-c498d4f838bd;MT|7df99101-6854-4a26-b53a-b88c0da02c26;CS|72f9705b-0217-4fd3-bea2-cbc7ed80e26e;DE|f6b31e5a-26fa-4935-b661-318e46daf27e;FI|87606a43-d45f-42d6-b8c9-e1a3457db5b7;EN|f2175f21-25d7-44a3-96da-d6a61b075e1b;LT|a7ff5ce7-6123-4f68-865a-a57c31810414;HR|2f555653-ed1a-4fe6-8362-9082d95989e5;ES|e7a6b05b-ae16-40c8-add9-68b64b03aeba;HU|6b229040-c589-4408-b4c1-4285663d20a8;SV|c2ed69e7-a339-43d7-8f22-d93680a92aa0</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36;#NL|55c6556c-b4f4-441d-9acf-c498d4f838bd;#34;#HR|2f555653-ed1a-4fe6-8362-9082d95989e5;#69;#TEN|5e12260d-3aca-41f8-baf2-ad3d18475f10;#66;#GA|762d2456-c427-4ecb-b312-af3dad8e258c;#25;#FI|87606a43-d45f-42d6-b8c9-e1a3457db5b7;#44;#LT|a7ff5ce7-6123-4f68-865a-a57c31810414;#23;#FR|d2afafd3-4c81-4f60-8f52-ee33f2f54ff3;#59;#SPL-CES|32d8cb1f-c9ec-4365-95c7-8385a18618ac;#132;#AS|c7a748eb-f6f2-4d9d-8b5a-af0cafebc224;#19;#Unrestricted|826e22d7-d029-4ec0-a450-0c28ff673572;#53;#MT|7df99101-6854-4a26-b53a-b88c0da02c26;#51;#LV|46f7e311-5d9f-4663-b433-18aeccb7ace7;#12;#ES|e7a6b05b-ae16-40c8-add9-68b64b03aeba;#11;#DE|f6b31e5a-26fa-4935-b661-318e46daf27e;#9;#TRA|150d2a88-1431-44e6-a8ca-0bb753ab8672;#45;#SV|c2ed69e7-a339-43d7-8f22-d93680a92aa0;#7;#Final|ea5e6674-7b27-4bac-b091-73adbb394efe;#29;#CS|72f9705b-0217-4fd3-bea2-cbc7ed80e26e;#4;#EN|f2175f21-25d7-44a3-96da-d6a61b075e1b;#1;#EESC|422833ec-8d7e-4e65-8e4e-8bed07ffb729;#37;#HU|6b229040-c589-4408-b4c1-4285663d20a8</vt:lpwstr>
  </property>
  <property fmtid="{D5CDD505-2E9C-101B-9397-08002B2CF9AE}" pid="30" name="Rapporteur">
    <vt:lpwstr>MENSI</vt:lpwstr>
  </property>
  <property fmtid="{D5CDD505-2E9C-101B-9397-08002B2CF9AE}" pid="31" name="VersionStatus_0">
    <vt:lpwstr>Final|ea5e6674-7b27-4bac-b091-73adbb394efe</vt:lpwstr>
  </property>
  <property fmtid="{D5CDD505-2E9C-101B-9397-08002B2CF9AE}" pid="32" name="VersionStatus">
    <vt:lpwstr>7;#Final|ea5e6674-7b27-4bac-b091-73adbb394efe</vt:lpwstr>
  </property>
  <property fmtid="{D5CDD505-2E9C-101B-9397-08002B2CF9AE}" pid="33" name="DocumentYear">
    <vt:i4>2026</vt:i4>
  </property>
  <property fmtid="{D5CDD505-2E9C-101B-9397-08002B2CF9AE}" pid="34" name="FicheNumber">
    <vt:i4>300476</vt:i4>
  </property>
  <property fmtid="{D5CDD505-2E9C-101B-9397-08002B2CF9AE}" pid="35" name="DocumentLanguage">
    <vt:lpwstr>55;#RO|feb747a2-64cd-4299-af12-4833ddc30497</vt:lpwstr>
  </property>
  <property fmtid="{D5CDD505-2E9C-101B-9397-08002B2CF9AE}" pid="36" name="_docset_NoMedatataSyncRequired">
    <vt:lpwstr>False</vt:lpwstr>
  </property>
  <property fmtid="{D5CDD505-2E9C-101B-9397-08002B2CF9AE}" pid="37" name="Pref_formatted">
    <vt:bool>true</vt:bool>
  </property>
  <property fmtid="{D5CDD505-2E9C-101B-9397-08002B2CF9AE}" pid="38" name="Pref_Date">
    <vt:lpwstr>27/05/2026</vt:lpwstr>
  </property>
  <property fmtid="{D5CDD505-2E9C-101B-9397-08002B2CF9AE}" pid="39" name="Pref_Time">
    <vt:lpwstr>17:28:51</vt:lpwstr>
  </property>
  <property fmtid="{D5CDD505-2E9C-101B-9397-08002B2CF9AE}" pid="40" name="Pref_User">
    <vt:lpwstr>amett</vt:lpwstr>
  </property>
  <property fmtid="{D5CDD505-2E9C-101B-9397-08002B2CF9AE}" pid="41" name="Pref_FileName">
    <vt:lpwstr>EESC-2026-00515-00-00-AS-TRA-EN-CRR.docx</vt:lpwstr>
  </property>
  <property fmtid="{D5CDD505-2E9C-101B-9397-08002B2CF9AE}" pid="42" name="DocumentLanguage_0">
    <vt:lpwstr>EN|f2175f21-25d7-44a3-96da-d6a61b075e1b</vt:lpwstr>
  </property>
</Properties>
</file>