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5ED77B" w:rsidR="005D5113" w:rsidRPr="007363CD" w:rsidRDefault="00694668" w:rsidP="0074642E">
      <w:pPr>
        <w:jc w:val="center"/>
      </w:pPr>
      <w:r w:rsidRPr="007363CD">
        <w:drawing>
          <wp:inline distT="0" distB="0" distL="0" distR="0" wp14:anchorId="0C94B456" wp14:editId="1C36FB99">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776C5" w:rsidRPr="007363CD">
        <w:rPr>
          <w:sz w:val="20"/>
        </w:rPr>
        <mc:AlternateContent>
          <mc:Choice Requires="wps">
            <w:drawing>
              <wp:anchor distT="0" distB="0" distL="0" distR="0" simplePos="0" relativeHeight="251661312" behindDoc="1" locked="0" layoutInCell="1" hidden="0" allowOverlap="1" wp14:anchorId="18BA5486" wp14:editId="457D3451">
                <wp:simplePos x="0" y="0"/>
                <wp:positionH relativeFrom="page">
                  <wp:posOffset>6759576</wp:posOffset>
                </wp:positionH>
                <wp:positionV relativeFrom="page">
                  <wp:posOffset>10071736</wp:posOffset>
                </wp:positionV>
                <wp:extent cx="666750" cy="415290"/>
                <wp:effectExtent l="0" t="0" r="0" b="0"/>
                <wp:wrapNone/>
                <wp:docPr id="1585139010" name="Rectangle 1585139010"/>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14:paraId="51801290" w14:textId="77777777" w:rsidR="005D5113" w:rsidRDefault="002776C5">
                            <w:pPr>
                              <w:jc w:val="center"/>
                              <w:textDirection w:val="btLr"/>
                            </w:pPr>
                            <w:r>
                              <w:rPr>
                                <w:rFonts w:ascii="Arial" w:hAnsi="Arial"/>
                                <w:b/>
                                <w:color w:val="000000"/>
                                <w:sz w:val="48"/>
                              </w:rPr>
                              <w:t>SK</w:t>
                            </w:r>
                          </w:p>
                        </w:txbxContent>
                      </wps:txbx>
                      <wps:bodyPr spcFirstLastPara="1" wrap="square" lIns="91425" tIns="45700" rIns="91425" bIns="45700" anchor="t" anchorCtr="0">
                        <a:noAutofit/>
                      </wps:bodyPr>
                    </wps:wsp>
                  </a:graphicData>
                </a:graphic>
              </wp:anchor>
            </w:drawing>
          </mc:Choice>
          <mc:Fallback>
            <w:pict>
              <v:rect w14:anchorId="18BA5486" id="Rectangle 1585139010" o:spid="_x0000_s1026" style="position:absolute;left:0;text-align:left;margin-left:532.25pt;margin-top:793.05pt;width:52.5pt;height:32.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" filled="f" stroked="f">
                <v:textbox inset="2.53958mm,1.2694mm,2.53958mm,1.2694mm">
                  <w:txbxContent>
                    <w:p w14:paraId="51801290" w14:textId="77777777" w:rsidR="005D5113" w:rsidRDefault="002776C5">
                      <w:pPr>
                        <w:jc w:val="center"/>
                        <w:textDirection w:val="btLr"/>
                      </w:pPr>
                      <w:r>
                        <w:rPr>
                          <w:rFonts w:ascii="Arial" w:hAnsi="Arial"/>
                          <w:b/>
                          <w:color w:val="000000"/>
                          <w:sz w:val="48"/>
                        </w:rPr>
                        <w:t>SK</w:t>
                      </w:r>
                    </w:p>
                  </w:txbxContent>
                </v:textbox>
                <w10:wrap anchorx="page" anchory="page"/>
              </v:rect>
            </w:pict>
          </mc:Fallback>
        </mc:AlternateContent>
      </w:r>
    </w:p>
    <w:p w14:paraId="00000002" w14:textId="77777777" w:rsidR="005D5113" w:rsidRPr="007363CD" w:rsidRDefault="005D5113" w:rsidP="0074642E"/>
    <w:p w14:paraId="00000003" w14:textId="77777777" w:rsidR="005D5113" w:rsidRPr="007363CD" w:rsidRDefault="002776C5" w:rsidP="0074642E">
      <w:pPr>
        <w:jc w:val="right"/>
      </w:pPr>
      <w:r w:rsidRPr="007363CD">
        <w:rPr>
          <w:b/>
        </w:rPr>
        <w:t>CCMI/259</w:t>
      </w:r>
    </w:p>
    <w:p w14:paraId="00000004" w14:textId="77777777" w:rsidR="005D5113" w:rsidRPr="007363CD" w:rsidRDefault="002776C5" w:rsidP="0074642E">
      <w:pPr>
        <w:ind w:left="4820"/>
        <w:jc w:val="right"/>
        <w:rPr>
          <w:b/>
          <w:bCs/>
        </w:rPr>
      </w:pPr>
      <w:r w:rsidRPr="007363CD">
        <w:rPr>
          <w:b/>
        </w:rPr>
        <w:t xml:space="preserve">Akčný plán </w:t>
      </w:r>
      <w:proofErr w:type="spellStart"/>
      <w:r w:rsidRPr="007363CD">
        <w:rPr>
          <w:b/>
        </w:rPr>
        <w:t>RESourceEU</w:t>
      </w:r>
      <w:proofErr w:type="spellEnd"/>
    </w:p>
    <w:p w14:paraId="00000005" w14:textId="77777777" w:rsidR="005D5113" w:rsidRPr="007363CD" w:rsidRDefault="005D5113" w:rsidP="0074642E"/>
    <w:p w14:paraId="00000006" w14:textId="77777777" w:rsidR="005D5113" w:rsidRPr="007363CD" w:rsidRDefault="005D5113" w:rsidP="0074642E"/>
    <w:p w14:paraId="00000007" w14:textId="6C25DD2A" w:rsidR="005D5113" w:rsidRPr="007363CD" w:rsidRDefault="002776C5" w:rsidP="0074642E">
      <w:pPr>
        <w:jc w:val="center"/>
        <w:rPr>
          <w:b/>
          <w:bCs/>
          <w:sz w:val="28"/>
          <w:szCs w:val="28"/>
        </w:rPr>
      </w:pPr>
      <w:r w:rsidRPr="007363CD">
        <w:rPr>
          <w:b/>
          <w:sz w:val="28"/>
        </w:rPr>
        <w:t>STANOVISKO</w:t>
      </w:r>
    </w:p>
    <w:p w14:paraId="00000008" w14:textId="77777777" w:rsidR="005D5113" w:rsidRPr="007363CD" w:rsidRDefault="005D5113" w:rsidP="0074642E">
      <w:pPr>
        <w:jc w:val="center"/>
      </w:pPr>
    </w:p>
    <w:p w14:paraId="00000009" w14:textId="77777777" w:rsidR="005D5113" w:rsidRPr="007363CD" w:rsidRDefault="002776C5" w:rsidP="0074642E">
      <w:pPr>
        <w:jc w:val="center"/>
      </w:pPr>
      <w:r w:rsidRPr="007363CD">
        <w:t>poradná komisia pre priemyselné zmeny</w:t>
      </w:r>
    </w:p>
    <w:p w14:paraId="51D1ED50" w14:textId="77777777" w:rsidR="00203935" w:rsidRPr="007363CD" w:rsidRDefault="00203935" w:rsidP="0074642E">
      <w:pPr>
        <w:jc w:val="center"/>
      </w:pPr>
    </w:p>
    <w:p w14:paraId="0000000E" w14:textId="46FAE875" w:rsidR="005D5113" w:rsidRPr="007363CD" w:rsidRDefault="00AE4411" w:rsidP="0074642E">
      <w:pPr>
        <w:jc w:val="center"/>
      </w:pPr>
      <w:r w:rsidRPr="007363CD">
        <w:rPr>
          <w:b/>
        </w:rPr>
        <w:t>Oznámenie Komisie Európskemu parlamentu, Rade, Európskemu hospodárskemu</w:t>
      </w:r>
      <w:r w:rsidR="007363CD">
        <w:rPr>
          <w:b/>
        </w:rPr>
        <w:t xml:space="preserve"> a </w:t>
      </w:r>
      <w:r w:rsidRPr="007363CD">
        <w:rPr>
          <w:b/>
        </w:rPr>
        <w:t>sociálnemu výboru</w:t>
      </w:r>
      <w:r w:rsidR="007363CD">
        <w:rPr>
          <w:b/>
        </w:rPr>
        <w:t xml:space="preserve"> a </w:t>
      </w:r>
      <w:r w:rsidRPr="007363CD">
        <w:rPr>
          <w:b/>
        </w:rPr>
        <w:t>Výboru regiónov</w:t>
      </w:r>
      <w:r w:rsidRPr="007363CD">
        <w:rPr>
          <w:b/>
        </w:rPr>
        <w:br/>
        <w:t xml:space="preserve">Akčný plán </w:t>
      </w:r>
      <w:proofErr w:type="spellStart"/>
      <w:r w:rsidRPr="007363CD">
        <w:rPr>
          <w:b/>
        </w:rPr>
        <w:t>RESourceEU</w:t>
      </w:r>
      <w:proofErr w:type="spellEnd"/>
      <w:r w:rsidR="00440E35">
        <w:rPr>
          <w:b/>
        </w:rPr>
        <w:t> – </w:t>
      </w:r>
      <w:r w:rsidRPr="007363CD">
        <w:rPr>
          <w:b/>
        </w:rPr>
        <w:t>Urýchlenie vykonávania našej stratégie</w:t>
      </w:r>
      <w:r w:rsidR="007363CD">
        <w:rPr>
          <w:b/>
        </w:rPr>
        <w:t xml:space="preserve"> v </w:t>
      </w:r>
      <w:r w:rsidRPr="007363CD">
        <w:rPr>
          <w:b/>
        </w:rPr>
        <w:t>oblasti kritických surovín</w:t>
      </w:r>
      <w:r w:rsidR="007363CD">
        <w:rPr>
          <w:b/>
        </w:rPr>
        <w:t xml:space="preserve"> s </w:t>
      </w:r>
      <w:r w:rsidRPr="007363CD">
        <w:rPr>
          <w:b/>
        </w:rPr>
        <w:t>cieľom prispôsobiť sa novej realite</w:t>
      </w:r>
      <w:r w:rsidRPr="007363CD">
        <w:rPr>
          <w:b/>
        </w:rPr>
        <w:br/>
      </w:r>
      <w:r w:rsidRPr="007363CD">
        <w:t xml:space="preserve">[COM(2025) 945 </w:t>
      </w:r>
      <w:proofErr w:type="spellStart"/>
      <w:r w:rsidRPr="007363CD">
        <w:t>final</w:t>
      </w:r>
      <w:proofErr w:type="spellEnd"/>
      <w:r w:rsidRPr="007363CD">
        <w:t>]</w:t>
      </w:r>
    </w:p>
    <w:p w14:paraId="0000000F" w14:textId="77777777" w:rsidR="005D5113" w:rsidRPr="007363CD" w:rsidRDefault="005D5113" w:rsidP="0074642E">
      <w:pPr>
        <w:jc w:val="center"/>
      </w:pPr>
    </w:p>
    <w:p w14:paraId="00000010" w14:textId="0551622A" w:rsidR="005D5113" w:rsidRPr="007363CD" w:rsidRDefault="002776C5" w:rsidP="0074642E">
      <w:pPr>
        <w:jc w:val="center"/>
      </w:pPr>
      <w:r w:rsidRPr="007363CD">
        <w:t xml:space="preserve">Spravodajca: </w:t>
      </w:r>
      <w:proofErr w:type="spellStart"/>
      <w:r w:rsidRPr="007363CD">
        <w:rPr>
          <w:b/>
        </w:rPr>
        <w:t>Konstantinos</w:t>
      </w:r>
      <w:proofErr w:type="spellEnd"/>
      <w:r w:rsidRPr="007363CD">
        <w:rPr>
          <w:b/>
        </w:rPr>
        <w:t xml:space="preserve"> DIAMANTOUROS (EL</w:t>
      </w:r>
      <w:r w:rsidR="00440E35">
        <w:rPr>
          <w:b/>
        </w:rPr>
        <w:t> – </w:t>
      </w:r>
      <w:r w:rsidRPr="007363CD">
        <w:rPr>
          <w:b/>
        </w:rPr>
        <w:t>I)</w:t>
      </w:r>
    </w:p>
    <w:p w14:paraId="00000011" w14:textId="24F75F78" w:rsidR="005D5113" w:rsidRPr="007363CD" w:rsidRDefault="002776C5" w:rsidP="0074642E">
      <w:pPr>
        <w:jc w:val="center"/>
        <w:rPr>
          <w:b/>
          <w:bCs/>
        </w:rPr>
      </w:pPr>
      <w:r w:rsidRPr="007363CD">
        <w:t xml:space="preserve">Spoluspravodajkyňa: </w:t>
      </w:r>
      <w:proofErr w:type="spellStart"/>
      <w:r w:rsidRPr="007363CD">
        <w:rPr>
          <w:b/>
        </w:rPr>
        <w:t>Agata</w:t>
      </w:r>
      <w:proofErr w:type="spellEnd"/>
      <w:r w:rsidRPr="007363CD">
        <w:rPr>
          <w:b/>
        </w:rPr>
        <w:t xml:space="preserve"> MEYSNER (PL</w:t>
      </w:r>
      <w:r w:rsidR="00440E35">
        <w:rPr>
          <w:b/>
        </w:rPr>
        <w:t> – </w:t>
      </w:r>
      <w:r w:rsidRPr="007363CD">
        <w:rPr>
          <w:b/>
        </w:rPr>
        <w:t>kat. 3)</w:t>
      </w:r>
    </w:p>
    <w:p w14:paraId="0000002D" w14:textId="77777777" w:rsidR="005D5113" w:rsidRPr="007363CD" w:rsidRDefault="005D5113" w:rsidP="0074642E"/>
    <w:tbl>
      <w:tblPr>
        <w:tblpPr w:leftFromText="181" w:rightFromText="181" w:vertAnchor="page" w:horzAnchor="margin" w:tblpY="13094"/>
        <w:tblW w:w="9289" w:type="dxa"/>
        <w:tblLayout w:type="fixed"/>
        <w:tblLook w:val="0400" w:firstRow="0" w:lastRow="0" w:firstColumn="0" w:lastColumn="0" w:noHBand="0" w:noVBand="1"/>
      </w:tblPr>
      <w:tblGrid>
        <w:gridCol w:w="3085"/>
        <w:gridCol w:w="6204"/>
      </w:tblGrid>
      <w:tr w:rsidR="00203935" w:rsidRPr="007363CD" w14:paraId="512E5FD9" w14:textId="77777777" w:rsidTr="006030E5">
        <w:tc>
          <w:tcPr>
            <w:tcW w:w="3085" w:type="dxa"/>
          </w:tcPr>
          <w:p w14:paraId="58F3BE13" w14:textId="77777777" w:rsidR="00203935" w:rsidRPr="007363CD" w:rsidRDefault="00203935" w:rsidP="0074642E">
            <w:pPr>
              <w:jc w:val="left"/>
            </w:pPr>
            <w:r w:rsidRPr="007363CD">
              <w:t>Kontakt</w:t>
            </w:r>
          </w:p>
        </w:tc>
        <w:tc>
          <w:tcPr>
            <w:tcW w:w="6204" w:type="dxa"/>
          </w:tcPr>
          <w:p w14:paraId="19CFBA64" w14:textId="77777777" w:rsidR="00203935" w:rsidRPr="007363CD" w:rsidRDefault="00336AB2" w:rsidP="0074642E">
            <w:pPr>
              <w:jc w:val="left"/>
            </w:pPr>
            <w:hyperlink r:id="rId12" w:history="1">
              <w:r w:rsidR="00694668" w:rsidRPr="007363CD">
                <w:rPr>
                  <w:rStyle w:val="Hyperlink"/>
                </w:rPr>
                <w:t>Adam.Dorywalski@eesc.europa.eu</w:t>
              </w:r>
            </w:hyperlink>
          </w:p>
        </w:tc>
      </w:tr>
      <w:tr w:rsidR="00203935" w:rsidRPr="007363CD" w14:paraId="1ED11616" w14:textId="77777777" w:rsidTr="006030E5">
        <w:tc>
          <w:tcPr>
            <w:tcW w:w="3085" w:type="dxa"/>
          </w:tcPr>
          <w:p w14:paraId="7B1FF9A5" w14:textId="77777777" w:rsidR="00203935" w:rsidRPr="007363CD" w:rsidRDefault="00203935" w:rsidP="0074642E">
            <w:pPr>
              <w:jc w:val="left"/>
            </w:pPr>
            <w:r w:rsidRPr="007363CD">
              <w:t>Administrátor</w:t>
            </w:r>
          </w:p>
        </w:tc>
        <w:tc>
          <w:tcPr>
            <w:tcW w:w="6204" w:type="dxa"/>
          </w:tcPr>
          <w:p w14:paraId="14B92BC6" w14:textId="77777777" w:rsidR="00203935" w:rsidRPr="007363CD" w:rsidRDefault="00203935" w:rsidP="0074642E">
            <w:pPr>
              <w:jc w:val="left"/>
            </w:pPr>
            <w:r w:rsidRPr="007363CD">
              <w:t xml:space="preserve">Adam </w:t>
            </w:r>
            <w:proofErr w:type="spellStart"/>
            <w:r w:rsidRPr="007363CD">
              <w:t>Dorywalski</w:t>
            </w:r>
            <w:proofErr w:type="spellEnd"/>
          </w:p>
        </w:tc>
      </w:tr>
      <w:tr w:rsidR="00203935" w:rsidRPr="007363CD" w14:paraId="58EE73B4" w14:textId="77777777" w:rsidTr="006030E5">
        <w:tc>
          <w:tcPr>
            <w:tcW w:w="3085" w:type="dxa"/>
          </w:tcPr>
          <w:p w14:paraId="56490496" w14:textId="77777777" w:rsidR="00203935" w:rsidRPr="007363CD" w:rsidRDefault="00203935" w:rsidP="0074642E">
            <w:pPr>
              <w:jc w:val="left"/>
            </w:pPr>
            <w:r w:rsidRPr="007363CD">
              <w:t>Dátum dokumentu</w:t>
            </w:r>
          </w:p>
        </w:tc>
        <w:tc>
          <w:tcPr>
            <w:tcW w:w="6204" w:type="dxa"/>
          </w:tcPr>
          <w:p w14:paraId="4A41C9FB" w14:textId="771CF670" w:rsidR="00203935" w:rsidRPr="007363CD" w:rsidRDefault="00131E9C" w:rsidP="0074642E">
            <w:pPr>
              <w:jc w:val="left"/>
            </w:pPr>
            <w:r w:rsidRPr="007363CD">
              <w:t>27/5/2026</w:t>
            </w:r>
          </w:p>
        </w:tc>
      </w:tr>
    </w:tbl>
    <w:p w14:paraId="0000002E" w14:textId="12BE4666" w:rsidR="005D5113" w:rsidRPr="007363CD" w:rsidRDefault="005D5113" w:rsidP="0074642E">
      <w:pPr>
        <w:sectPr w:rsidR="005D5113" w:rsidRPr="007363CD" w:rsidSect="00131E9C">
          <w:footerReference w:type="default" r:id="rId13"/>
          <w:pgSz w:w="11907" w:h="16839"/>
          <w:pgMar w:top="1417" w:right="1417" w:bottom="1417" w:left="1417" w:header="709" w:footer="709" w:gutter="0"/>
          <w:pgNumType w:start="1"/>
          <w:cols w:space="720"/>
          <w:docGrid w:linePitch="299"/>
        </w:sectPr>
      </w:pPr>
    </w:p>
    <w:p w14:paraId="0000004A" w14:textId="77777777" w:rsidR="005D5113" w:rsidRPr="007363CD" w:rsidRDefault="005D5113" w:rsidP="0074642E"/>
    <w:tbl>
      <w:tblPr>
        <w:tblStyle w:val="a5"/>
        <w:tblW w:w="9073" w:type="dxa"/>
        <w:tblLayout w:type="fixed"/>
        <w:tblLook w:val="0400" w:firstRow="0" w:lastRow="0" w:firstColumn="0" w:lastColumn="0" w:noHBand="0" w:noVBand="1"/>
      </w:tblPr>
      <w:tblGrid>
        <w:gridCol w:w="3055"/>
        <w:gridCol w:w="6018"/>
      </w:tblGrid>
      <w:tr w:rsidR="005D5113" w:rsidRPr="007363CD" w14:paraId="60B4C88F" w14:textId="77777777">
        <w:trPr>
          <w:trHeight w:val="251"/>
        </w:trPr>
        <w:tc>
          <w:tcPr>
            <w:tcW w:w="3055" w:type="dxa"/>
          </w:tcPr>
          <w:p w14:paraId="0000004B" w14:textId="4BE2E1C1" w:rsidR="005D5113" w:rsidRPr="007363CD" w:rsidRDefault="002776C5" w:rsidP="0074642E">
            <w:pPr>
              <w:jc w:val="left"/>
            </w:pPr>
            <w:r w:rsidRPr="007363CD">
              <w:t>Poradkyňa</w:t>
            </w:r>
            <w:r w:rsidR="007363CD">
              <w:t xml:space="preserve"> a </w:t>
            </w:r>
            <w:r w:rsidRPr="007363CD">
              <w:t>poradca</w:t>
            </w:r>
          </w:p>
        </w:tc>
        <w:tc>
          <w:tcPr>
            <w:tcW w:w="6018" w:type="dxa"/>
          </w:tcPr>
          <w:p w14:paraId="0000004C" w14:textId="77777777" w:rsidR="005D5113" w:rsidRPr="007363CD" w:rsidRDefault="002776C5" w:rsidP="0074642E">
            <w:pPr>
              <w:jc w:val="left"/>
            </w:pPr>
            <w:r w:rsidRPr="007363CD">
              <w:t xml:space="preserve">Laura BLAŽEVIĆ (za spravodajcu, </w:t>
            </w:r>
            <w:proofErr w:type="spellStart"/>
            <w:r w:rsidRPr="007363CD">
              <w:t>sk</w:t>
            </w:r>
            <w:proofErr w:type="spellEnd"/>
            <w:r w:rsidRPr="007363CD">
              <w:t>. I)</w:t>
            </w:r>
          </w:p>
          <w:p w14:paraId="0000004D" w14:textId="77777777" w:rsidR="005D5113" w:rsidRPr="007363CD" w:rsidRDefault="002776C5" w:rsidP="0074642E">
            <w:pPr>
              <w:jc w:val="left"/>
            </w:pPr>
            <w:r w:rsidRPr="007363CD">
              <w:t xml:space="preserve">Robin ROELS (za </w:t>
            </w:r>
            <w:proofErr w:type="spellStart"/>
            <w:r w:rsidRPr="007363CD">
              <w:t>spoluspravodajkyňu</w:t>
            </w:r>
            <w:proofErr w:type="spellEnd"/>
            <w:r w:rsidRPr="007363CD">
              <w:t>, kat. 3)</w:t>
            </w:r>
          </w:p>
        </w:tc>
      </w:tr>
      <w:tr w:rsidR="005D5113" w:rsidRPr="007363CD" w14:paraId="127F0E83" w14:textId="77777777">
        <w:trPr>
          <w:trHeight w:val="251"/>
        </w:trPr>
        <w:tc>
          <w:tcPr>
            <w:tcW w:w="3055" w:type="dxa"/>
          </w:tcPr>
          <w:p w14:paraId="0000004E" w14:textId="77777777" w:rsidR="005D5113" w:rsidRPr="007363CD" w:rsidRDefault="005D5113" w:rsidP="0074642E">
            <w:pPr>
              <w:jc w:val="left"/>
            </w:pPr>
          </w:p>
        </w:tc>
        <w:tc>
          <w:tcPr>
            <w:tcW w:w="6018" w:type="dxa"/>
          </w:tcPr>
          <w:p w14:paraId="0000004F" w14:textId="77777777" w:rsidR="005D5113" w:rsidRPr="007363CD" w:rsidRDefault="005D5113" w:rsidP="0074642E">
            <w:pPr>
              <w:jc w:val="left"/>
            </w:pPr>
          </w:p>
        </w:tc>
      </w:tr>
      <w:tr w:rsidR="005D5113" w:rsidRPr="007363CD" w14:paraId="2F5C7508" w14:textId="77777777">
        <w:tc>
          <w:tcPr>
            <w:tcW w:w="3055" w:type="dxa"/>
          </w:tcPr>
          <w:p w14:paraId="00000050" w14:textId="77777777" w:rsidR="005D5113" w:rsidRPr="007363CD" w:rsidRDefault="002776C5" w:rsidP="0074642E">
            <w:pPr>
              <w:jc w:val="left"/>
            </w:pPr>
            <w:r w:rsidRPr="007363CD">
              <w:t>Rozhodnutie plenárneho zhromaždenia</w:t>
            </w:r>
          </w:p>
        </w:tc>
        <w:tc>
          <w:tcPr>
            <w:tcW w:w="6018" w:type="dxa"/>
          </w:tcPr>
          <w:p w14:paraId="0A60DF72" w14:textId="77777777" w:rsidR="00440E35" w:rsidRDefault="00440E35" w:rsidP="0074642E">
            <w:pPr>
              <w:jc w:val="left"/>
            </w:pPr>
          </w:p>
          <w:p w14:paraId="00000051" w14:textId="568D6B79" w:rsidR="005D5113" w:rsidRPr="007363CD" w:rsidRDefault="00775540" w:rsidP="0074642E">
            <w:pPr>
              <w:jc w:val="left"/>
            </w:pPr>
            <w:r w:rsidRPr="007363CD">
              <w:t>2/12/2025</w:t>
            </w:r>
          </w:p>
        </w:tc>
      </w:tr>
      <w:tr w:rsidR="005D5113" w:rsidRPr="007363CD" w14:paraId="09028BA7" w14:textId="77777777">
        <w:tc>
          <w:tcPr>
            <w:tcW w:w="3055" w:type="dxa"/>
          </w:tcPr>
          <w:p w14:paraId="00000052" w14:textId="18352EE3" w:rsidR="005D5113" w:rsidRPr="007363CD" w:rsidRDefault="002776C5" w:rsidP="0074642E">
            <w:pPr>
              <w:jc w:val="left"/>
            </w:pPr>
            <w:r w:rsidRPr="007363CD">
              <w:t>Žiadosť</w:t>
            </w:r>
            <w:r w:rsidR="007363CD">
              <w:t xml:space="preserve"> o </w:t>
            </w:r>
            <w:r w:rsidRPr="007363CD">
              <w:t>konzultáciu</w:t>
            </w:r>
          </w:p>
        </w:tc>
        <w:tc>
          <w:tcPr>
            <w:tcW w:w="6018" w:type="dxa"/>
          </w:tcPr>
          <w:p w14:paraId="00000053" w14:textId="14B94D4D" w:rsidR="005D5113" w:rsidRPr="007363CD" w:rsidRDefault="000316A4" w:rsidP="0074642E">
            <w:pPr>
              <w:jc w:val="left"/>
            </w:pPr>
            <w:r w:rsidRPr="007363CD">
              <w:t>Európska komisia, 24/2/2026</w:t>
            </w:r>
          </w:p>
        </w:tc>
      </w:tr>
      <w:tr w:rsidR="005D5113" w:rsidRPr="007363CD" w14:paraId="41B42DAE" w14:textId="77777777">
        <w:tc>
          <w:tcPr>
            <w:tcW w:w="3055" w:type="dxa"/>
          </w:tcPr>
          <w:p w14:paraId="00000054" w14:textId="77777777" w:rsidR="005D5113" w:rsidRPr="007363CD" w:rsidRDefault="002776C5" w:rsidP="0074642E">
            <w:pPr>
              <w:jc w:val="left"/>
            </w:pPr>
            <w:r w:rsidRPr="007363CD">
              <w:t>Právny základ</w:t>
            </w:r>
          </w:p>
        </w:tc>
        <w:tc>
          <w:tcPr>
            <w:tcW w:w="6018" w:type="dxa"/>
          </w:tcPr>
          <w:p w14:paraId="00000055" w14:textId="00E809C7" w:rsidR="005D5113" w:rsidRPr="007363CD" w:rsidRDefault="002776C5" w:rsidP="0074642E">
            <w:pPr>
              <w:jc w:val="left"/>
            </w:pPr>
            <w:r w:rsidRPr="007363CD">
              <w:t>článok 304 Zmluvy</w:t>
            </w:r>
            <w:r w:rsidR="007363CD">
              <w:t xml:space="preserve"> o </w:t>
            </w:r>
            <w:r w:rsidRPr="007363CD">
              <w:t>fungovaní Európskej únie</w:t>
            </w:r>
          </w:p>
        </w:tc>
      </w:tr>
      <w:tr w:rsidR="005D5113" w:rsidRPr="007363CD" w14:paraId="384945E7" w14:textId="77777777">
        <w:tc>
          <w:tcPr>
            <w:tcW w:w="3055" w:type="dxa"/>
          </w:tcPr>
          <w:p w14:paraId="00000056" w14:textId="77777777" w:rsidR="005D5113" w:rsidRPr="007363CD" w:rsidRDefault="002776C5" w:rsidP="0074642E">
            <w:pPr>
              <w:jc w:val="left"/>
            </w:pPr>
            <w:r w:rsidRPr="007363CD">
              <w:t>Príslušná sekcia</w:t>
            </w:r>
          </w:p>
        </w:tc>
        <w:tc>
          <w:tcPr>
            <w:tcW w:w="6018" w:type="dxa"/>
          </w:tcPr>
          <w:p w14:paraId="00000057" w14:textId="77777777" w:rsidR="005D5113" w:rsidRPr="007363CD" w:rsidRDefault="002776C5" w:rsidP="0074642E">
            <w:pPr>
              <w:jc w:val="left"/>
            </w:pPr>
            <w:r w:rsidRPr="007363CD">
              <w:t>poradná komisia pre priemyselné zmeny</w:t>
            </w:r>
          </w:p>
        </w:tc>
      </w:tr>
      <w:tr w:rsidR="005D5113" w:rsidRPr="007363CD" w14:paraId="6E0B72A7" w14:textId="77777777">
        <w:tc>
          <w:tcPr>
            <w:tcW w:w="3055" w:type="dxa"/>
          </w:tcPr>
          <w:p w14:paraId="00000058" w14:textId="7044A896" w:rsidR="005D5113" w:rsidRPr="007363CD" w:rsidRDefault="002776C5" w:rsidP="0074642E">
            <w:pPr>
              <w:jc w:val="left"/>
            </w:pPr>
            <w:r w:rsidRPr="007363CD">
              <w:t>Prijaté</w:t>
            </w:r>
            <w:r w:rsidR="007363CD">
              <w:t xml:space="preserve"> v </w:t>
            </w:r>
            <w:r w:rsidRPr="007363CD">
              <w:t>sekcii</w:t>
            </w:r>
          </w:p>
        </w:tc>
        <w:tc>
          <w:tcPr>
            <w:tcW w:w="6018" w:type="dxa"/>
          </w:tcPr>
          <w:p w14:paraId="00000059" w14:textId="38F06EBD" w:rsidR="005D5113" w:rsidRPr="007363CD" w:rsidRDefault="000316A4" w:rsidP="0074642E">
            <w:pPr>
              <w:jc w:val="left"/>
            </w:pPr>
            <w:r w:rsidRPr="007363CD">
              <w:t>20/5/2026</w:t>
            </w:r>
          </w:p>
        </w:tc>
      </w:tr>
      <w:tr w:rsidR="005D5113" w:rsidRPr="007363CD" w14:paraId="483A524D" w14:textId="77777777">
        <w:tc>
          <w:tcPr>
            <w:tcW w:w="3055" w:type="dxa"/>
          </w:tcPr>
          <w:p w14:paraId="0000005A" w14:textId="77777777" w:rsidR="005D5113" w:rsidRPr="007363CD" w:rsidRDefault="002776C5" w:rsidP="0074642E">
            <w:pPr>
              <w:jc w:val="left"/>
            </w:pPr>
            <w:r w:rsidRPr="007363CD">
              <w:t>Výsledok hlasovania</w:t>
            </w:r>
            <w:r w:rsidRPr="007363CD">
              <w:br/>
              <w:t>(za/proti/zdržalo sa)</w:t>
            </w:r>
          </w:p>
        </w:tc>
        <w:tc>
          <w:tcPr>
            <w:tcW w:w="6018" w:type="dxa"/>
            <w:vAlign w:val="bottom"/>
          </w:tcPr>
          <w:p w14:paraId="0000005B" w14:textId="1E50CE87" w:rsidR="005D5113" w:rsidRPr="007363CD" w:rsidRDefault="000316A4" w:rsidP="0074642E">
            <w:pPr>
              <w:jc w:val="left"/>
            </w:pPr>
            <w:r w:rsidRPr="007363CD">
              <w:t>22/0/0</w:t>
            </w:r>
          </w:p>
        </w:tc>
      </w:tr>
      <w:tr w:rsidR="005D5113" w:rsidRPr="007363CD" w14:paraId="00742187" w14:textId="77777777">
        <w:tc>
          <w:tcPr>
            <w:tcW w:w="3055" w:type="dxa"/>
          </w:tcPr>
          <w:p w14:paraId="0000005C" w14:textId="77777777" w:rsidR="005D5113" w:rsidRPr="007363CD" w:rsidRDefault="002776C5" w:rsidP="0074642E">
            <w:pPr>
              <w:jc w:val="left"/>
            </w:pPr>
            <w:r w:rsidRPr="007363CD">
              <w:t>Prijaté na plenárnom zasadnutí</w:t>
            </w:r>
          </w:p>
        </w:tc>
        <w:tc>
          <w:tcPr>
            <w:tcW w:w="6018" w:type="dxa"/>
          </w:tcPr>
          <w:p w14:paraId="0000005D" w14:textId="77777777" w:rsidR="005D5113" w:rsidRPr="007363CD" w:rsidRDefault="002776C5" w:rsidP="0074642E">
            <w:pPr>
              <w:jc w:val="left"/>
            </w:pPr>
            <w:r w:rsidRPr="007363CD">
              <w:t>D/M/YYYY</w:t>
            </w:r>
          </w:p>
        </w:tc>
      </w:tr>
      <w:tr w:rsidR="005D5113" w:rsidRPr="007363CD" w14:paraId="0236EB73" w14:textId="77777777">
        <w:tc>
          <w:tcPr>
            <w:tcW w:w="3055" w:type="dxa"/>
          </w:tcPr>
          <w:p w14:paraId="0000005E" w14:textId="77777777" w:rsidR="005D5113" w:rsidRPr="007363CD" w:rsidRDefault="002776C5" w:rsidP="0074642E">
            <w:pPr>
              <w:jc w:val="left"/>
            </w:pPr>
            <w:r w:rsidRPr="007363CD">
              <w:t>Plenárne zasadnutie č.</w:t>
            </w:r>
          </w:p>
        </w:tc>
        <w:tc>
          <w:tcPr>
            <w:tcW w:w="6018" w:type="dxa"/>
          </w:tcPr>
          <w:p w14:paraId="0000005F" w14:textId="1D0FC725" w:rsidR="005D5113" w:rsidRPr="007363CD" w:rsidRDefault="000316A4" w:rsidP="0074642E">
            <w:pPr>
              <w:jc w:val="left"/>
            </w:pPr>
            <w:r w:rsidRPr="007363CD">
              <w:t>606</w:t>
            </w:r>
          </w:p>
        </w:tc>
      </w:tr>
      <w:tr w:rsidR="005D5113" w:rsidRPr="007363CD" w14:paraId="0FF33F1F" w14:textId="77777777">
        <w:tc>
          <w:tcPr>
            <w:tcW w:w="3055" w:type="dxa"/>
          </w:tcPr>
          <w:p w14:paraId="00000060" w14:textId="77777777" w:rsidR="005D5113" w:rsidRPr="007363CD" w:rsidRDefault="002776C5" w:rsidP="0074642E">
            <w:pPr>
              <w:jc w:val="left"/>
            </w:pPr>
            <w:r w:rsidRPr="007363CD">
              <w:t>Výsledok hlasovania</w:t>
            </w:r>
            <w:r w:rsidRPr="007363CD">
              <w:br/>
              <w:t>(za/proti/zdržalo sa)</w:t>
            </w:r>
          </w:p>
        </w:tc>
        <w:tc>
          <w:tcPr>
            <w:tcW w:w="6018" w:type="dxa"/>
            <w:vAlign w:val="bottom"/>
          </w:tcPr>
          <w:p w14:paraId="00000061" w14:textId="77777777" w:rsidR="005D5113" w:rsidRPr="007363CD" w:rsidRDefault="002776C5" w:rsidP="0074642E">
            <w:pPr>
              <w:jc w:val="left"/>
            </w:pPr>
            <w:r w:rsidRPr="007363CD">
              <w:t>…/…/…</w:t>
            </w:r>
          </w:p>
        </w:tc>
      </w:tr>
    </w:tbl>
    <w:p w14:paraId="00000062" w14:textId="77777777" w:rsidR="005D5113" w:rsidRPr="007363CD" w:rsidRDefault="002776C5" w:rsidP="0074642E">
      <w:r w:rsidRPr="007363CD">
        <w:br w:type="page"/>
      </w:r>
    </w:p>
    <w:p w14:paraId="60367ABB" w14:textId="228DA8C9" w:rsidR="00220241" w:rsidRPr="00440E35" w:rsidRDefault="00220241" w:rsidP="00F34E97">
      <w:pPr>
        <w:pStyle w:val="Heading1"/>
        <w:numPr>
          <w:ilvl w:val="0"/>
          <w:numId w:val="1"/>
        </w:numPr>
        <w:ind w:left="567" w:hanging="567"/>
      </w:pPr>
      <w:r w:rsidRPr="007363CD">
        <w:rPr>
          <w:b/>
        </w:rPr>
        <w:lastRenderedPageBreak/>
        <w:t>Závery</w:t>
      </w:r>
      <w:r w:rsidR="007363CD">
        <w:rPr>
          <w:b/>
        </w:rPr>
        <w:t xml:space="preserve"> a </w:t>
      </w:r>
      <w:r w:rsidRPr="007363CD">
        <w:rPr>
          <w:b/>
        </w:rPr>
        <w:t>odporúčania</w:t>
      </w:r>
    </w:p>
    <w:p w14:paraId="1A622280" w14:textId="77777777" w:rsidR="00220241" w:rsidRPr="00440E35" w:rsidRDefault="00220241" w:rsidP="0074642E"/>
    <w:p w14:paraId="00000063" w14:textId="45CFC19A" w:rsidR="005D5113" w:rsidRPr="007363CD" w:rsidRDefault="002776C5" w:rsidP="0074642E">
      <w:pPr>
        <w:ind w:left="567"/>
      </w:pPr>
      <w:r w:rsidRPr="007363CD">
        <w:t xml:space="preserve">EHSV považuje akčný plán </w:t>
      </w:r>
      <w:proofErr w:type="spellStart"/>
      <w:r w:rsidRPr="007363CD">
        <w:t>RESourceEU</w:t>
      </w:r>
      <w:proofErr w:type="spellEnd"/>
      <w:r w:rsidRPr="007363CD">
        <w:t xml:space="preserve"> za dôležitý krok</w:t>
      </w:r>
      <w:r w:rsidR="007363CD">
        <w:t xml:space="preserve"> k </w:t>
      </w:r>
      <w:r w:rsidRPr="007363CD">
        <w:t>posilneniu odolnosti hodnotových reťazcov kritických surovín</w:t>
      </w:r>
      <w:r w:rsidR="007363CD">
        <w:t xml:space="preserve"> v </w:t>
      </w:r>
      <w:r w:rsidRPr="007363CD">
        <w:t>EÚ</w:t>
      </w:r>
      <w:r w:rsidR="007363CD">
        <w:t xml:space="preserve"> a k </w:t>
      </w:r>
      <w:r w:rsidRPr="007363CD">
        <w:t>zníženiu strategických závislostí. Dosiahnutie tohto cieľa si však bude vyžadovať vyvážený prístup, ktorý kombinuje väčšiu európsku výrobnú kapacitu, obehovosť</w:t>
      </w:r>
      <w:r w:rsidR="007363CD">
        <w:t xml:space="preserve"> a </w:t>
      </w:r>
      <w:r w:rsidRPr="007363CD">
        <w:t>zodpovedné medzinárodné partnerstvá</w:t>
      </w:r>
      <w:r w:rsidR="007363CD">
        <w:t xml:space="preserve"> s </w:t>
      </w:r>
      <w:r w:rsidRPr="007363CD">
        <w:t>konkurencieschopnými cenami energie, uskutočniteľnými regulačnými rámcami</w:t>
      </w:r>
      <w:r w:rsidR="007363CD">
        <w:t xml:space="preserve"> a </w:t>
      </w:r>
      <w:r w:rsidRPr="007363CD">
        <w:t>spoľahlivými environmentálnymi</w:t>
      </w:r>
      <w:r w:rsidR="007363CD">
        <w:t xml:space="preserve"> a </w:t>
      </w:r>
      <w:r w:rsidRPr="007363CD">
        <w:t>sociálnymi zárukami. EHSV preto zdôrazňuje nasledujúce priority:</w:t>
      </w:r>
    </w:p>
    <w:p w14:paraId="00000064" w14:textId="77777777" w:rsidR="005D5113" w:rsidRPr="007363CD" w:rsidRDefault="005D5113" w:rsidP="0074642E"/>
    <w:p w14:paraId="00000065" w14:textId="4247901A" w:rsidR="005D5113" w:rsidRPr="007363CD" w:rsidRDefault="005B7F88" w:rsidP="00F34E97">
      <w:pPr>
        <w:pStyle w:val="Heading2"/>
        <w:numPr>
          <w:ilvl w:val="1"/>
          <w:numId w:val="1"/>
        </w:numPr>
        <w:ind w:left="567" w:hanging="567"/>
      </w:pPr>
      <w:r w:rsidRPr="007363CD">
        <w:rPr>
          <w:b/>
        </w:rPr>
        <w:t>uľahčenie strategických európskych projektov</w:t>
      </w:r>
      <w:r w:rsidR="007363CD">
        <w:rPr>
          <w:b/>
        </w:rPr>
        <w:t xml:space="preserve"> a </w:t>
      </w:r>
      <w:r w:rsidRPr="007363CD">
        <w:rPr>
          <w:b/>
        </w:rPr>
        <w:t>rýchlejšieho vydávania povolení:</w:t>
      </w:r>
      <w:r w:rsidRPr="007363CD">
        <w:t xml:space="preserve"> znížiť štrukturálne vysoké ceny energie pre priemysel</w:t>
      </w:r>
      <w:r w:rsidR="007363CD">
        <w:t xml:space="preserve"> a </w:t>
      </w:r>
      <w:r w:rsidRPr="007363CD">
        <w:t>uľahčiť uzatváranie dlhodobých zmlúv</w:t>
      </w:r>
      <w:r w:rsidR="007363CD">
        <w:t xml:space="preserve"> o </w:t>
      </w:r>
      <w:r w:rsidRPr="007363CD">
        <w:t>nákupe elektriny. Zabezpečiť podporu elektrifikácie prostredníctvom rámca štátnej pomoci pre Dohodu</w:t>
      </w:r>
      <w:r w:rsidR="007363CD">
        <w:t xml:space="preserve"> o </w:t>
      </w:r>
      <w:r w:rsidRPr="007363CD">
        <w:t>čistom priemysle pre energeticky náročné priemyselné odvetvia vrátane Inovačného fondu</w:t>
      </w:r>
      <w:r w:rsidR="007363CD">
        <w:t xml:space="preserve"> a </w:t>
      </w:r>
      <w:r w:rsidRPr="007363CD">
        <w:t>zároveň zabezpečiť účinnosť systému EU ETS</w:t>
      </w:r>
      <w:r w:rsidR="007363CD">
        <w:t xml:space="preserve"> a </w:t>
      </w:r>
      <w:r w:rsidRPr="007363CD">
        <w:t>aby iniciatívy, ako je taxonómia EÚ, uľahčovali strategickým projektom prístup</w:t>
      </w:r>
      <w:r w:rsidR="007363CD">
        <w:t xml:space="preserve"> k </w:t>
      </w:r>
      <w:r w:rsidRPr="007363CD">
        <w:t>financovaniu;</w:t>
      </w:r>
    </w:p>
    <w:p w14:paraId="00000066" w14:textId="1727847A" w:rsidR="005D5113" w:rsidRPr="007363CD" w:rsidRDefault="005D5113" w:rsidP="00F34E97"/>
    <w:p w14:paraId="00000067" w14:textId="6E7153A4" w:rsidR="005D5113" w:rsidRPr="007363CD" w:rsidRDefault="005B7F88" w:rsidP="00F34E97">
      <w:pPr>
        <w:pStyle w:val="Heading2"/>
        <w:numPr>
          <w:ilvl w:val="1"/>
          <w:numId w:val="1"/>
        </w:numPr>
        <w:ind w:left="567" w:hanging="567"/>
      </w:pPr>
      <w:r w:rsidRPr="007363CD">
        <w:t>hoci EHSV uznáva nadchádzajúcu revíziu rámcovej smernice</w:t>
      </w:r>
      <w:r w:rsidR="007363CD">
        <w:t xml:space="preserve"> o </w:t>
      </w:r>
      <w:r w:rsidRPr="007363CD">
        <w:t>vode, zdôrazňuje, že tento proces nesmie viesť</w:t>
      </w:r>
      <w:r w:rsidR="007363CD">
        <w:t xml:space="preserve"> k </w:t>
      </w:r>
      <w:r w:rsidRPr="007363CD">
        <w:t>žiadnemu zníženiu environmentálnych noriem;</w:t>
      </w:r>
    </w:p>
    <w:p w14:paraId="6A2D5E95" w14:textId="77777777" w:rsidR="00220241" w:rsidRPr="007363CD" w:rsidRDefault="00220241" w:rsidP="0074642E"/>
    <w:p w14:paraId="00000069" w14:textId="54A90633" w:rsidR="005D5113" w:rsidRPr="007363CD" w:rsidRDefault="005B7F88" w:rsidP="00F34E97">
      <w:pPr>
        <w:pStyle w:val="Heading2"/>
        <w:numPr>
          <w:ilvl w:val="1"/>
          <w:numId w:val="1"/>
        </w:numPr>
        <w:ind w:left="567" w:hanging="567"/>
        <w:rPr>
          <w:color w:val="000000"/>
        </w:rPr>
      </w:pPr>
      <w:r w:rsidRPr="007363CD">
        <w:rPr>
          <w:b/>
        </w:rPr>
        <w:t>zlepšenie recyklácie</w:t>
      </w:r>
      <w:r w:rsidR="007363CD">
        <w:rPr>
          <w:b/>
        </w:rPr>
        <w:t xml:space="preserve"> a </w:t>
      </w:r>
      <w:r w:rsidRPr="007363CD">
        <w:rPr>
          <w:b/>
        </w:rPr>
        <w:t>opätovného použitia kritických surovín:</w:t>
      </w:r>
      <w:r w:rsidRPr="007363CD">
        <w:t xml:space="preserve"> zaviesť jednotné vývozné clo na hliníkový šrot</w:t>
      </w:r>
      <w:r w:rsidR="007363CD">
        <w:t xml:space="preserve"> s </w:t>
      </w:r>
      <w:r w:rsidRPr="007363CD">
        <w:t>cieľom zachovať hodnotu</w:t>
      </w:r>
      <w:r w:rsidR="007363CD">
        <w:t xml:space="preserve"> v </w:t>
      </w:r>
      <w:r w:rsidRPr="007363CD">
        <w:t>rámci EÚ</w:t>
      </w:r>
      <w:r w:rsidR="007363CD">
        <w:t xml:space="preserve"> a </w:t>
      </w:r>
      <w:r w:rsidRPr="007363CD">
        <w:t>zlepšiť obeh odpadu</w:t>
      </w:r>
      <w:r w:rsidR="007363CD">
        <w:t xml:space="preserve"> z </w:t>
      </w:r>
      <w:r w:rsidRPr="007363CD">
        <w:t>kritických surovín prostredníctvom zjednodušených</w:t>
      </w:r>
      <w:r w:rsidR="007363CD">
        <w:t xml:space="preserve"> a </w:t>
      </w:r>
      <w:r w:rsidRPr="007363CD">
        <w:t>digitalizovaných postupov podľa nariadenia</w:t>
      </w:r>
      <w:r w:rsidR="007363CD">
        <w:t xml:space="preserve"> o </w:t>
      </w:r>
      <w:r w:rsidRPr="007363CD">
        <w:t>preprave odpadu</w:t>
      </w:r>
      <w:r w:rsidR="007363CD">
        <w:t xml:space="preserve"> s </w:t>
      </w:r>
      <w:r w:rsidRPr="007363CD">
        <w:t>jasným vymedzením odpadu</w:t>
      </w:r>
      <w:r w:rsidR="007363CD">
        <w:t xml:space="preserve"> a </w:t>
      </w:r>
      <w:r w:rsidRPr="007363CD">
        <w:t>druhotných surovín na uľahčenie recyklácie</w:t>
      </w:r>
      <w:r w:rsidR="007363CD">
        <w:t xml:space="preserve"> a </w:t>
      </w:r>
      <w:r w:rsidRPr="007363CD">
        <w:t>zhodnocovania.</w:t>
      </w:r>
      <w:r w:rsidRPr="007363CD">
        <w:rPr>
          <w:color w:val="000000"/>
        </w:rPr>
        <w:t xml:space="preserve"> Súdržnosť politík musí zahŕňať ciele znižovania materiálovej stopy</w:t>
      </w:r>
      <w:r w:rsidR="007363CD">
        <w:rPr>
          <w:color w:val="000000"/>
        </w:rPr>
        <w:t xml:space="preserve"> a </w:t>
      </w:r>
      <w:r w:rsidRPr="007363CD">
        <w:rPr>
          <w:color w:val="000000"/>
        </w:rPr>
        <w:t>odvetvové plány na zníženie materiálovej náročnosti</w:t>
      </w:r>
      <w:r w:rsidR="007363CD">
        <w:rPr>
          <w:color w:val="000000"/>
        </w:rPr>
        <w:t xml:space="preserve"> s </w:t>
      </w:r>
      <w:r w:rsidRPr="007363CD">
        <w:rPr>
          <w:color w:val="000000"/>
        </w:rPr>
        <w:t>cieľom zmierniť kritickosť</w:t>
      </w:r>
      <w:r w:rsidR="007363CD">
        <w:rPr>
          <w:color w:val="000000"/>
        </w:rPr>
        <w:t xml:space="preserve"> v </w:t>
      </w:r>
      <w:r w:rsidRPr="007363CD">
        <w:rPr>
          <w:color w:val="000000"/>
        </w:rPr>
        <w:t>nadväzujúcich odvetviach;</w:t>
      </w:r>
    </w:p>
    <w:p w14:paraId="385CEC43" w14:textId="77777777" w:rsidR="00220241" w:rsidRPr="004D7CF2" w:rsidRDefault="00220241" w:rsidP="0025489C">
      <w:pPr>
        <w:rPr>
          <w:color w:val="000000"/>
        </w:rPr>
      </w:pPr>
    </w:p>
    <w:p w14:paraId="0000006B" w14:textId="2A5A7990" w:rsidR="005D5113" w:rsidRPr="007363CD" w:rsidRDefault="005B7F88" w:rsidP="00F34E97">
      <w:pPr>
        <w:pStyle w:val="Heading2"/>
        <w:numPr>
          <w:ilvl w:val="1"/>
          <w:numId w:val="1"/>
        </w:numPr>
        <w:ind w:left="567" w:hanging="567"/>
      </w:pPr>
      <w:r w:rsidRPr="007363CD">
        <w:rPr>
          <w:b/>
        </w:rPr>
        <w:t>podpora investícií</w:t>
      </w:r>
      <w:r w:rsidR="007363CD">
        <w:rPr>
          <w:b/>
        </w:rPr>
        <w:t xml:space="preserve"> a </w:t>
      </w:r>
      <w:r w:rsidRPr="007363CD">
        <w:rPr>
          <w:b/>
        </w:rPr>
        <w:t>rozvoja trhu:</w:t>
      </w:r>
      <w:r w:rsidRPr="007363CD">
        <w:t xml:space="preserve"> posilniť odolnosť materiálových hodnotových reťazcov EÚ kombináciou zvýšenej domácej výroby</w:t>
      </w:r>
      <w:r w:rsidR="007363CD">
        <w:t xml:space="preserve"> s </w:t>
      </w:r>
      <w:r w:rsidRPr="007363CD">
        <w:t xml:space="preserve">opatreniami na strane dopytu, ako je materiálová efektívnosť, </w:t>
      </w:r>
      <w:proofErr w:type="spellStart"/>
      <w:r w:rsidRPr="007363CD">
        <w:t>ekodizajn</w:t>
      </w:r>
      <w:proofErr w:type="spellEnd"/>
      <w:r w:rsidR="007363CD">
        <w:t xml:space="preserve"> a </w:t>
      </w:r>
      <w:r w:rsidRPr="007363CD">
        <w:t>vyššia miera recyklácie.</w:t>
      </w:r>
      <w:r w:rsidRPr="007363CD">
        <w:rPr>
          <w:color w:val="000000"/>
        </w:rPr>
        <w:t xml:space="preserve"> Vytváranie zásob by malo skôr dopĺňať než nahrádzať domácu výrobu, spracovanie</w:t>
      </w:r>
      <w:r w:rsidR="007363CD">
        <w:rPr>
          <w:color w:val="000000"/>
        </w:rPr>
        <w:t xml:space="preserve"> a </w:t>
      </w:r>
      <w:r w:rsidRPr="007363CD">
        <w:rPr>
          <w:color w:val="000000"/>
        </w:rPr>
        <w:t>recykláciu</w:t>
      </w:r>
      <w:r w:rsidR="007363CD">
        <w:rPr>
          <w:color w:val="000000"/>
        </w:rPr>
        <w:t xml:space="preserve"> v </w:t>
      </w:r>
      <w:r w:rsidRPr="007363CD">
        <w:rPr>
          <w:color w:val="000000"/>
        </w:rPr>
        <w:t>EÚ. Zlepšiť transparentnosť správy surovín prostredníctvom lepších údajov</w:t>
      </w:r>
      <w:r w:rsidR="007363CD">
        <w:rPr>
          <w:color w:val="000000"/>
        </w:rPr>
        <w:t xml:space="preserve"> o </w:t>
      </w:r>
      <w:r w:rsidRPr="007363CD">
        <w:rPr>
          <w:color w:val="000000"/>
        </w:rPr>
        <w:t>materiálových tokoch, úrovniach zásob</w:t>
      </w:r>
      <w:r w:rsidR="007363CD">
        <w:rPr>
          <w:color w:val="000000"/>
        </w:rPr>
        <w:t xml:space="preserve"> a </w:t>
      </w:r>
      <w:r w:rsidRPr="007363CD">
        <w:rPr>
          <w:color w:val="000000"/>
        </w:rPr>
        <w:t>rozhodnutiach</w:t>
      </w:r>
      <w:r w:rsidR="007363CD">
        <w:rPr>
          <w:color w:val="000000"/>
        </w:rPr>
        <w:t xml:space="preserve"> o </w:t>
      </w:r>
      <w:r w:rsidRPr="007363CD">
        <w:rPr>
          <w:color w:val="000000"/>
        </w:rPr>
        <w:t>pridelení prostriedkov;</w:t>
      </w:r>
    </w:p>
    <w:p w14:paraId="6F33E14A" w14:textId="77777777" w:rsidR="00220241" w:rsidRPr="007363CD" w:rsidRDefault="00220241" w:rsidP="0025489C"/>
    <w:p w14:paraId="0000006D" w14:textId="622E712A" w:rsidR="005D5113" w:rsidRPr="007363CD" w:rsidRDefault="005B7F88" w:rsidP="00F34E97">
      <w:pPr>
        <w:pStyle w:val="Heading2"/>
        <w:numPr>
          <w:ilvl w:val="1"/>
          <w:numId w:val="1"/>
        </w:numPr>
        <w:ind w:left="567" w:hanging="567"/>
      </w:pPr>
      <w:r w:rsidRPr="007363CD">
        <w:rPr>
          <w:b/>
          <w:color w:val="000000"/>
        </w:rPr>
        <w:t>budovanie vyvážených medzinárodných partnerstiev:</w:t>
      </w:r>
      <w:r w:rsidRPr="007363CD">
        <w:rPr>
          <w:color w:val="000000"/>
        </w:rPr>
        <w:t xml:space="preserve"> </w:t>
      </w:r>
      <w:proofErr w:type="spellStart"/>
      <w:r w:rsidRPr="007363CD">
        <w:rPr>
          <w:color w:val="000000"/>
        </w:rPr>
        <w:t>diverzifikovať</w:t>
      </w:r>
      <w:proofErr w:type="spellEnd"/>
      <w:r w:rsidRPr="007363CD">
        <w:rPr>
          <w:color w:val="000000"/>
        </w:rPr>
        <w:t xml:space="preserve"> dodávky prostredníctvom strategických partnerstiev</w:t>
      </w:r>
      <w:r w:rsidR="007363CD">
        <w:rPr>
          <w:color w:val="000000"/>
        </w:rPr>
        <w:t xml:space="preserve"> a </w:t>
      </w:r>
      <w:r w:rsidRPr="007363CD">
        <w:rPr>
          <w:color w:val="000000"/>
        </w:rPr>
        <w:t>zároveň posilniť kapacity EÚ</w:t>
      </w:r>
      <w:r w:rsidR="007363CD">
        <w:rPr>
          <w:color w:val="000000"/>
        </w:rPr>
        <w:t xml:space="preserve"> v </w:t>
      </w:r>
      <w:r w:rsidRPr="007363CD">
        <w:rPr>
          <w:color w:val="000000"/>
        </w:rPr>
        <w:t>oblasti ťažby, spracovania, rafinácie</w:t>
      </w:r>
      <w:r w:rsidR="007363CD">
        <w:rPr>
          <w:color w:val="000000"/>
        </w:rPr>
        <w:t xml:space="preserve"> a </w:t>
      </w:r>
      <w:r w:rsidRPr="007363CD">
        <w:rPr>
          <w:color w:val="000000"/>
        </w:rPr>
        <w:t>recyklácie.</w:t>
      </w:r>
      <w:r w:rsidR="007363CD">
        <w:rPr>
          <w:color w:val="000000"/>
        </w:rPr>
        <w:t xml:space="preserve"> V </w:t>
      </w:r>
      <w:r w:rsidRPr="007363CD">
        <w:rPr>
          <w:color w:val="000000"/>
        </w:rPr>
        <w:t>súčasnom geopolitickom prostredí neexistuje žiadna záruka, že doteraz dôveryhodní partneri zostanú stabilnými alebo spoľahlivými dodávateľmi strategických materiálov. Únia by sa preto mala menej spoliehať na jediného partnera</w:t>
      </w:r>
      <w:r w:rsidR="007363CD">
        <w:rPr>
          <w:color w:val="000000"/>
        </w:rPr>
        <w:t xml:space="preserve"> a </w:t>
      </w:r>
      <w:r w:rsidRPr="007363CD">
        <w:rPr>
          <w:color w:val="000000"/>
        </w:rPr>
        <w:t>rozvíjať diverzifikovanú stratégiu partnerstiev založenú na vzájomnom prospechu, transparentnosti</w:t>
      </w:r>
      <w:r w:rsidR="007363CD">
        <w:rPr>
          <w:color w:val="000000"/>
        </w:rPr>
        <w:t xml:space="preserve"> a </w:t>
      </w:r>
      <w:r w:rsidRPr="007363CD">
        <w:rPr>
          <w:color w:val="000000"/>
        </w:rPr>
        <w:t>prísnych environmentálnych</w:t>
      </w:r>
      <w:r w:rsidR="007363CD">
        <w:rPr>
          <w:color w:val="000000"/>
        </w:rPr>
        <w:t xml:space="preserve"> a </w:t>
      </w:r>
      <w:r w:rsidRPr="007363CD">
        <w:rPr>
          <w:color w:val="000000"/>
        </w:rPr>
        <w:t>pracovných normách.</w:t>
      </w:r>
    </w:p>
    <w:p w14:paraId="0000006E" w14:textId="77777777" w:rsidR="005D5113" w:rsidRPr="007363CD" w:rsidRDefault="005D5113" w:rsidP="0074642E"/>
    <w:p w14:paraId="0000006F" w14:textId="77777777" w:rsidR="005D5113" w:rsidRPr="004D7CF2" w:rsidRDefault="002776C5" w:rsidP="004D7CF2">
      <w:pPr>
        <w:pStyle w:val="Heading1"/>
        <w:keepNext/>
        <w:keepLines/>
        <w:numPr>
          <w:ilvl w:val="0"/>
          <w:numId w:val="1"/>
        </w:numPr>
        <w:ind w:left="567" w:hanging="567"/>
      </w:pPr>
      <w:r w:rsidRPr="007363CD">
        <w:rPr>
          <w:b/>
        </w:rPr>
        <w:t>Všeobecné pripomienky</w:t>
      </w:r>
    </w:p>
    <w:p w14:paraId="00000070" w14:textId="77777777" w:rsidR="005D5113" w:rsidRPr="004D7CF2" w:rsidRDefault="005D5113" w:rsidP="004D7CF2">
      <w:pPr>
        <w:keepNext/>
        <w:keepLines/>
      </w:pPr>
    </w:p>
    <w:p w14:paraId="00000071" w14:textId="758C510B" w:rsidR="005D5113" w:rsidRPr="007363CD" w:rsidRDefault="002776C5" w:rsidP="004D7CF2">
      <w:pPr>
        <w:pStyle w:val="Heading2"/>
        <w:keepNext/>
        <w:keepLines/>
        <w:numPr>
          <w:ilvl w:val="1"/>
          <w:numId w:val="1"/>
        </w:numPr>
        <w:ind w:left="567" w:hanging="567"/>
      </w:pPr>
      <w:r w:rsidRPr="007363CD">
        <w:t>Európa vstupuje do novej fázy politiky</w:t>
      </w:r>
      <w:r w:rsidR="007363CD">
        <w:t xml:space="preserve"> v </w:t>
      </w:r>
      <w:r w:rsidRPr="007363CD">
        <w:t>oblasti surovín,</w:t>
      </w:r>
      <w:r w:rsidR="007363CD">
        <w:t xml:space="preserve"> v </w:t>
      </w:r>
      <w:r w:rsidRPr="007363CD">
        <w:t>ktorej rýchlosť, bezpečnosť</w:t>
      </w:r>
      <w:r w:rsidR="007363CD">
        <w:t xml:space="preserve"> a </w:t>
      </w:r>
      <w:r w:rsidRPr="007363CD">
        <w:t xml:space="preserve">priemyselné rozširovanie sú kľúčovými organizačnými zásadami. EHSV uznáva, že je </w:t>
      </w:r>
      <w:r w:rsidRPr="007363CD">
        <w:lastRenderedPageBreak/>
        <w:t>naliehavo potrebné znížiť závislosť od neistých zdrojov</w:t>
      </w:r>
      <w:r w:rsidR="007363CD">
        <w:t xml:space="preserve"> a </w:t>
      </w:r>
      <w:r w:rsidRPr="007363CD">
        <w:t>vybudovať odolné hodnotové reťazce. Nedávne iniciatívy, ako napríklad akt na urýchlenie rozvoja priemyslu, zdôrazňujú potrebu posilniť priemyselnú kapacitu Európy</w:t>
      </w:r>
      <w:r w:rsidR="007363CD">
        <w:t xml:space="preserve"> a </w:t>
      </w:r>
      <w:r w:rsidRPr="007363CD">
        <w:t>znížiť závislosti. Zabezpečenie toho, aby sa suroviny vyrábali</w:t>
      </w:r>
      <w:r w:rsidR="007363CD">
        <w:t xml:space="preserve"> a </w:t>
      </w:r>
      <w:r w:rsidRPr="007363CD">
        <w:t>ich nadväzujúce využitie rozvíjalo</w:t>
      </w:r>
      <w:r w:rsidR="007363CD">
        <w:t xml:space="preserve"> v </w:t>
      </w:r>
      <w:r w:rsidRPr="007363CD">
        <w:t>Európe, je nevyhnutné pre prístup „vyrobené</w:t>
      </w:r>
      <w:r w:rsidR="007363CD">
        <w:t xml:space="preserve"> v </w:t>
      </w:r>
      <w:r w:rsidRPr="007363CD">
        <w:t>EÚ“</w:t>
      </w:r>
      <w:r w:rsidR="007363CD">
        <w:t xml:space="preserve"> a </w:t>
      </w:r>
      <w:r w:rsidRPr="007363CD">
        <w:t>pre zachovanie vedúceho postavenia</w:t>
      </w:r>
      <w:r w:rsidR="007363CD">
        <w:t xml:space="preserve"> v </w:t>
      </w:r>
      <w:r w:rsidRPr="007363CD">
        <w:t>oblasti technológií pri prechode na čistú energiu.</w:t>
      </w:r>
    </w:p>
    <w:p w14:paraId="00000072" w14:textId="77777777" w:rsidR="005D5113" w:rsidRPr="007363CD" w:rsidRDefault="005D5113" w:rsidP="0074642E"/>
    <w:p w14:paraId="00000073" w14:textId="76B93C70" w:rsidR="005D5113" w:rsidRPr="007363CD" w:rsidRDefault="002776C5" w:rsidP="00F34E97">
      <w:pPr>
        <w:pStyle w:val="Heading2"/>
        <w:numPr>
          <w:ilvl w:val="1"/>
          <w:numId w:val="1"/>
        </w:numPr>
        <w:ind w:left="567" w:hanging="567"/>
      </w:pPr>
      <w:r w:rsidRPr="007363CD">
        <w:t>Zároveň však táto naliehavosť nesmie slúžiť ako zámienka pre obchádzanie demokratických postupov. Dôveryhodná stratégia musí rešpektovať záväzné právne predpisy</w:t>
      </w:r>
      <w:r w:rsidR="007363CD">
        <w:t xml:space="preserve"> v </w:t>
      </w:r>
      <w:r w:rsidRPr="007363CD">
        <w:t>oblasti životného prostredia, práva pracovníkov</w:t>
      </w:r>
      <w:r w:rsidR="007363CD">
        <w:t xml:space="preserve"> a </w:t>
      </w:r>
      <w:r w:rsidRPr="007363CD">
        <w:t>účasť verejnosti, aby sa zabránilo oneskoreniam projektov spôsobeným konfliktom, súdnymi spormi</w:t>
      </w:r>
      <w:r w:rsidR="007363CD">
        <w:t xml:space="preserve"> a </w:t>
      </w:r>
      <w:r w:rsidRPr="007363CD">
        <w:t xml:space="preserve">poškodením dobrého mena. </w:t>
      </w:r>
      <w:proofErr w:type="spellStart"/>
      <w:r w:rsidRPr="007363CD">
        <w:t>RESourceEU</w:t>
      </w:r>
      <w:proofErr w:type="spellEnd"/>
      <w:r w:rsidRPr="007363CD">
        <w:t xml:space="preserve"> by sa preto mal posudzovať aj ako zmena riadenia. Nástroje, ako sú spoločný nákup, vytváranie zásob</w:t>
      </w:r>
      <w:r w:rsidR="007363CD">
        <w:t xml:space="preserve"> a </w:t>
      </w:r>
      <w:r w:rsidRPr="007363CD">
        <w:t>strategické stanovovanie priorít, si vyžadujú jasnú zodpovednosť, transparentnosť</w:t>
      </w:r>
      <w:r w:rsidR="007363CD">
        <w:t xml:space="preserve"> a </w:t>
      </w:r>
      <w:r w:rsidRPr="007363CD">
        <w:t>dohľad,</w:t>
      </w:r>
      <w:r w:rsidR="007363CD">
        <w:t xml:space="preserve"> a </w:t>
      </w:r>
      <w:r w:rsidRPr="007363CD">
        <w:t>to aj zo strany sociálnych partnerov</w:t>
      </w:r>
      <w:r w:rsidR="007363CD">
        <w:t xml:space="preserve"> a </w:t>
      </w:r>
      <w:r w:rsidRPr="007363CD">
        <w:t>občianskej spoločnosti. Program konkurencieschopnosti musí byť</w:t>
      </w:r>
      <w:r w:rsidR="007363CD">
        <w:t xml:space="preserve"> v </w:t>
      </w:r>
      <w:r w:rsidRPr="007363CD">
        <w:t>súlade</w:t>
      </w:r>
      <w:r w:rsidR="007363CD">
        <w:t xml:space="preserve"> s </w:t>
      </w:r>
      <w:r w:rsidRPr="007363CD">
        <w:t>prísnymi environmentálnymi</w:t>
      </w:r>
      <w:r w:rsidR="007363CD">
        <w:t xml:space="preserve"> a </w:t>
      </w:r>
      <w:r w:rsidRPr="007363CD">
        <w:t>sociálnymi záväzkami. ako aj demokratickými normami vrátane prístupu</w:t>
      </w:r>
      <w:r w:rsidR="007363CD">
        <w:t xml:space="preserve"> k </w:t>
      </w:r>
      <w:r w:rsidRPr="007363CD">
        <w:t>spravodlivosti.</w:t>
      </w:r>
    </w:p>
    <w:p w14:paraId="00000074" w14:textId="77777777" w:rsidR="005D5113" w:rsidRPr="007363CD" w:rsidRDefault="005D5113" w:rsidP="0074642E"/>
    <w:p w14:paraId="00000075" w14:textId="44ED9F96" w:rsidR="005D5113" w:rsidRPr="007363CD" w:rsidRDefault="002776C5" w:rsidP="00F34E97">
      <w:pPr>
        <w:pStyle w:val="Heading2"/>
        <w:numPr>
          <w:ilvl w:val="1"/>
          <w:numId w:val="1"/>
        </w:numPr>
        <w:ind w:left="567" w:hanging="567"/>
      </w:pPr>
      <w:r w:rsidRPr="007363CD">
        <w:t xml:space="preserve">EHSV víta stratégiu </w:t>
      </w:r>
      <w:proofErr w:type="spellStart"/>
      <w:r w:rsidRPr="007363CD">
        <w:t>RESourceEU</w:t>
      </w:r>
      <w:proofErr w:type="spellEnd"/>
      <w:r w:rsidRPr="007363CD">
        <w:t>, ktorá vychádza</w:t>
      </w:r>
      <w:r w:rsidR="007363CD">
        <w:t xml:space="preserve"> z </w:t>
      </w:r>
      <w:r w:rsidRPr="007363CD">
        <w:t>aktu</w:t>
      </w:r>
      <w:r w:rsidR="007363CD">
        <w:t xml:space="preserve"> o </w:t>
      </w:r>
      <w:r w:rsidRPr="007363CD">
        <w:t>kritických surovinách, Dohody</w:t>
      </w:r>
      <w:r w:rsidR="007363CD">
        <w:t xml:space="preserve"> o </w:t>
      </w:r>
      <w:r w:rsidRPr="007363CD">
        <w:t>čistom priemysle</w:t>
      </w:r>
      <w:r w:rsidR="007363CD">
        <w:t xml:space="preserve"> a </w:t>
      </w:r>
      <w:r w:rsidRPr="007363CD">
        <w:t>akčného plánu pre oceľ</w:t>
      </w:r>
      <w:r w:rsidR="007363CD">
        <w:t xml:space="preserve"> a </w:t>
      </w:r>
      <w:r w:rsidRPr="007363CD">
        <w:t>kovy</w:t>
      </w:r>
      <w:r w:rsidR="007363CD">
        <w:t xml:space="preserve"> s </w:t>
      </w:r>
      <w:r w:rsidRPr="007363CD">
        <w:t>cieľom posilniť odolnosť EÚ voči narušeniam dodávok. Súdržnosť politík musí zahŕňať ciele znižovania materiálovej stopy</w:t>
      </w:r>
      <w:r w:rsidR="007363CD">
        <w:t xml:space="preserve"> a </w:t>
      </w:r>
      <w:r w:rsidRPr="007363CD">
        <w:t>odvetvové plány na zníženie materiálovej náročnosti</w:t>
      </w:r>
      <w:r w:rsidR="007363CD">
        <w:t xml:space="preserve"> s </w:t>
      </w:r>
      <w:r w:rsidRPr="007363CD">
        <w:t>cieľom zmierniť kritickosť, najmä</w:t>
      </w:r>
      <w:r w:rsidR="007363CD">
        <w:t xml:space="preserve"> v </w:t>
      </w:r>
      <w:r w:rsidRPr="007363CD">
        <w:t>oblasti mobility, energetických systémov, stavebníctva</w:t>
      </w:r>
      <w:r w:rsidR="007363CD">
        <w:t xml:space="preserve"> a </w:t>
      </w:r>
      <w:r w:rsidRPr="007363CD">
        <w:t xml:space="preserve">digitálnych výrobkov, spolu so silným </w:t>
      </w:r>
      <w:proofErr w:type="spellStart"/>
      <w:r w:rsidRPr="007363CD">
        <w:t>ekodizajnom</w:t>
      </w:r>
      <w:proofErr w:type="spellEnd"/>
      <w:r w:rsidRPr="007363CD">
        <w:t>, opätovným použitím, opravami</w:t>
      </w:r>
      <w:r w:rsidR="007363CD">
        <w:t xml:space="preserve"> a </w:t>
      </w:r>
      <w:r w:rsidRPr="007363CD">
        <w:t>dlhšou životnosťou výrobkov</w:t>
      </w:r>
      <w:r w:rsidR="007363CD">
        <w:t xml:space="preserve"> a </w:t>
      </w:r>
      <w:r w:rsidRPr="007363CD">
        <w:t>zároveň podporovať európske dodávateľské reťazce, aby uspokojili rastúci dopyt po strategických</w:t>
      </w:r>
      <w:r w:rsidR="007363CD">
        <w:t xml:space="preserve"> a </w:t>
      </w:r>
      <w:r w:rsidRPr="007363CD">
        <w:t>kritických materiáloch.</w:t>
      </w:r>
    </w:p>
    <w:p w14:paraId="00000076" w14:textId="77777777" w:rsidR="005D5113" w:rsidRPr="004D7CF2" w:rsidRDefault="005D5113" w:rsidP="0074642E"/>
    <w:p w14:paraId="00000077" w14:textId="64C05983" w:rsidR="005D5113" w:rsidRPr="007363CD" w:rsidRDefault="002776C5" w:rsidP="00F61A6D">
      <w:pPr>
        <w:pStyle w:val="Heading1"/>
        <w:keepNext/>
        <w:keepLines/>
        <w:numPr>
          <w:ilvl w:val="0"/>
          <w:numId w:val="1"/>
        </w:numPr>
        <w:ind w:left="567" w:hanging="567"/>
      </w:pPr>
      <w:r w:rsidRPr="007363CD">
        <w:rPr>
          <w:b/>
        </w:rPr>
        <w:t>Podpora</w:t>
      </w:r>
      <w:r w:rsidR="007363CD">
        <w:rPr>
          <w:b/>
        </w:rPr>
        <w:t xml:space="preserve"> a </w:t>
      </w:r>
      <w:r w:rsidRPr="007363CD">
        <w:rPr>
          <w:b/>
        </w:rPr>
        <w:t>urýchlenie prioritných projektov</w:t>
      </w:r>
    </w:p>
    <w:p w14:paraId="00000078" w14:textId="77777777" w:rsidR="005D5113" w:rsidRPr="007363CD" w:rsidRDefault="005D5113" w:rsidP="0025489C"/>
    <w:p w14:paraId="00000079" w14:textId="0C9D4ED5" w:rsidR="005D5113" w:rsidRPr="007363CD" w:rsidRDefault="002776C5" w:rsidP="0074642E">
      <w:pPr>
        <w:pStyle w:val="Heading2"/>
        <w:numPr>
          <w:ilvl w:val="1"/>
          <w:numId w:val="1"/>
        </w:numPr>
        <w:ind w:left="567" w:hanging="567"/>
      </w:pPr>
      <w:r w:rsidRPr="007363CD">
        <w:t>EHSV zdôrazňuje, že existujú regulačné rámce na ochranu verejných záujmov, environmentálnej integrity</w:t>
      </w:r>
      <w:r w:rsidR="007363CD">
        <w:t xml:space="preserve"> a </w:t>
      </w:r>
      <w:r w:rsidRPr="007363CD">
        <w:t>práv pracovníkov,</w:t>
      </w:r>
      <w:r w:rsidR="007363CD">
        <w:t xml:space="preserve"> a </w:t>
      </w:r>
      <w:r w:rsidRPr="007363CD">
        <w:t>preto by sa mali zlepšiť. Súčasný rámec čelí prekážkam pri vykonávaní, najmä</w:t>
      </w:r>
      <w:r w:rsidR="007363CD">
        <w:t xml:space="preserve"> v </w:t>
      </w:r>
      <w:r w:rsidRPr="007363CD">
        <w:t>dôsledku obmedzení administratívnych kapacít, kolísania cien energie</w:t>
      </w:r>
      <w:r w:rsidR="007363CD">
        <w:t xml:space="preserve"> a </w:t>
      </w:r>
      <w:r w:rsidRPr="007363CD">
        <w:t>roztrieštenej koordinácie medzi členskými štátmi. Spoločenská akceptácia je rozhodujúcou podmienkou životaschopnosti</w:t>
      </w:r>
      <w:r w:rsidR="007363CD">
        <w:t xml:space="preserve"> a </w:t>
      </w:r>
      <w:r w:rsidRPr="007363CD">
        <w:t>legitímnosti projektu</w:t>
      </w:r>
      <w:r w:rsidR="007363CD">
        <w:t xml:space="preserve"> a </w:t>
      </w:r>
      <w:r w:rsidRPr="007363CD">
        <w:t>vyžaduje si zmysluplné zapojenie komunity</w:t>
      </w:r>
      <w:r w:rsidR="007363CD">
        <w:t xml:space="preserve"> a </w:t>
      </w:r>
      <w:r w:rsidRPr="007363CD">
        <w:t>silný sociálny dialóg od najskorších fáz vrátane povoľovania, financovania</w:t>
      </w:r>
      <w:r w:rsidR="007363CD">
        <w:t xml:space="preserve"> a </w:t>
      </w:r>
      <w:r w:rsidRPr="007363CD">
        <w:t>partnerstiev. Verejné financovanie by malo okrem rozvíjania podnikových projektov podporovať kapacity miestnych samospráv, nezávislé odborné znalosti komunít</w:t>
      </w:r>
      <w:r w:rsidR="007363CD">
        <w:t xml:space="preserve"> a </w:t>
      </w:r>
      <w:r w:rsidRPr="007363CD">
        <w:t>monitorovanie</w:t>
      </w:r>
      <w:r w:rsidR="007363CD">
        <w:t xml:space="preserve"> a </w:t>
      </w:r>
      <w:r w:rsidRPr="007363CD">
        <w:t>presadzovanie.</w:t>
      </w:r>
    </w:p>
    <w:p w14:paraId="0000007A" w14:textId="77777777" w:rsidR="005D5113" w:rsidRPr="007363CD" w:rsidRDefault="005D5113" w:rsidP="0074642E"/>
    <w:p w14:paraId="48C7F0FD" w14:textId="252C92DB" w:rsidR="008F5E24" w:rsidRPr="007363CD" w:rsidRDefault="000647C4" w:rsidP="0074642E">
      <w:pPr>
        <w:pStyle w:val="Heading2"/>
        <w:numPr>
          <w:ilvl w:val="1"/>
          <w:numId w:val="1"/>
        </w:numPr>
        <w:ind w:left="567" w:hanging="567"/>
      </w:pPr>
      <w:r w:rsidRPr="007363CD">
        <w:t>EÚ naďalej trpí štrukturálne vysokými cenami energie</w:t>
      </w:r>
      <w:r w:rsidR="007363CD">
        <w:t xml:space="preserve"> v </w:t>
      </w:r>
      <w:r w:rsidRPr="007363CD">
        <w:t>porovnaní</w:t>
      </w:r>
      <w:r w:rsidR="007363CD">
        <w:t xml:space="preserve"> s </w:t>
      </w:r>
      <w:r w:rsidRPr="007363CD">
        <w:t>hlavnými konkurentmi. Vzhľadom na energeticky náročnú povahu mnohých činností</w:t>
      </w:r>
      <w:r w:rsidR="007363CD">
        <w:t xml:space="preserve"> v </w:t>
      </w:r>
      <w:r w:rsidRPr="007363CD">
        <w:t>oblasti kritických surovín (v</w:t>
      </w:r>
      <w:r w:rsidR="004D7CF2">
        <w:t> </w:t>
      </w:r>
      <w:r w:rsidRPr="007363CD">
        <w:t>niektorých prípadoch predstavujú 50</w:t>
      </w:r>
      <w:r w:rsidR="007363CD">
        <w:t> %</w:t>
      </w:r>
      <w:r w:rsidRPr="007363CD">
        <w:t xml:space="preserve"> prevádzkových nákladov) sú náklady na energiu kľúčovým faktorom pri určovaní životaschopnosti projektu. Hoci Dohoda</w:t>
      </w:r>
      <w:r w:rsidR="007363CD">
        <w:t xml:space="preserve"> o </w:t>
      </w:r>
      <w:r w:rsidRPr="007363CD">
        <w:t>čistom priemysle predstavuje krok správnym smerom, nemala žiadny vplyv na krátkodobé ceny energie.</w:t>
      </w:r>
    </w:p>
    <w:p w14:paraId="3E6BA6E0" w14:textId="77777777" w:rsidR="008F5E24" w:rsidRPr="007363CD" w:rsidRDefault="008F5E24" w:rsidP="008F5E24"/>
    <w:p w14:paraId="0000007D" w14:textId="04DFE4C7" w:rsidR="005D5113" w:rsidRPr="007363CD" w:rsidRDefault="00D16F2F" w:rsidP="00F34E97">
      <w:pPr>
        <w:pStyle w:val="Heading2"/>
        <w:numPr>
          <w:ilvl w:val="1"/>
          <w:numId w:val="1"/>
        </w:numPr>
        <w:ind w:left="567" w:hanging="567"/>
      </w:pPr>
      <w:r w:rsidRPr="007363CD">
        <w:t>Rámec štátnej pomoci pre Dohodou</w:t>
      </w:r>
      <w:r w:rsidR="007363CD">
        <w:t xml:space="preserve"> o </w:t>
      </w:r>
      <w:r w:rsidRPr="007363CD">
        <w:t xml:space="preserve">čistom priemysle umožňuje podporu cien pre priemyselných spotrebiteľov, ale zostáva príliš reštriktívny na to, aby mal zmysluplný vplyv na </w:t>
      </w:r>
      <w:r w:rsidRPr="007363CD">
        <w:lastRenderedPageBreak/>
        <w:t>prevádzkovateľov kritických surovín</w:t>
      </w:r>
      <w:r w:rsidR="002776C5" w:rsidRPr="007363CD">
        <w:rPr>
          <w:sz w:val="24"/>
          <w:szCs w:val="24"/>
          <w:vertAlign w:val="superscript"/>
        </w:rPr>
        <w:footnoteReference w:id="1"/>
      </w:r>
      <w:r w:rsidRPr="007363CD">
        <w:t>. Požiadavky na doplnkovosť</w:t>
      </w:r>
      <w:r w:rsidR="007363CD">
        <w:t xml:space="preserve"> a </w:t>
      </w:r>
      <w:r w:rsidRPr="007363CD">
        <w:t>získavanie zdrojov</w:t>
      </w:r>
      <w:r w:rsidR="00440E35">
        <w:t> – </w:t>
      </w:r>
      <w:r w:rsidRPr="007363CD">
        <w:t>ktoré zvyčajne odrážajú požiadavky uplatňované na obnoviteľný vodík, alebo si vyžadujú prispôsobenie sa ekonomicky</w:t>
      </w:r>
      <w:r w:rsidR="007363CD">
        <w:t xml:space="preserve"> a </w:t>
      </w:r>
      <w:r w:rsidRPr="007363CD">
        <w:t>technologicky neuskutočniteľným možnostiam</w:t>
      </w:r>
      <w:r w:rsidR="00440E35">
        <w:t> – </w:t>
      </w:r>
      <w:r w:rsidRPr="007363CD">
        <w:t>spojené</w:t>
      </w:r>
      <w:r w:rsidR="007363CD">
        <w:t xml:space="preserve"> s </w:t>
      </w:r>
      <w:r w:rsidRPr="007363CD">
        <w:t>podporou elektrifikácie prinášajú riziko vylúčenia energeticky náročných priemyselných odvetví</w:t>
      </w:r>
      <w:r w:rsidR="007363CD">
        <w:t xml:space="preserve"> z </w:t>
      </w:r>
      <w:r w:rsidRPr="007363CD">
        <w:t>prístupu</w:t>
      </w:r>
      <w:r w:rsidR="007363CD">
        <w:t xml:space="preserve"> k </w:t>
      </w:r>
      <w:r w:rsidRPr="007363CD">
        <w:t>podpore. Dochádza</w:t>
      </w:r>
      <w:r w:rsidR="007363CD">
        <w:t xml:space="preserve"> k </w:t>
      </w:r>
      <w:r w:rsidRPr="007363CD">
        <w:t>tomu najmä</w:t>
      </w:r>
      <w:r w:rsidR="007363CD">
        <w:t xml:space="preserve"> v </w:t>
      </w:r>
      <w:r w:rsidRPr="007363CD">
        <w:t>regiónoch,</w:t>
      </w:r>
      <w:r w:rsidR="007363CD">
        <w:t xml:space="preserve"> v </w:t>
      </w:r>
      <w:r w:rsidRPr="007363CD">
        <w:t>ktorých sú elektrizačné sústavy stále</w:t>
      </w:r>
      <w:r w:rsidR="007363CD">
        <w:t xml:space="preserve"> v </w:t>
      </w:r>
      <w:r w:rsidRPr="007363CD">
        <w:t>procese transformácie, hoci elektrifikácia už prináša výrazné zníženie emisií.</w:t>
      </w:r>
    </w:p>
    <w:p w14:paraId="0000007E" w14:textId="77777777" w:rsidR="005D5113" w:rsidRPr="007363CD" w:rsidRDefault="005D5113" w:rsidP="0025489C"/>
    <w:p w14:paraId="0000007F" w14:textId="68BDAEC2" w:rsidR="005D5113" w:rsidRPr="007363CD" w:rsidRDefault="002776C5" w:rsidP="00F34E97">
      <w:pPr>
        <w:pStyle w:val="Heading2"/>
        <w:numPr>
          <w:ilvl w:val="1"/>
          <w:numId w:val="1"/>
        </w:numPr>
        <w:ind w:left="567" w:hanging="567"/>
      </w:pPr>
      <w:r w:rsidRPr="007363CD">
        <w:t>Prekážky pretrvávajú aj pri zavádzaní cielených opatrení na zníženie nákladov na energiu, ako sú dlhodobé zmluvy</w:t>
      </w:r>
      <w:r w:rsidR="007363CD">
        <w:t xml:space="preserve"> o </w:t>
      </w:r>
      <w:r w:rsidRPr="007363CD">
        <w:t>nákupe elektriny. Hlavnou prekážkou je nedostatočná podpora nákladov na prispôsobovanie/tvorbu profilov</w:t>
      </w:r>
      <w:r w:rsidR="007363CD">
        <w:t xml:space="preserve"> a </w:t>
      </w:r>
      <w:r w:rsidRPr="007363CD">
        <w:t>zabezpečenie stability dodávok, ako sa zdôrazňuje</w:t>
      </w:r>
      <w:r w:rsidR="007363CD">
        <w:t xml:space="preserve"> v </w:t>
      </w:r>
      <w:proofErr w:type="spellStart"/>
      <w:r w:rsidRPr="007363CD">
        <w:t>Draghiho</w:t>
      </w:r>
      <w:proofErr w:type="spellEnd"/>
      <w:r w:rsidRPr="007363CD">
        <w:t xml:space="preserve"> správe, čo výrazne spomalilo trh so zmluvami</w:t>
      </w:r>
      <w:r w:rsidR="007363CD">
        <w:t xml:space="preserve"> o </w:t>
      </w:r>
      <w:r w:rsidRPr="007363CD">
        <w:t xml:space="preserve">nákupe elektriny. Iné systémy, ako napríklad taliansky mechanizmus „Energy </w:t>
      </w:r>
      <w:proofErr w:type="spellStart"/>
      <w:r w:rsidRPr="007363CD">
        <w:t>Release</w:t>
      </w:r>
      <w:proofErr w:type="spellEnd"/>
      <w:r w:rsidRPr="007363CD">
        <w:t xml:space="preserve"> 2.0“, by sa mali preskúmať</w:t>
      </w:r>
      <w:r w:rsidR="007363CD">
        <w:t xml:space="preserve"> a </w:t>
      </w:r>
      <w:r w:rsidRPr="007363CD">
        <w:t>prispôsobiť</w:t>
      </w:r>
      <w:r w:rsidR="007363CD">
        <w:t xml:space="preserve"> v </w:t>
      </w:r>
      <w:r w:rsidRPr="007363CD">
        <w:t>iných členských štátoch.</w:t>
      </w:r>
    </w:p>
    <w:p w14:paraId="00000080" w14:textId="77777777" w:rsidR="005D5113" w:rsidRPr="007363CD" w:rsidRDefault="005D5113" w:rsidP="0025489C"/>
    <w:p w14:paraId="00000081" w14:textId="257FF1FB" w:rsidR="005D5113" w:rsidRPr="007363CD" w:rsidRDefault="002776C5" w:rsidP="00F34E97">
      <w:pPr>
        <w:pStyle w:val="Heading2"/>
        <w:numPr>
          <w:ilvl w:val="1"/>
          <w:numId w:val="1"/>
        </w:numPr>
        <w:ind w:left="567" w:hanging="567"/>
      </w:pPr>
      <w:r w:rsidRPr="007363CD">
        <w:t>EHSV odporúča, aby Komisia uľahčila využívanie dlhodobých zmlúv</w:t>
      </w:r>
      <w:r w:rsidR="007363CD">
        <w:t xml:space="preserve"> o </w:t>
      </w:r>
      <w:r w:rsidRPr="007363CD">
        <w:t>nákupe elektriny pre energeticky náročných používateľov</w:t>
      </w:r>
      <w:r w:rsidR="007363CD">
        <w:t xml:space="preserve"> a </w:t>
      </w:r>
      <w:r w:rsidRPr="007363CD">
        <w:t>preskúmala rámec štátnej pomoci pre Dohodu</w:t>
      </w:r>
      <w:r w:rsidR="007363CD">
        <w:t xml:space="preserve"> o </w:t>
      </w:r>
      <w:r w:rsidRPr="007363CD">
        <w:t>čistom priemysle</w:t>
      </w:r>
      <w:r w:rsidR="007363CD">
        <w:t xml:space="preserve"> s </w:t>
      </w:r>
      <w:r w:rsidRPr="007363CD">
        <w:t>cieľom zabezpečiť, aby priemysel mohol účinne využívať podporu elektrifikácie, čo prispeje</w:t>
      </w:r>
      <w:r w:rsidR="007363CD">
        <w:t xml:space="preserve"> k </w:t>
      </w:r>
      <w:r w:rsidRPr="007363CD">
        <w:t>dekarbonizácii</w:t>
      </w:r>
      <w:r w:rsidR="007363CD">
        <w:t xml:space="preserve"> a </w:t>
      </w:r>
      <w:r w:rsidRPr="007363CD">
        <w:t>konkurencieschopnosti EÚ bez narušenia hospodárskej súťaže. Takéto schémy by mali zahŕňať prísnu podmienenosť verejným záujmom vrátane podávania správ, ako aj výslovné požiadavky na bezpečnosť</w:t>
      </w:r>
      <w:r w:rsidR="007363CD">
        <w:t xml:space="preserve"> a </w:t>
      </w:r>
      <w:r w:rsidRPr="007363CD">
        <w:t>ochranu zdravia pri práci, odbornú prípravu</w:t>
      </w:r>
      <w:r w:rsidR="007363CD">
        <w:t xml:space="preserve"> a </w:t>
      </w:r>
      <w:r w:rsidRPr="007363CD">
        <w:t>kvalitné pracovné miesta.</w:t>
      </w:r>
    </w:p>
    <w:p w14:paraId="00000082" w14:textId="77777777" w:rsidR="005D5113" w:rsidRPr="007363CD" w:rsidRDefault="005D5113" w:rsidP="0025489C"/>
    <w:p w14:paraId="00000083" w14:textId="689AC07D" w:rsidR="005D5113" w:rsidRPr="007363CD" w:rsidRDefault="002776C5" w:rsidP="00F34E97">
      <w:pPr>
        <w:pStyle w:val="Heading2"/>
        <w:numPr>
          <w:ilvl w:val="1"/>
          <w:numId w:val="1"/>
        </w:numPr>
        <w:ind w:left="567" w:hanging="567"/>
      </w:pPr>
      <w:r w:rsidRPr="007363CD">
        <w:t>Okrem toho musí každá takáto krátkodobá podpora obsahovať jasné podmienky vrátane ochrany pracovníkov, zapojenia komunít, transparentnosti príjemcov</w:t>
      </w:r>
      <w:r w:rsidR="007363CD">
        <w:t xml:space="preserve"> a </w:t>
      </w:r>
      <w:r w:rsidRPr="007363CD">
        <w:t>záruk proti neočakávaným ziskom, pričom sa uprednostňujú cielené opatrenia, ktoré štrukturálne znižujú náklady na energiu prostredníctvom sietí, flexibility</w:t>
      </w:r>
      <w:r w:rsidR="007363CD">
        <w:t xml:space="preserve"> a </w:t>
      </w:r>
      <w:r w:rsidRPr="007363CD">
        <w:t>efektívnosti.</w:t>
      </w:r>
    </w:p>
    <w:p w14:paraId="00000084" w14:textId="77777777" w:rsidR="005D5113" w:rsidRPr="007363CD" w:rsidRDefault="005D5113" w:rsidP="0025489C"/>
    <w:p w14:paraId="00000085" w14:textId="44A843A2" w:rsidR="005D5113" w:rsidRPr="007363CD" w:rsidRDefault="002776C5" w:rsidP="00F34E97">
      <w:pPr>
        <w:pStyle w:val="Heading2"/>
        <w:numPr>
          <w:ilvl w:val="1"/>
          <w:numId w:val="1"/>
        </w:numPr>
        <w:ind w:left="567" w:hanging="567"/>
      </w:pPr>
      <w:r w:rsidRPr="007363CD">
        <w:t>Ďalším faktorom zvyšujúcim tlak na náklady prevádzkovateľov kritických surovín je systém na obchodovanie</w:t>
      </w:r>
      <w:r w:rsidR="007363CD">
        <w:t xml:space="preserve"> s </w:t>
      </w:r>
      <w:r w:rsidRPr="007363CD">
        <w:t>emisiami (ETS). Hoci ETS prispel</w:t>
      </w:r>
      <w:r w:rsidR="007363CD">
        <w:t xml:space="preserve"> k </w:t>
      </w:r>
      <w:r w:rsidRPr="007363CD">
        <w:t>dekarbonizácii energetického mixu,</w:t>
      </w:r>
      <w:r w:rsidR="007363CD">
        <w:t xml:space="preserve"> v </w:t>
      </w:r>
      <w:r w:rsidRPr="007363CD">
        <w:t>súčasnosti predstavuje veľké náklady pre odvetvia</w:t>
      </w:r>
      <w:r w:rsidR="007363CD">
        <w:t xml:space="preserve"> s </w:t>
      </w:r>
      <w:r w:rsidRPr="007363CD">
        <w:t>obmedzenými technologickými alternatívami na zníženie emisií. EHSV preto naliehavo vyzýva Komisiu, aby</w:t>
      </w:r>
      <w:r w:rsidR="007363CD">
        <w:t xml:space="preserve"> v </w:t>
      </w:r>
      <w:r w:rsidRPr="007363CD">
        <w:t>rámci preskúmania ETS posúdila vplyv ETS na hospodárstvo, životné prostredie</w:t>
      </w:r>
      <w:r w:rsidR="007363CD">
        <w:t xml:space="preserve"> a </w:t>
      </w:r>
      <w:r w:rsidRPr="007363CD">
        <w:t>konkurencieschopnosť odvetvia kritických surovín</w:t>
      </w:r>
      <w:r w:rsidR="007363CD">
        <w:t xml:space="preserve"> v </w:t>
      </w:r>
      <w:r w:rsidRPr="007363CD">
        <w:t>súlade so závermi marcového zasadnutia Rady EÚ. ETS zároveň zostáva kľúčovou hnacou silou dekarbonizácie EÚ</w:t>
      </w:r>
      <w:r w:rsidR="007363CD">
        <w:t xml:space="preserve"> a </w:t>
      </w:r>
      <w:r w:rsidRPr="007363CD">
        <w:t>jeho integrita sa musí zachovať. Každé preskúmanie by sa malo zaoberať tým, ako sa náklady súvisiace</w:t>
      </w:r>
      <w:r w:rsidR="007363CD">
        <w:t xml:space="preserve"> s </w:t>
      </w:r>
      <w:r w:rsidRPr="007363CD">
        <w:t>ETS vzájomne ovplyvňujú</w:t>
      </w:r>
      <w:r w:rsidR="007363CD">
        <w:t xml:space="preserve"> s </w:t>
      </w:r>
      <w:r w:rsidRPr="007363CD">
        <w:t>opatreniami</w:t>
      </w:r>
      <w:r w:rsidR="007363CD">
        <w:t xml:space="preserve"> v </w:t>
      </w:r>
      <w:r w:rsidRPr="007363CD">
        <w:t>oblasti materiálovej efektívnosti, substitučnými stratégiami</w:t>
      </w:r>
      <w:r w:rsidR="007363CD">
        <w:t xml:space="preserve"> a </w:t>
      </w:r>
      <w:r w:rsidRPr="007363CD">
        <w:t>obehovým využívaním materiálov,</w:t>
      </w:r>
      <w:r w:rsidR="007363CD">
        <w:t xml:space="preserve"> a </w:t>
      </w:r>
      <w:r w:rsidRPr="007363CD">
        <w:t>musí zabrániť odvetvovým výnimkám, ktoré oslabujú signál</w:t>
      </w:r>
      <w:r w:rsidR="007363CD">
        <w:t xml:space="preserve"> o </w:t>
      </w:r>
      <w:r w:rsidRPr="007363CD">
        <w:t>cene uhlíka alebo presúvajú náklady na iné odvetvia, pričom sa zabezpečí riadne zohľadnenie rizík úniku uhlíka</w:t>
      </w:r>
      <w:r w:rsidR="007363CD">
        <w:t xml:space="preserve"> a </w:t>
      </w:r>
      <w:r w:rsidRPr="007363CD">
        <w:t>medzinárodnej konkurencieschopnosti. Ak produkcia kritických surovín čelí štrukturálnym prekážkam dekarbonizácie, politické opatrenia by mali uprednostňovať podporu inovácií, elektrifikáciu, materiálovú efektívnosť</w:t>
      </w:r>
      <w:r w:rsidR="007363CD">
        <w:t xml:space="preserve"> a </w:t>
      </w:r>
      <w:r w:rsidRPr="007363CD">
        <w:t>obehovosť spolu</w:t>
      </w:r>
      <w:r w:rsidR="007363CD">
        <w:t xml:space="preserve"> s </w:t>
      </w:r>
      <w:r w:rsidRPr="007363CD">
        <w:t>cielenými mechanizmami financovania.</w:t>
      </w:r>
    </w:p>
    <w:p w14:paraId="00000086" w14:textId="77777777" w:rsidR="005D5113" w:rsidRPr="007363CD" w:rsidRDefault="005D5113" w:rsidP="0025489C"/>
    <w:p w14:paraId="00000087" w14:textId="72163B03" w:rsidR="005D5113" w:rsidRPr="007363CD" w:rsidRDefault="002776C5" w:rsidP="00F34E97">
      <w:pPr>
        <w:pStyle w:val="Heading2"/>
        <w:numPr>
          <w:ilvl w:val="1"/>
          <w:numId w:val="1"/>
        </w:numPr>
        <w:ind w:left="567" w:hanging="567"/>
      </w:pPr>
      <w:r w:rsidRPr="007363CD">
        <w:t>Napokon, dohody</w:t>
      </w:r>
      <w:r w:rsidR="007363CD">
        <w:t xml:space="preserve"> o </w:t>
      </w:r>
      <w:r w:rsidRPr="007363CD">
        <w:t>odbere kritických surovín sú ovplyvnené taxonómiou EÚ</w:t>
      </w:r>
      <w:r w:rsidRPr="007363CD">
        <w:rPr>
          <w:vertAlign w:val="superscript"/>
        </w:rPr>
        <w:footnoteReference w:id="2"/>
      </w:r>
      <w:r w:rsidR="007363CD">
        <w:t xml:space="preserve"> a </w:t>
      </w:r>
      <w:r w:rsidRPr="007363CD">
        <w:t>zásadou „výrazne nenarušiť“. Tieto dohody boli uzavreté</w:t>
      </w:r>
      <w:r w:rsidR="007363CD">
        <w:t xml:space="preserve"> s </w:t>
      </w:r>
      <w:r w:rsidRPr="007363CD">
        <w:t>cieľom zabezpečiť, aby verejné súkromné financie nepodporovali činnosti, ktoré narúšajú environmentálnu integritu EÚ alebo dôveru investorov</w:t>
      </w:r>
      <w:r w:rsidR="007363CD">
        <w:t xml:space="preserve"> v </w:t>
      </w:r>
      <w:r w:rsidRPr="007363CD">
        <w:t>ekologické klasifikačné systémy. Súčasné kritériá</w:t>
      </w:r>
      <w:r w:rsidR="007363CD">
        <w:t xml:space="preserve"> a </w:t>
      </w:r>
      <w:r w:rsidRPr="007363CD">
        <w:t>prahové hodnoty</w:t>
      </w:r>
      <w:r w:rsidR="007363CD">
        <w:t xml:space="preserve"> v </w:t>
      </w:r>
      <w:r w:rsidRPr="007363CD">
        <w:t>rámci taxonómie však ešte nie sú úplne dosiahnuteľné pomocou existujúcich technológií pri viacerých činnostiach</w:t>
      </w:r>
      <w:r w:rsidR="007363CD">
        <w:t xml:space="preserve"> v </w:t>
      </w:r>
      <w:r w:rsidRPr="007363CD">
        <w:t>oblasti kritických surovín,</w:t>
      </w:r>
      <w:r w:rsidR="007363CD">
        <w:t xml:space="preserve"> v </w:t>
      </w:r>
      <w:r w:rsidRPr="007363CD">
        <w:t>dôsledku čoho hrozí, že určité strategické projekty EÚ budú vylúčené</w:t>
      </w:r>
      <w:r w:rsidR="007363CD">
        <w:t xml:space="preserve"> z </w:t>
      </w:r>
      <w:r w:rsidRPr="007363CD">
        <w:t>prístupu</w:t>
      </w:r>
      <w:r w:rsidR="007363CD">
        <w:t xml:space="preserve"> k </w:t>
      </w:r>
      <w:r w:rsidRPr="007363CD">
        <w:t>financovaniu, hoci spĺňajú prísnejšie normy</w:t>
      </w:r>
      <w:r w:rsidR="007363CD">
        <w:t xml:space="preserve"> v </w:t>
      </w:r>
      <w:r w:rsidRPr="007363CD">
        <w:t>oblasti životného prostredia, práce</w:t>
      </w:r>
      <w:r w:rsidR="007363CD">
        <w:t xml:space="preserve"> a </w:t>
      </w:r>
      <w:r w:rsidRPr="007363CD">
        <w:t>transparentnosti ako tretie krajiny. Tieto prahové hodnoty by sa mali pravidelne revidovať</w:t>
      </w:r>
      <w:r w:rsidR="007363CD">
        <w:t xml:space="preserve"> a </w:t>
      </w:r>
      <w:r w:rsidRPr="007363CD">
        <w:t>upravovať</w:t>
      </w:r>
      <w:r w:rsidR="007363CD">
        <w:t xml:space="preserve"> v </w:t>
      </w:r>
      <w:r w:rsidRPr="007363CD">
        <w:t>súlade</w:t>
      </w:r>
      <w:r w:rsidR="007363CD">
        <w:t xml:space="preserve"> s </w:t>
      </w:r>
      <w:r w:rsidRPr="007363CD">
        <w:t>technologickým pokrokom. Účinok zásady „výrazne nenarušiť“ na iné programy</w:t>
      </w:r>
      <w:r w:rsidR="007363CD">
        <w:t xml:space="preserve"> a </w:t>
      </w:r>
      <w:r w:rsidRPr="007363CD">
        <w:t>rámce financovania EÚ treba upraviť, aby sa zabránilo neúmyselnému obmedzeniu prístupu projektov</w:t>
      </w:r>
      <w:r w:rsidR="007363CD">
        <w:t xml:space="preserve"> k </w:t>
      </w:r>
      <w:r w:rsidRPr="007363CD">
        <w:t>financovaniu.</w:t>
      </w:r>
    </w:p>
    <w:p w14:paraId="00000088" w14:textId="77777777" w:rsidR="005D5113" w:rsidRPr="007363CD" w:rsidRDefault="005D5113" w:rsidP="0025489C"/>
    <w:p w14:paraId="00000089" w14:textId="3C7BA03F" w:rsidR="005D5113" w:rsidRPr="007363CD" w:rsidRDefault="002776C5" w:rsidP="00F34E97">
      <w:pPr>
        <w:pStyle w:val="Heading2"/>
        <w:numPr>
          <w:ilvl w:val="1"/>
          <w:numId w:val="1"/>
        </w:numPr>
        <w:ind w:left="567" w:hanging="567"/>
      </w:pPr>
      <w:r w:rsidRPr="007363CD">
        <w:t>V rámcoch posudzovania by sa malo rozlišovať medzi nevyhnutným vplyvom, ktorý je vlastný primárnej ťažbe,</w:t>
      </w:r>
      <w:r w:rsidR="007363CD">
        <w:t xml:space="preserve"> a </w:t>
      </w:r>
      <w:r w:rsidRPr="007363CD">
        <w:t>škodami, ktorým sa dá predchádzať, vyplývajúcim</w:t>
      </w:r>
      <w:r w:rsidR="007363CD">
        <w:t xml:space="preserve"> z </w:t>
      </w:r>
      <w:r w:rsidRPr="007363CD">
        <w:t>neoptimálnych postupov, pri ktorých sa projekty</w:t>
      </w:r>
      <w:r w:rsidR="007363CD">
        <w:t xml:space="preserve"> v </w:t>
      </w:r>
      <w:r w:rsidRPr="007363CD">
        <w:t>oblasti kritických surovín považujú za strategické pre EÚ. Ochrana životného prostredia</w:t>
      </w:r>
      <w:r w:rsidR="007363CD">
        <w:t xml:space="preserve"> v </w:t>
      </w:r>
      <w:r w:rsidRPr="007363CD">
        <w:t>oblasti vodných zdrojov, biodiverzity, prevencie znečisťovania, ľudského zdravia</w:t>
      </w:r>
      <w:r w:rsidR="007363CD">
        <w:t xml:space="preserve"> a </w:t>
      </w:r>
      <w:r w:rsidRPr="007363CD">
        <w:t>vplyvov na komunity musí zostať plne účinná. Projekty, ktoré vykazujú podstatne nižšie emisie počas životného cyklu než svetoví konkurenti, by sa nemali klasifikovať ako projekty, ktoré „výrazne narúšajú“,</w:t>
      </w:r>
      <w:r w:rsidR="007363CD">
        <w:t xml:space="preserve"> a </w:t>
      </w:r>
      <w:r w:rsidRPr="007363CD">
        <w:t>malo by sa to zohľadniť</w:t>
      </w:r>
      <w:r w:rsidR="007363CD">
        <w:t xml:space="preserve"> v </w:t>
      </w:r>
      <w:r w:rsidRPr="007363CD">
        <w:t>metodikách posudzovania. Je potrebný ucelenejší hodnotiaci rámec, ktorý zohľadňuje klimatickú výkonnosť spolu</w:t>
      </w:r>
      <w:r w:rsidR="007363CD">
        <w:t xml:space="preserve"> s </w:t>
      </w:r>
      <w:r w:rsidRPr="007363CD">
        <w:t>biodiverzitou, vodou</w:t>
      </w:r>
      <w:r w:rsidR="007363CD">
        <w:t xml:space="preserve"> a </w:t>
      </w:r>
      <w:r w:rsidRPr="007363CD">
        <w:t>znečisťovaním.</w:t>
      </w:r>
    </w:p>
    <w:p w14:paraId="0000008A" w14:textId="77777777" w:rsidR="005D5113" w:rsidRPr="007363CD" w:rsidRDefault="005D5113" w:rsidP="0025489C"/>
    <w:p w14:paraId="0000008C" w14:textId="0B51C77E" w:rsidR="005D5113" w:rsidRPr="007363CD" w:rsidRDefault="002776C5" w:rsidP="0074642E">
      <w:pPr>
        <w:pStyle w:val="Heading2"/>
        <w:numPr>
          <w:ilvl w:val="1"/>
          <w:numId w:val="1"/>
        </w:numPr>
        <w:ind w:left="567" w:hanging="567"/>
      </w:pPr>
      <w:r w:rsidRPr="007363CD">
        <w:t>EHSV konštatuje, že návrhy</w:t>
      </w:r>
      <w:r w:rsidR="007363CD">
        <w:t xml:space="preserve"> o </w:t>
      </w:r>
      <w:r w:rsidRPr="007363CD">
        <w:t>minimálnych cenách alebo garantovaných minimálnych cenách určitých kritických surovín predstavujú osobitné riziko. Hoci cieľom takýchto mechanizmov je poskytnúť investičnú istotu, môžu vystaviť verejné financie značnému fiškálnemu riziku, ak ceny komodít prudko klesnú, čím sa volatilita trhu prenesie na daňovníkov. Vysoké kolísanie cien</w:t>
      </w:r>
      <w:r w:rsidR="007363CD">
        <w:t xml:space="preserve"> a </w:t>
      </w:r>
      <w:r w:rsidRPr="007363CD">
        <w:t>dlhé investičné cykly charakteristické pre projekty</w:t>
      </w:r>
      <w:r w:rsidR="007363CD">
        <w:t xml:space="preserve"> v </w:t>
      </w:r>
      <w:r w:rsidRPr="007363CD">
        <w:t>oblasti kritických surovín môžu zároveň predstavovať hlavné prekážky pre investície</w:t>
      </w:r>
      <w:r w:rsidR="007363CD">
        <w:t xml:space="preserve"> v </w:t>
      </w:r>
      <w:r w:rsidRPr="007363CD">
        <w:t>EÚ</w:t>
      </w:r>
      <w:r w:rsidR="007363CD">
        <w:t xml:space="preserve"> a </w:t>
      </w:r>
      <w:r w:rsidRPr="007363CD">
        <w:t>mali by sa riešiť.</w:t>
      </w:r>
    </w:p>
    <w:p w14:paraId="4A9109E3" w14:textId="77777777" w:rsidR="00735155" w:rsidRPr="007363CD" w:rsidRDefault="00735155" w:rsidP="00735155"/>
    <w:p w14:paraId="0000008D" w14:textId="69CEF946" w:rsidR="005D5113" w:rsidRPr="007363CD" w:rsidRDefault="002776C5" w:rsidP="00F34E97">
      <w:pPr>
        <w:pStyle w:val="Heading2"/>
        <w:numPr>
          <w:ilvl w:val="1"/>
          <w:numId w:val="1"/>
        </w:numPr>
        <w:ind w:left="567" w:hanging="567"/>
      </w:pPr>
      <w:r w:rsidRPr="007363CD">
        <w:t>EHSV víta zámer Komisie mobilizovať 3 miliardy EUR na podporu kritických surovín. Potreby financovania sú však oveľa vyššie</w:t>
      </w:r>
      <w:r w:rsidR="007363CD">
        <w:t xml:space="preserve"> a </w:t>
      </w:r>
      <w:r w:rsidRPr="007363CD">
        <w:t>mali by sa zohľadniť</w:t>
      </w:r>
      <w:r w:rsidR="007363CD">
        <w:t xml:space="preserve"> v </w:t>
      </w:r>
      <w:r w:rsidRPr="007363CD">
        <w:t>budúcom VFR. Hoci je vyčlenenie 1 miliardy EUR</w:t>
      </w:r>
      <w:r w:rsidR="007363CD">
        <w:t xml:space="preserve"> v </w:t>
      </w:r>
      <w:r w:rsidRPr="007363CD">
        <w:t>rámci výzvy Inovačného fondu na rok 2025 na projekty výroby čistých technológií zamerané na hodnotové reťazce kritických surovín pozitívne, hrozí, že súčasné hodnotiace kritériá</w:t>
      </w:r>
      <w:r w:rsidR="007363CD">
        <w:t xml:space="preserve"> v </w:t>
      </w:r>
      <w:r w:rsidRPr="007363CD">
        <w:t>rámci Inovačného fondu obmedzia jeho účinnosť pre projekty</w:t>
      </w:r>
      <w:r w:rsidR="007363CD">
        <w:t xml:space="preserve"> v </w:t>
      </w:r>
      <w:r w:rsidRPr="007363CD">
        <w:t>oblasti strategických surovín. Konkrétne silný dôraz na kvantifikovateľnú mieru zníženia emisií znevýhodňuje projekty, ktoré</w:t>
      </w:r>
      <w:r w:rsidR="007363CD">
        <w:t xml:space="preserve"> v </w:t>
      </w:r>
      <w:r w:rsidRPr="007363CD">
        <w:t>prvom rade zaisťujú bezpečnosť dodávok, sebestačnosť, odolnosť</w:t>
      </w:r>
      <w:r w:rsidR="007363CD">
        <w:t xml:space="preserve"> a </w:t>
      </w:r>
      <w:r w:rsidRPr="007363CD">
        <w:t>priemyselnú kapacitu.</w:t>
      </w:r>
    </w:p>
    <w:p w14:paraId="0000008E" w14:textId="77777777" w:rsidR="005D5113" w:rsidRPr="007363CD" w:rsidRDefault="005D5113" w:rsidP="0025489C"/>
    <w:p w14:paraId="0000008F" w14:textId="71399956" w:rsidR="005D5113" w:rsidRPr="007363CD" w:rsidRDefault="002776C5" w:rsidP="00F34E97">
      <w:pPr>
        <w:pStyle w:val="Heading2"/>
        <w:numPr>
          <w:ilvl w:val="1"/>
          <w:numId w:val="1"/>
        </w:numPr>
        <w:ind w:left="567" w:hanging="567"/>
      </w:pPr>
      <w:r w:rsidRPr="007363CD">
        <w:t>EHSV víta plán Komisie urýchliť udeľovanie environmentálnych povolení. Rýchlejšie postupy však musia byť sprevádzané primeranými investíciami do verejných orgánov, ako aj podporou vysokokvalitných posúdení vplyvu, kapacít na monitorovanie</w:t>
      </w:r>
      <w:r w:rsidR="007363CD">
        <w:t xml:space="preserve"> a </w:t>
      </w:r>
      <w:r w:rsidRPr="007363CD">
        <w:t>presadzovanie. Urýchlenie procesu nesmie oslabiť kvalitu posúdení vplyvu, účasť verejnosti, prístup</w:t>
      </w:r>
      <w:r w:rsidR="007363CD">
        <w:t xml:space="preserve"> k </w:t>
      </w:r>
      <w:r w:rsidRPr="007363CD">
        <w:t xml:space="preserve">spravodlivosti, </w:t>
      </w:r>
      <w:r w:rsidRPr="007363CD">
        <w:lastRenderedPageBreak/>
        <w:t>povinnosti</w:t>
      </w:r>
      <w:r w:rsidR="007363CD">
        <w:t xml:space="preserve"> v </w:t>
      </w:r>
      <w:r w:rsidRPr="007363CD">
        <w:t>oblasti ochrany prírody alebo požiadavky na ochranu vody</w:t>
      </w:r>
      <w:r w:rsidR="007363CD">
        <w:t xml:space="preserve"> a </w:t>
      </w:r>
      <w:r w:rsidRPr="007363CD">
        <w:t>akékoľvek zjednodušenie musí byť prísne administratívne,</w:t>
      </w:r>
      <w:r w:rsidR="007363CD">
        <w:t xml:space="preserve"> a </w:t>
      </w:r>
      <w:r w:rsidRPr="007363CD">
        <w:t>nie vecné.</w:t>
      </w:r>
    </w:p>
    <w:p w14:paraId="00000090" w14:textId="77777777" w:rsidR="005D5113" w:rsidRPr="007363CD" w:rsidRDefault="005D5113" w:rsidP="0025489C"/>
    <w:p w14:paraId="11821F0B" w14:textId="5DD5C5A0" w:rsidR="003712C0" w:rsidRPr="007363CD" w:rsidRDefault="001B0A92" w:rsidP="00F34E97">
      <w:pPr>
        <w:pStyle w:val="Heading2"/>
        <w:numPr>
          <w:ilvl w:val="1"/>
          <w:numId w:val="1"/>
        </w:numPr>
        <w:ind w:left="567" w:hanging="567"/>
      </w:pPr>
      <w:r w:rsidRPr="007363CD">
        <w:t>Hoci EHSV uznáva nadchádzajúcu revíziu rámcovej smernice</w:t>
      </w:r>
      <w:r w:rsidR="007363CD">
        <w:t xml:space="preserve"> o </w:t>
      </w:r>
      <w:r w:rsidRPr="007363CD">
        <w:t>vode, zdôrazňuje, že tento proces nesmie viesť</w:t>
      </w:r>
      <w:r w:rsidR="007363CD">
        <w:t xml:space="preserve"> k </w:t>
      </w:r>
      <w:r w:rsidRPr="007363CD">
        <w:t>žiadnemu zníženiu environmentálnych noriem; Zároveň by mal riešiť výzvy spojené</w:t>
      </w:r>
      <w:r w:rsidR="007363CD">
        <w:t xml:space="preserve"> s </w:t>
      </w:r>
      <w:r w:rsidRPr="007363CD">
        <w:t>vykonávaním vrátane povoľovacích postupov</w:t>
      </w:r>
      <w:r w:rsidR="007363CD">
        <w:t xml:space="preserve"> a </w:t>
      </w:r>
      <w:r w:rsidRPr="007363CD">
        <w:t>podporovať strategickú autonómiu EÚ prostredníctvom bezpečného prístupu ku kritickým surovinám</w:t>
      </w:r>
      <w:r w:rsidR="003712C0" w:rsidRPr="007363CD">
        <w:t>.</w:t>
      </w:r>
    </w:p>
    <w:p w14:paraId="00000092" w14:textId="6D347BE6" w:rsidR="005D5113" w:rsidRPr="004D7CF2" w:rsidRDefault="005D5113" w:rsidP="0025489C"/>
    <w:p w14:paraId="00000093" w14:textId="6C496594" w:rsidR="005D5113" w:rsidRPr="007363CD" w:rsidRDefault="002776C5" w:rsidP="0074642E">
      <w:pPr>
        <w:pStyle w:val="Heading1"/>
        <w:keepNext/>
        <w:keepLines/>
        <w:numPr>
          <w:ilvl w:val="0"/>
          <w:numId w:val="1"/>
        </w:numPr>
        <w:ind w:left="567" w:hanging="567"/>
      </w:pPr>
      <w:r w:rsidRPr="007363CD">
        <w:rPr>
          <w:b/>
        </w:rPr>
        <w:t>Obehovosť</w:t>
      </w:r>
      <w:r w:rsidR="007363CD">
        <w:rPr>
          <w:b/>
        </w:rPr>
        <w:t xml:space="preserve"> a </w:t>
      </w:r>
      <w:r w:rsidRPr="007363CD">
        <w:rPr>
          <w:b/>
        </w:rPr>
        <w:t>inovácie</w:t>
      </w:r>
    </w:p>
    <w:p w14:paraId="00000094" w14:textId="77777777" w:rsidR="005D5113" w:rsidRPr="007363CD" w:rsidRDefault="005D5113" w:rsidP="0025489C"/>
    <w:p w14:paraId="00000095" w14:textId="23158345" w:rsidR="005D5113" w:rsidRPr="007363CD" w:rsidRDefault="002776C5" w:rsidP="00F34E97">
      <w:pPr>
        <w:pStyle w:val="Heading2"/>
        <w:numPr>
          <w:ilvl w:val="1"/>
          <w:numId w:val="1"/>
        </w:numPr>
        <w:ind w:left="567" w:hanging="567"/>
      </w:pPr>
      <w:r w:rsidRPr="007363CD">
        <w:t>Maximalizácia zhodnocovania</w:t>
      </w:r>
      <w:r w:rsidR="007363CD">
        <w:t xml:space="preserve"> a </w:t>
      </w:r>
      <w:r w:rsidRPr="007363CD">
        <w:t>opätovného použitia materiálov, ktoré už boli uvedené na trh EÚ, musí byť spolu</w:t>
      </w:r>
      <w:r w:rsidR="007363CD">
        <w:t xml:space="preserve"> s </w:t>
      </w:r>
      <w:r w:rsidRPr="007363CD">
        <w:t>primárnym získavaním zdrojov</w:t>
      </w:r>
      <w:r w:rsidR="007363CD">
        <w:t xml:space="preserve"> a </w:t>
      </w:r>
      <w:r w:rsidRPr="007363CD">
        <w:t>diverzifikáciou dodávok ústredným pilierom stratégie EÚ</w:t>
      </w:r>
      <w:r w:rsidR="007363CD">
        <w:t xml:space="preserve"> v </w:t>
      </w:r>
      <w:r w:rsidRPr="007363CD">
        <w:t>oblasti surovín</w:t>
      </w:r>
      <w:r w:rsidR="007363CD">
        <w:t xml:space="preserve"> a </w:t>
      </w:r>
      <w:r w:rsidRPr="007363CD">
        <w:t>priemyslu. EHSV podporuje dôraz, ktorý sa kladie na recykláciu kritických surovín</w:t>
      </w:r>
      <w:r w:rsidR="007363CD">
        <w:t xml:space="preserve"> a </w:t>
      </w:r>
      <w:r w:rsidRPr="007363CD">
        <w:t>lepšie využívanie existujúcich tokov odpadu. Posilnenie obehovosti je nevyhnutné na minimalizáciu závislosti, zníženie emisií</w:t>
      </w:r>
      <w:r w:rsidR="007363CD">
        <w:t xml:space="preserve"> a </w:t>
      </w:r>
      <w:r w:rsidRPr="007363CD">
        <w:t>zvýšenie odolnosti Európy. Obehovosť je širšia než recyklácia</w:t>
      </w:r>
      <w:r w:rsidR="007363CD">
        <w:t xml:space="preserve"> a </w:t>
      </w:r>
      <w:r w:rsidRPr="007363CD">
        <w:t>musí zahŕňať predĺženie životnosti výrobkov, zlepšenie ich opraviteľnosti, modulárnosť</w:t>
      </w:r>
      <w:r w:rsidR="007363CD">
        <w:t xml:space="preserve"> a </w:t>
      </w:r>
      <w:r w:rsidRPr="007363CD">
        <w:t>opätovnú použiteľnosť, pričom je potrebné prejsť od prístupu nakladania</w:t>
      </w:r>
      <w:r w:rsidR="007363CD">
        <w:t xml:space="preserve"> s </w:t>
      </w:r>
      <w:r w:rsidRPr="007363CD">
        <w:t>odpadom</w:t>
      </w:r>
      <w:r w:rsidR="007363CD">
        <w:t xml:space="preserve"> k </w:t>
      </w:r>
      <w:r w:rsidRPr="007363CD">
        <w:t>udržateľnému hospodáreniu so zdrojmi.</w:t>
      </w:r>
    </w:p>
    <w:p w14:paraId="00000096" w14:textId="77777777" w:rsidR="005D5113" w:rsidRPr="007363CD" w:rsidRDefault="005D5113" w:rsidP="0025489C"/>
    <w:p w14:paraId="020B9A76" w14:textId="1A790614" w:rsidR="003712C0" w:rsidRPr="007363CD" w:rsidRDefault="002776C5" w:rsidP="00F34E97">
      <w:pPr>
        <w:pStyle w:val="Heading2"/>
        <w:numPr>
          <w:ilvl w:val="1"/>
          <w:numId w:val="1"/>
        </w:numPr>
        <w:ind w:left="567" w:hanging="567"/>
      </w:pPr>
      <w:r w:rsidRPr="007363CD">
        <w:t>Oznámenie Komisie</w:t>
      </w:r>
      <w:r w:rsidR="007363CD">
        <w:t xml:space="preserve"> o </w:t>
      </w:r>
      <w:r w:rsidRPr="007363CD">
        <w:t>cielených opatreniach týkajúcich sa hliníkového šrotu je preto vítané</w:t>
      </w:r>
      <w:r w:rsidR="007363CD">
        <w:t xml:space="preserve"> a </w:t>
      </w:r>
      <w:r w:rsidRPr="007363CD">
        <w:t>musí sa bezodkladne predložiť, aby sa zabezpečilo, že šrot</w:t>
      </w:r>
      <w:r w:rsidR="007363CD">
        <w:t xml:space="preserve"> z </w:t>
      </w:r>
      <w:r w:rsidRPr="007363CD">
        <w:t>kritických surovín vyprodukovaný</w:t>
      </w:r>
      <w:r w:rsidR="007363CD">
        <w:t xml:space="preserve"> v </w:t>
      </w:r>
      <w:r w:rsidRPr="007363CD">
        <w:t>EÚ prispeje predovšetkým</w:t>
      </w:r>
      <w:r w:rsidR="007363CD">
        <w:t xml:space="preserve"> k </w:t>
      </w:r>
      <w:r w:rsidRPr="007363CD">
        <w:t>európskej recyklačnej</w:t>
      </w:r>
      <w:r w:rsidR="007363CD">
        <w:t xml:space="preserve"> a </w:t>
      </w:r>
      <w:r w:rsidRPr="007363CD">
        <w:t>výrobnej kapacite. To môže zahŕňať vhodné vývozné opatrenia, ako je jednotné vývozné clo,</w:t>
      </w:r>
      <w:r w:rsidR="007363CD">
        <w:t xml:space="preserve"> s </w:t>
      </w:r>
      <w:r w:rsidRPr="007363CD">
        <w:t>cieľom riešiť nerovnováhu na trhu</w:t>
      </w:r>
      <w:r w:rsidR="007363CD">
        <w:t xml:space="preserve"> a </w:t>
      </w:r>
      <w:r w:rsidRPr="007363CD">
        <w:t>zabrániť úniku uhlíka</w:t>
      </w:r>
      <w:r w:rsidR="007363CD">
        <w:t xml:space="preserve"> a </w:t>
      </w:r>
      <w:r w:rsidRPr="007363CD">
        <w:t>hodnoty, pričom sa zároveň zachová súlad</w:t>
      </w:r>
      <w:r w:rsidR="007363CD">
        <w:t xml:space="preserve"> s </w:t>
      </w:r>
      <w:r w:rsidRPr="007363CD">
        <w:t>medzinárodnými záväzkami EÚ. Takéto opatrenia by mali byť primerané, transparentné</w:t>
      </w:r>
      <w:r w:rsidR="007363CD">
        <w:t xml:space="preserve"> a </w:t>
      </w:r>
      <w:r w:rsidRPr="007363CD">
        <w:t xml:space="preserve">časovo ohraničené, pričom by mali obsahovať záruky na zabránenie </w:t>
      </w:r>
      <w:proofErr w:type="spellStart"/>
      <w:r w:rsidRPr="007363CD">
        <w:t>externalizácii</w:t>
      </w:r>
      <w:proofErr w:type="spellEnd"/>
      <w:r w:rsidRPr="007363CD">
        <w:t xml:space="preserve"> environmentálnych škôd (vrátane škôd vyplývajúcich</w:t>
      </w:r>
      <w:r w:rsidR="007363CD">
        <w:t xml:space="preserve"> z </w:t>
      </w:r>
      <w:r w:rsidRPr="007363CD">
        <w:t>nebezpečných recyklačných postupov, znečistenia</w:t>
      </w:r>
      <w:r w:rsidR="007363CD">
        <w:t xml:space="preserve"> a </w:t>
      </w:r>
      <w:r w:rsidRPr="007363CD">
        <w:t>pracovného vykorisťovania)</w:t>
      </w:r>
      <w:r w:rsidR="007363CD">
        <w:t xml:space="preserve"> a </w:t>
      </w:r>
      <w:r w:rsidRPr="007363CD">
        <w:t>rizík</w:t>
      </w:r>
      <w:r w:rsidR="007363CD">
        <w:t xml:space="preserve"> v </w:t>
      </w:r>
      <w:r w:rsidRPr="007363CD">
        <w:t>oblasti ľudských práv, ako aj na zabezpečenie zodpovedného zachovania hodnoty</w:t>
      </w:r>
      <w:r w:rsidR="007363CD">
        <w:t xml:space="preserve"> v </w:t>
      </w:r>
      <w:r w:rsidRPr="007363CD">
        <w:t>rámci EÚ</w:t>
      </w:r>
      <w:r w:rsidR="003712C0" w:rsidRPr="007363CD">
        <w:t>.</w:t>
      </w:r>
    </w:p>
    <w:p w14:paraId="00000098" w14:textId="47ED9F78" w:rsidR="005D5113" w:rsidRPr="007363CD" w:rsidRDefault="005D5113" w:rsidP="0025489C"/>
    <w:p w14:paraId="00000099" w14:textId="372D0E61" w:rsidR="005D5113" w:rsidRPr="007363CD" w:rsidRDefault="002776C5" w:rsidP="00F34E97">
      <w:pPr>
        <w:pStyle w:val="Heading2"/>
        <w:numPr>
          <w:ilvl w:val="1"/>
          <w:numId w:val="1"/>
        </w:numPr>
        <w:ind w:left="567" w:hanging="567"/>
      </w:pPr>
      <w:r w:rsidRPr="007363CD">
        <w:t>EHSV podporuje iniciatívy na zlepšenie obehu odpadu</w:t>
      </w:r>
      <w:r w:rsidR="007363CD">
        <w:t xml:space="preserve"> z </w:t>
      </w:r>
      <w:r w:rsidRPr="007363CD">
        <w:t>kritických surovín</w:t>
      </w:r>
      <w:r w:rsidR="007363CD">
        <w:t xml:space="preserve"> v </w:t>
      </w:r>
      <w:r w:rsidRPr="007363CD">
        <w:t>rámci EÚ. Zjednodušenie</w:t>
      </w:r>
      <w:r w:rsidR="007363CD">
        <w:t xml:space="preserve"> a </w:t>
      </w:r>
      <w:r w:rsidRPr="007363CD">
        <w:t>digitalizácia postupov podľa nariadenia</w:t>
      </w:r>
      <w:r w:rsidR="007363CD">
        <w:t xml:space="preserve"> o </w:t>
      </w:r>
      <w:r w:rsidRPr="007363CD">
        <w:t>preprave odpadu vrátane digitálnej dokumentácie</w:t>
      </w:r>
      <w:r w:rsidR="007363CD">
        <w:t xml:space="preserve"> a </w:t>
      </w:r>
      <w:r w:rsidRPr="007363CD">
        <w:t>zjednodušených administratívnych postupov sú pozitívnymi krokmi. Vývoj jednotného digitálneho systému prepravy odpadu</w:t>
      </w:r>
      <w:r w:rsidR="007363CD">
        <w:t xml:space="preserve"> s </w:t>
      </w:r>
      <w:r w:rsidRPr="007363CD">
        <w:t>elektronickým predkladaním</w:t>
      </w:r>
      <w:r w:rsidR="007363CD">
        <w:t xml:space="preserve"> a </w:t>
      </w:r>
      <w:r w:rsidRPr="007363CD">
        <w:t>automatickým schvaľovaním</w:t>
      </w:r>
      <w:r w:rsidR="007363CD">
        <w:t xml:space="preserve"> v </w:t>
      </w:r>
      <w:r w:rsidRPr="007363CD">
        <w:t>stanovených lehotách pomôže znížiť administratívnu záťaž. Digitálny pas výrobku ďalej zlepší vysledovateľnosť</w:t>
      </w:r>
      <w:r w:rsidR="007363CD">
        <w:t xml:space="preserve"> a </w:t>
      </w:r>
      <w:r w:rsidRPr="007363CD">
        <w:t>uľahčí kvalitnejšiu recykláciu, čo umožní lepšie monitorovanie environmentálneho správania, pracovných podmienok</w:t>
      </w:r>
      <w:r w:rsidR="007363CD">
        <w:t xml:space="preserve"> a </w:t>
      </w:r>
      <w:r w:rsidRPr="007363CD">
        <w:t>dodržiavania povinností náležitej starostlivosti. Regulačná jasnosť je naďalej rozhodujúca. Je potrebné jasné</w:t>
      </w:r>
      <w:r w:rsidR="007363CD">
        <w:t xml:space="preserve"> a </w:t>
      </w:r>
      <w:r w:rsidRPr="007363CD">
        <w:t>jednotné vymedzenie, kedy sa materiál považuje za odpad, výrobok alebo látku</w:t>
      </w:r>
      <w:r w:rsidR="00440E35">
        <w:t> – </w:t>
      </w:r>
      <w:r w:rsidRPr="007363CD">
        <w:t>najmä na rozhraní medzi nariadením</w:t>
      </w:r>
      <w:r w:rsidR="007363CD">
        <w:t xml:space="preserve"> o </w:t>
      </w:r>
      <w:r w:rsidRPr="007363CD">
        <w:t>preprave odpadu</w:t>
      </w:r>
      <w:r w:rsidR="007363CD">
        <w:t xml:space="preserve"> z </w:t>
      </w:r>
      <w:r w:rsidRPr="007363CD">
        <w:t>priemyselných produktov</w:t>
      </w:r>
      <w:r w:rsidR="007363CD">
        <w:t xml:space="preserve"> a </w:t>
      </w:r>
      <w:r w:rsidRPr="007363CD">
        <w:t>právnymi predpismi</w:t>
      </w:r>
      <w:r w:rsidR="007363CD">
        <w:t xml:space="preserve"> o </w:t>
      </w:r>
      <w:r w:rsidRPr="007363CD">
        <w:t>chemikáliách</w:t>
      </w:r>
      <w:r w:rsidR="00440E35">
        <w:t> – </w:t>
      </w:r>
      <w:r w:rsidRPr="007363CD">
        <w:t>aby sa zabránilo oneskoreniam pri recyklácii</w:t>
      </w:r>
      <w:r w:rsidR="007363CD">
        <w:t xml:space="preserve"> a </w:t>
      </w:r>
      <w:r w:rsidRPr="007363CD">
        <w:t>zhodnocovaní materiálov.</w:t>
      </w:r>
    </w:p>
    <w:p w14:paraId="0000009A" w14:textId="77777777" w:rsidR="005D5113" w:rsidRPr="007363CD" w:rsidRDefault="005D5113" w:rsidP="0025489C"/>
    <w:p w14:paraId="0000009B" w14:textId="26298C26" w:rsidR="005D5113" w:rsidRPr="007363CD" w:rsidRDefault="002776C5" w:rsidP="00F34E97">
      <w:pPr>
        <w:pStyle w:val="Heading2"/>
        <w:numPr>
          <w:ilvl w:val="1"/>
          <w:numId w:val="1"/>
        </w:numPr>
        <w:ind w:left="567" w:hanging="567"/>
      </w:pPr>
      <w:r w:rsidRPr="007363CD">
        <w:t>Regulačné opatrenia musia byť doplnené aj včasným financovaním</w:t>
      </w:r>
      <w:r w:rsidR="007363CD">
        <w:t xml:space="preserve"> a </w:t>
      </w:r>
      <w:r w:rsidRPr="007363CD">
        <w:t xml:space="preserve">podporou inovácií. EHSV zdôrazňuje význam </w:t>
      </w:r>
      <w:r w:rsidRPr="007363CD">
        <w:rPr>
          <w:b/>
        </w:rPr>
        <w:t>rýchleho nasadenia finančných prostriedkov oznámených</w:t>
      </w:r>
      <w:r w:rsidR="007363CD">
        <w:rPr>
          <w:b/>
        </w:rPr>
        <w:t xml:space="preserve"> v </w:t>
      </w:r>
      <w:r w:rsidRPr="007363CD">
        <w:rPr>
          <w:b/>
        </w:rPr>
        <w:t xml:space="preserve">akčnom pláne </w:t>
      </w:r>
      <w:proofErr w:type="spellStart"/>
      <w:r w:rsidRPr="007363CD">
        <w:rPr>
          <w:b/>
        </w:rPr>
        <w:t>RESourceEU</w:t>
      </w:r>
      <w:proofErr w:type="spellEnd"/>
      <w:r w:rsidRPr="007363CD">
        <w:t xml:space="preserve"> vrátane financovania využitia kritických surovín</w:t>
      </w:r>
      <w:r w:rsidR="007363CD">
        <w:t xml:space="preserve"> v </w:t>
      </w:r>
      <w:r w:rsidRPr="007363CD">
        <w:t xml:space="preserve">oblasti obrany. </w:t>
      </w:r>
      <w:r w:rsidRPr="007363CD">
        <w:lastRenderedPageBreak/>
        <w:t>Rozhodnutia</w:t>
      </w:r>
      <w:r w:rsidR="007363CD">
        <w:t xml:space="preserve"> o </w:t>
      </w:r>
      <w:r w:rsidRPr="007363CD">
        <w:t>stanovení priorít si však vyžadujú demokratickú zodpovednosť, transparentnosť</w:t>
      </w:r>
      <w:r w:rsidR="007363CD">
        <w:t xml:space="preserve"> a </w:t>
      </w:r>
      <w:r w:rsidRPr="007363CD">
        <w:t>jasné kritériá</w:t>
      </w:r>
      <w:r w:rsidR="007363CD">
        <w:t xml:space="preserve"> a </w:t>
      </w:r>
      <w:r w:rsidRPr="007363CD">
        <w:t>nesmú oslabovať potreby</w:t>
      </w:r>
      <w:r w:rsidR="007363CD">
        <w:t xml:space="preserve"> v </w:t>
      </w:r>
      <w:r w:rsidRPr="007363CD">
        <w:t>oblasti klimatickej</w:t>
      </w:r>
      <w:r w:rsidR="007363CD">
        <w:t xml:space="preserve"> a </w:t>
      </w:r>
      <w:r w:rsidRPr="007363CD">
        <w:t>energetickej transformácie ani verejný záujem. Účasť mládeže by sa mala zabezpečiť prostredníctvom poradných úloh</w:t>
      </w:r>
      <w:r w:rsidR="007363CD">
        <w:t xml:space="preserve"> a </w:t>
      </w:r>
      <w:r w:rsidRPr="007363CD">
        <w:t>štruktúrovaných konzultácií</w:t>
      </w:r>
      <w:r w:rsidR="007363CD">
        <w:t xml:space="preserve"> v </w:t>
      </w:r>
      <w:r w:rsidRPr="007363CD">
        <w:t>riadiacich orgánoch</w:t>
      </w:r>
      <w:r w:rsidR="007363CD">
        <w:t xml:space="preserve"> a </w:t>
      </w:r>
      <w:r w:rsidRPr="007363CD">
        <w:t>programoch</w:t>
      </w:r>
      <w:r w:rsidR="007363CD">
        <w:t xml:space="preserve"> v </w:t>
      </w:r>
      <w:r w:rsidRPr="007363CD">
        <w:t>oblasti kritických surovín.</w:t>
      </w:r>
    </w:p>
    <w:p w14:paraId="0000009C" w14:textId="77777777" w:rsidR="005D5113" w:rsidRPr="007363CD" w:rsidRDefault="005D5113" w:rsidP="0025489C"/>
    <w:p w14:paraId="0000009D" w14:textId="430FB535" w:rsidR="005D5113" w:rsidRPr="007363CD" w:rsidRDefault="002776C5" w:rsidP="00F61A6D">
      <w:pPr>
        <w:pStyle w:val="Heading1"/>
        <w:keepNext/>
        <w:keepLines/>
        <w:numPr>
          <w:ilvl w:val="0"/>
          <w:numId w:val="1"/>
        </w:numPr>
        <w:ind w:left="567" w:hanging="567"/>
        <w:rPr>
          <w:b/>
          <w:bCs/>
        </w:rPr>
      </w:pPr>
      <w:r w:rsidRPr="007363CD">
        <w:rPr>
          <w:b/>
        </w:rPr>
        <w:t>Uľahčenie realizácie európskych projektov</w:t>
      </w:r>
      <w:r w:rsidR="007363CD">
        <w:rPr>
          <w:b/>
        </w:rPr>
        <w:t xml:space="preserve"> a </w:t>
      </w:r>
      <w:r w:rsidRPr="007363CD">
        <w:rPr>
          <w:b/>
        </w:rPr>
        <w:t>vytvorenie trvalého trhu</w:t>
      </w:r>
    </w:p>
    <w:p w14:paraId="0000009E" w14:textId="77777777" w:rsidR="005D5113" w:rsidRPr="007363CD" w:rsidRDefault="005D5113" w:rsidP="0025489C"/>
    <w:p w14:paraId="07B75A15" w14:textId="5BABAA28" w:rsidR="003712C0" w:rsidRPr="007363CD" w:rsidRDefault="002776C5" w:rsidP="00F34E97">
      <w:pPr>
        <w:pStyle w:val="Heading2"/>
        <w:numPr>
          <w:ilvl w:val="1"/>
          <w:numId w:val="1"/>
        </w:numPr>
        <w:ind w:left="567" w:hanging="567"/>
      </w:pPr>
      <w:r w:rsidRPr="007363CD">
        <w:t>EHSV podporuje posilnenie odolnosti európskych hodnotových reťazcov kritických surovín prostredníctvom trhových nástrojov, verejnej intervencie</w:t>
      </w:r>
      <w:r w:rsidR="007363CD">
        <w:t xml:space="preserve"> a </w:t>
      </w:r>
      <w:r w:rsidRPr="007363CD">
        <w:t>strategickej koordinácie. Okrem zvyšovania ponuky by sa väčšia pozornosť mala venovať zvyšovaniu kvality, predvídateľnosti</w:t>
      </w:r>
      <w:r w:rsidR="007363CD">
        <w:t xml:space="preserve"> a </w:t>
      </w:r>
      <w:r w:rsidRPr="007363CD">
        <w:t>odolnosti dopytu prostredníctvom materiálovej efektívnosti, lepšieho dizajnu výrobkov, vyššej miery recyklácie, znižovania množstva odpadu</w:t>
      </w:r>
      <w:r w:rsidR="007363CD">
        <w:t xml:space="preserve"> a </w:t>
      </w:r>
      <w:r w:rsidRPr="007363CD">
        <w:t>predĺženia životnosti výrobkov, pričom sa zároveň podporuje rozširovanie udržateľnej európskej výroby</w:t>
      </w:r>
      <w:r w:rsidR="003712C0" w:rsidRPr="007363CD">
        <w:t>.</w:t>
      </w:r>
    </w:p>
    <w:p w14:paraId="000000A0" w14:textId="12314882" w:rsidR="005D5113" w:rsidRPr="007363CD" w:rsidRDefault="005D5113" w:rsidP="0025489C"/>
    <w:p w14:paraId="000000A1" w14:textId="1F8DFFA5" w:rsidR="005D5113" w:rsidRPr="007363CD" w:rsidRDefault="002776C5" w:rsidP="00F34E97">
      <w:pPr>
        <w:pStyle w:val="Heading2"/>
        <w:numPr>
          <w:ilvl w:val="1"/>
          <w:numId w:val="1"/>
        </w:numPr>
        <w:ind w:left="567" w:hanging="567"/>
      </w:pPr>
      <w:r w:rsidRPr="007363CD">
        <w:t>Vytváranie zásob môže pomôcť zvládnuť krátkodobé otrasy</w:t>
      </w:r>
      <w:r w:rsidR="007363CD">
        <w:t xml:space="preserve"> v </w:t>
      </w:r>
      <w:r w:rsidRPr="007363CD">
        <w:t>dodávkach, ale nemôže nahradiť rozvoj domácej výroby</w:t>
      </w:r>
      <w:r w:rsidR="007363CD">
        <w:t xml:space="preserve"> a </w:t>
      </w:r>
      <w:r w:rsidRPr="007363CD">
        <w:t>spracovateľských kapacít. Posilnenie projektov EÚ</w:t>
      </w:r>
      <w:r w:rsidRPr="007363CD">
        <w:rPr>
          <w:sz w:val="24"/>
          <w:szCs w:val="24"/>
          <w:vertAlign w:val="superscript"/>
        </w:rPr>
        <w:footnoteReference w:id="3"/>
      </w:r>
      <w:r w:rsidRPr="007363CD">
        <w:t xml:space="preserve"> má strategický význam pre zníženie závislosti. Obavy odvetvia týkajúce sa modelov vlastníctva, narušenia trhu</w:t>
      </w:r>
      <w:r w:rsidR="007363CD">
        <w:t xml:space="preserve"> a </w:t>
      </w:r>
      <w:r w:rsidRPr="007363CD">
        <w:t>vytláčania musia byť vyvážené cieľmi odolnosti.</w:t>
      </w:r>
    </w:p>
    <w:p w14:paraId="000000A2" w14:textId="77777777" w:rsidR="005D5113" w:rsidRPr="007363CD" w:rsidRDefault="005D5113" w:rsidP="0025489C"/>
    <w:p w14:paraId="59E99994" w14:textId="3E4914C5" w:rsidR="003712C0" w:rsidRPr="007363CD" w:rsidRDefault="002776C5" w:rsidP="00F34E97">
      <w:pPr>
        <w:pStyle w:val="Heading2"/>
        <w:numPr>
          <w:ilvl w:val="1"/>
          <w:numId w:val="1"/>
        </w:numPr>
        <w:ind w:left="567" w:hanging="567"/>
      </w:pPr>
      <w:r w:rsidRPr="007363CD">
        <w:t>Pokiaľ ide</w:t>
      </w:r>
      <w:r w:rsidR="007363CD">
        <w:t xml:space="preserve"> o </w:t>
      </w:r>
      <w:r w:rsidRPr="007363CD">
        <w:t>navrhovanú zmenu aktu</w:t>
      </w:r>
      <w:r w:rsidR="007363CD">
        <w:t xml:space="preserve"> o </w:t>
      </w:r>
      <w:r w:rsidRPr="007363CD">
        <w:t>kritických surovinách týkajúcu sa diverzifikácie dodávok, EHSV podporuje posúdenia rizík dodávateľského reťazca</w:t>
      </w:r>
      <w:r w:rsidR="007363CD">
        <w:t xml:space="preserve"> a </w:t>
      </w:r>
      <w:r w:rsidRPr="007363CD">
        <w:t>väčšiu transparentnosť, zdôrazňuje však, že povinnosti</w:t>
      </w:r>
      <w:r w:rsidR="007363CD">
        <w:t xml:space="preserve"> v </w:t>
      </w:r>
      <w:r w:rsidRPr="007363CD">
        <w:t>oblasti diverzifikácie musia zostať primerané</w:t>
      </w:r>
      <w:r w:rsidR="007363CD">
        <w:t xml:space="preserve"> a </w:t>
      </w:r>
      <w:r w:rsidRPr="007363CD">
        <w:t xml:space="preserve">uskutočniteľné. Od spoločností by sa nemalo vyžadovať, aby </w:t>
      </w:r>
      <w:proofErr w:type="spellStart"/>
      <w:r w:rsidRPr="007363CD">
        <w:t>diverzifikovali</w:t>
      </w:r>
      <w:proofErr w:type="spellEnd"/>
      <w:r w:rsidRPr="007363CD">
        <w:t>, ak neexistujú žiadne životaschopné alternatívne zdroje. Intervencia Komisie by sa mala zamerať predovšetkým na podporné opatrenia, ako je podpora výroby</w:t>
      </w:r>
      <w:r w:rsidR="007363CD">
        <w:t xml:space="preserve"> v </w:t>
      </w:r>
      <w:r w:rsidRPr="007363CD">
        <w:t>EÚ pred tým, než pristúpi</w:t>
      </w:r>
      <w:r w:rsidR="007363CD">
        <w:t xml:space="preserve"> k </w:t>
      </w:r>
      <w:r w:rsidRPr="007363CD">
        <w:t>povinným požiadavkám na diverzifikáciu. EHSV tiež zdôrazňuje význam transparentnosti údajov</w:t>
      </w:r>
      <w:r w:rsidR="007363CD">
        <w:t xml:space="preserve"> o </w:t>
      </w:r>
      <w:r w:rsidRPr="007363CD">
        <w:t>materiálových tokoch, rozhodnutiach</w:t>
      </w:r>
      <w:r w:rsidR="007363CD">
        <w:t xml:space="preserve"> o </w:t>
      </w:r>
      <w:r w:rsidRPr="007363CD">
        <w:t>prideľovaní, úrovni zásob</w:t>
      </w:r>
      <w:r w:rsidR="007363CD">
        <w:t xml:space="preserve"> a </w:t>
      </w:r>
      <w:r w:rsidRPr="007363CD">
        <w:t>expozícii verejných financií. Mal by sa vytvoriť európsky prehľad transparentnosti surovín, ktorý by umožnil demokratický dohľad</w:t>
      </w:r>
      <w:r w:rsidR="007363CD">
        <w:t xml:space="preserve"> a </w:t>
      </w:r>
      <w:r w:rsidRPr="007363CD">
        <w:t>informovanú verejnú diskusiu</w:t>
      </w:r>
      <w:r w:rsidR="003712C0" w:rsidRPr="007363CD">
        <w:t>.</w:t>
      </w:r>
    </w:p>
    <w:p w14:paraId="000000A4" w14:textId="20077A40" w:rsidR="005D5113" w:rsidRPr="007363CD" w:rsidRDefault="005D5113" w:rsidP="0025489C"/>
    <w:p w14:paraId="000000A5" w14:textId="26BB41DD" w:rsidR="005D5113" w:rsidRPr="007363CD" w:rsidRDefault="002776C5" w:rsidP="00F34E97">
      <w:pPr>
        <w:pStyle w:val="Heading2"/>
        <w:numPr>
          <w:ilvl w:val="1"/>
          <w:numId w:val="1"/>
        </w:numPr>
        <w:ind w:left="567" w:hanging="567"/>
      </w:pPr>
      <w:r w:rsidRPr="007363CD">
        <w:t>EHSV zdôrazňuje, že diverzifikácia sama osebe nie je cieľom. Cieľom musí byť zníženie zraniteľnosti</w:t>
      </w:r>
      <w:r w:rsidR="007363CD">
        <w:t xml:space="preserve"> a </w:t>
      </w:r>
      <w:r w:rsidRPr="007363CD">
        <w:t>zabezpečenie toho, aby pri každom náraste ťažobných činností prísne dodržiavali</w:t>
      </w:r>
      <w:r w:rsidR="007363CD">
        <w:t xml:space="preserve"> a </w:t>
      </w:r>
      <w:r w:rsidRPr="007363CD">
        <w:t>zlepšovali normy udržateľnosti</w:t>
      </w:r>
      <w:r w:rsidR="007363CD">
        <w:t xml:space="preserve"> a </w:t>
      </w:r>
      <w:r w:rsidRPr="007363CD">
        <w:t>zároveň zmierňoval dopyt. Partnerstvá by preto mali byť súčasťou širšej stratégie, ktorá spája bezpečnosť dodávok</w:t>
      </w:r>
      <w:r w:rsidR="007363CD">
        <w:t xml:space="preserve"> s </w:t>
      </w:r>
      <w:r w:rsidRPr="007363CD">
        <w:t>environmentálnou integritou</w:t>
      </w:r>
      <w:r w:rsidR="007363CD">
        <w:t xml:space="preserve"> a </w:t>
      </w:r>
      <w:r w:rsidRPr="007363CD">
        <w:t>globálnou spravodlivosťou.</w:t>
      </w:r>
    </w:p>
    <w:p w14:paraId="000000A6" w14:textId="77777777" w:rsidR="005D5113" w:rsidRPr="007363CD" w:rsidRDefault="005D5113" w:rsidP="0025489C"/>
    <w:p w14:paraId="000000A7" w14:textId="55F5232D" w:rsidR="005D5113" w:rsidRPr="004D7CF2" w:rsidRDefault="002776C5" w:rsidP="004D7CF2">
      <w:pPr>
        <w:pStyle w:val="Heading1"/>
        <w:keepNext/>
        <w:keepLines/>
        <w:numPr>
          <w:ilvl w:val="0"/>
          <w:numId w:val="1"/>
        </w:numPr>
        <w:ind w:left="567" w:hanging="567"/>
      </w:pPr>
      <w:r w:rsidRPr="007363CD">
        <w:rPr>
          <w:b/>
        </w:rPr>
        <w:t>Partnerstvo</w:t>
      </w:r>
      <w:r w:rsidR="007363CD">
        <w:rPr>
          <w:b/>
        </w:rPr>
        <w:t xml:space="preserve"> s </w:t>
      </w:r>
      <w:r w:rsidRPr="007363CD">
        <w:rPr>
          <w:b/>
        </w:rPr>
        <w:t>tretími krajinami</w:t>
      </w:r>
      <w:r w:rsidR="007363CD">
        <w:rPr>
          <w:b/>
        </w:rPr>
        <w:t xml:space="preserve"> v </w:t>
      </w:r>
      <w:r w:rsidRPr="007363CD">
        <w:rPr>
          <w:b/>
        </w:rPr>
        <w:t>záujme diverzifikácie</w:t>
      </w:r>
    </w:p>
    <w:p w14:paraId="000000A8" w14:textId="77777777" w:rsidR="005D5113" w:rsidRPr="004D7CF2" w:rsidRDefault="005D5113" w:rsidP="004D7CF2">
      <w:pPr>
        <w:keepNext/>
        <w:keepLines/>
      </w:pPr>
    </w:p>
    <w:p w14:paraId="602E8D81" w14:textId="08122066" w:rsidR="003712C0" w:rsidRPr="007363CD" w:rsidRDefault="007A59A1" w:rsidP="004D7CF2">
      <w:pPr>
        <w:pStyle w:val="Heading2"/>
        <w:keepNext/>
        <w:keepLines/>
        <w:numPr>
          <w:ilvl w:val="1"/>
          <w:numId w:val="1"/>
        </w:numPr>
        <w:ind w:left="567" w:hanging="567"/>
      </w:pPr>
      <w:r w:rsidRPr="007363CD">
        <w:t>Diverzifikácia obchodu je nevyhnutnosťou. EHSV víta zámer Komisie uzatvárať partnerstvá</w:t>
      </w:r>
      <w:r w:rsidR="007363CD">
        <w:t xml:space="preserve"> v </w:t>
      </w:r>
      <w:r w:rsidRPr="007363CD">
        <w:t>oblasti kritických surovín</w:t>
      </w:r>
      <w:r w:rsidR="007363CD">
        <w:t xml:space="preserve"> a </w:t>
      </w:r>
      <w:r w:rsidRPr="007363CD">
        <w:t>integrovať hodnotové reťazce EÚ</w:t>
      </w:r>
      <w:r w:rsidR="007363CD">
        <w:t xml:space="preserve"> s </w:t>
      </w:r>
      <w:r w:rsidRPr="007363CD">
        <w:t>hodnotovými reťazcami strategických partnerov. Partnerstvá by mali podporovať tretie krajiny</w:t>
      </w:r>
      <w:r w:rsidR="007363CD">
        <w:t xml:space="preserve"> v </w:t>
      </w:r>
      <w:r w:rsidRPr="007363CD">
        <w:t>postupe na vyššie stupne hodnotového reťazca</w:t>
      </w:r>
      <w:r w:rsidR="007363CD">
        <w:t xml:space="preserve"> a v </w:t>
      </w:r>
      <w:r w:rsidRPr="007363CD">
        <w:t>rozvoji vlastných priemyselných kapacít</w:t>
      </w:r>
      <w:r w:rsidR="003712C0" w:rsidRPr="007363CD">
        <w:t>.</w:t>
      </w:r>
    </w:p>
    <w:p w14:paraId="000000AA" w14:textId="71B5A2AC" w:rsidR="005D5113" w:rsidRPr="007363CD" w:rsidRDefault="005D5113" w:rsidP="0025489C"/>
    <w:p w14:paraId="000000AB" w14:textId="123365B6" w:rsidR="005D5113" w:rsidRPr="007363CD" w:rsidRDefault="002776C5" w:rsidP="00F34E97">
      <w:pPr>
        <w:pStyle w:val="Heading2"/>
        <w:numPr>
          <w:ilvl w:val="1"/>
          <w:numId w:val="1"/>
        </w:numPr>
        <w:ind w:left="567" w:hanging="567"/>
      </w:pPr>
      <w:r w:rsidRPr="007363CD">
        <w:lastRenderedPageBreak/>
        <w:t>Vonkajšie partnerstvá zároveň nemôžu nahradiť posilňovanie domácich kapacít EÚ.</w:t>
      </w:r>
      <w:r w:rsidR="007363CD">
        <w:t xml:space="preserve"> V </w:t>
      </w:r>
      <w:r w:rsidRPr="007363CD">
        <w:t>niekoľkých prípadoch globálni konkurenti postupovali rýchlejšie pri zabezpečovaní strategických zdrojov ešte pred tým, ako sa európske partnerstvá mohli realizovať</w:t>
      </w:r>
      <w:r w:rsidRPr="007363CD">
        <w:rPr>
          <w:sz w:val="24"/>
          <w:szCs w:val="24"/>
          <w:vertAlign w:val="superscript"/>
        </w:rPr>
        <w:footnoteReference w:id="4"/>
      </w:r>
      <w:r w:rsidRPr="007363CD">
        <w:t>, čo poukazuje na význam rozvoja kapacít</w:t>
      </w:r>
      <w:r w:rsidR="007363CD">
        <w:t xml:space="preserve"> v </w:t>
      </w:r>
      <w:r w:rsidRPr="007363CD">
        <w:t>rámci EÚ.</w:t>
      </w:r>
    </w:p>
    <w:p w14:paraId="000000AC" w14:textId="77777777" w:rsidR="005D5113" w:rsidRPr="007363CD" w:rsidRDefault="005D5113" w:rsidP="0025489C"/>
    <w:p w14:paraId="000000AD" w14:textId="5E436508" w:rsidR="005D5113" w:rsidRPr="007363CD" w:rsidRDefault="002776C5" w:rsidP="00F05972">
      <w:pPr>
        <w:pStyle w:val="Heading2"/>
        <w:numPr>
          <w:ilvl w:val="1"/>
          <w:numId w:val="1"/>
        </w:numPr>
        <w:ind w:left="567" w:hanging="567"/>
      </w:pPr>
      <w:r w:rsidRPr="007363CD">
        <w:t>Partnerstvá musia zahŕňať silné záruky</w:t>
      </w:r>
      <w:r w:rsidR="007363CD">
        <w:t xml:space="preserve"> v </w:t>
      </w:r>
      <w:r w:rsidRPr="007363CD">
        <w:t>oblasti riadenia. Dohody by mali obsahovať merateľné referenčné hodnoty, požiadavky na transparentnosť</w:t>
      </w:r>
      <w:r w:rsidR="007363CD">
        <w:t xml:space="preserve"> a </w:t>
      </w:r>
      <w:r w:rsidRPr="007363CD">
        <w:t>doložky</w:t>
      </w:r>
      <w:r w:rsidR="007363CD">
        <w:t xml:space="preserve"> o </w:t>
      </w:r>
      <w:r w:rsidRPr="007363CD">
        <w:t>pozastavení</w:t>
      </w:r>
      <w:r w:rsidR="007363CD">
        <w:t xml:space="preserve"> v </w:t>
      </w:r>
      <w:r w:rsidRPr="007363CD">
        <w:t>prípadoch vážneho poškodenia životného prostredia, financovania terorizmu, prania špinavých peňazí, korupcie alebo porušovania pracovných práv. Strategické označenie nesmie chrániť projekty pred mechanizmami zodpovednosti</w:t>
      </w:r>
      <w:r w:rsidR="007363CD">
        <w:t xml:space="preserve"> a </w:t>
      </w:r>
      <w:r w:rsidRPr="007363CD">
        <w:t>memorandá</w:t>
      </w:r>
      <w:r w:rsidR="007363CD">
        <w:t xml:space="preserve"> o </w:t>
      </w:r>
      <w:r w:rsidRPr="007363CD">
        <w:t>porozumení</w:t>
      </w:r>
      <w:r w:rsidR="007363CD">
        <w:t xml:space="preserve"> a </w:t>
      </w:r>
      <w:r w:rsidRPr="007363CD">
        <w:t>plány by mali byť verejné. Pozornosť by sa mala venovať aj rizikám korupcie, transparentnosti týkajúcej sa príjmov, spravodlivému rozdeleniu prínosov, dokumentácii</w:t>
      </w:r>
      <w:r w:rsidR="007363CD">
        <w:t xml:space="preserve"> a </w:t>
      </w:r>
      <w:r w:rsidRPr="007363CD">
        <w:t>plánom, podávaniu správ</w:t>
      </w:r>
      <w:r w:rsidR="007363CD">
        <w:t xml:space="preserve"> o </w:t>
      </w:r>
      <w:r w:rsidRPr="007363CD">
        <w:t>skutočnom vlastníctve</w:t>
      </w:r>
      <w:r w:rsidR="007363CD">
        <w:t xml:space="preserve"> a </w:t>
      </w:r>
      <w:r w:rsidRPr="007363CD">
        <w:t>zosúladeniu</w:t>
      </w:r>
      <w:r w:rsidR="007363CD">
        <w:t xml:space="preserve"> s </w:t>
      </w:r>
      <w:r w:rsidRPr="007363CD">
        <w:t>medzinárodnými iniciatívami, aby sa zabránilo tomu, že príjmy zo zdrojov budú podnecovať nestabilitu alebo viesť</w:t>
      </w:r>
      <w:r w:rsidR="007363CD">
        <w:t xml:space="preserve"> k </w:t>
      </w:r>
      <w:r w:rsidRPr="007363CD">
        <w:t>ich ovládnutiu elitami. Reakcia EÚ na geopolitickú konkurenciu by nemala reprodukovať mocenskú politiku</w:t>
      </w:r>
      <w:r w:rsidR="007363CD">
        <w:t xml:space="preserve"> v </w:t>
      </w:r>
      <w:r w:rsidRPr="007363CD">
        <w:t>oblasti ťažby surovín, keďže strategická autonómia musí byť založená na predvídateľných pravidlách</w:t>
      </w:r>
      <w:r w:rsidR="007363CD">
        <w:t xml:space="preserve"> a </w:t>
      </w:r>
      <w:r w:rsidRPr="007363CD">
        <w:t>spravodlivých partnerstvách. A preto začlenením zásady slobodného, predchádzajúceho</w:t>
      </w:r>
      <w:r w:rsidR="007363CD">
        <w:t xml:space="preserve"> a </w:t>
      </w:r>
      <w:r w:rsidRPr="007363CD">
        <w:t>informovaného súhlasu (MOP 169) musia partnerstvá zabezpečiť, aby dotknuté pôvodné obyvateľstvo malo</w:t>
      </w:r>
      <w:r w:rsidR="007363CD">
        <w:t xml:space="preserve"> v </w:t>
      </w:r>
      <w:r w:rsidRPr="007363CD">
        <w:t>prípade potreby skutočný vplyv na rozhodovanie</w:t>
      </w:r>
      <w:r w:rsidR="007363CD">
        <w:t xml:space="preserve"> o </w:t>
      </w:r>
      <w:r w:rsidRPr="007363CD">
        <w:t>projektoch, ktoré zasahujú do ich území.</w:t>
      </w:r>
    </w:p>
    <w:p w14:paraId="000000AE" w14:textId="77777777" w:rsidR="005D5113" w:rsidRPr="007363CD" w:rsidRDefault="005D5113" w:rsidP="0025489C"/>
    <w:p w14:paraId="000000AF" w14:textId="4B2E2455" w:rsidR="005D5113" w:rsidRPr="007363CD" w:rsidRDefault="002776C5" w:rsidP="00F34E97">
      <w:pPr>
        <w:pStyle w:val="Heading2"/>
        <w:numPr>
          <w:ilvl w:val="1"/>
          <w:numId w:val="1"/>
        </w:numPr>
        <w:ind w:left="567" w:hanging="567"/>
        <w:rPr>
          <w:b/>
          <w:bCs/>
        </w:rPr>
      </w:pPr>
      <w:r w:rsidRPr="007363CD">
        <w:t>Pri podpisovaní dohôd</w:t>
      </w:r>
      <w:r w:rsidR="007363CD">
        <w:t xml:space="preserve"> o </w:t>
      </w:r>
      <w:r w:rsidRPr="007363CD">
        <w:t>voľnom obchode je potrebné nájsť správnu rovnováhu medzi diverzifikáciou dodávok</w:t>
      </w:r>
      <w:r w:rsidR="007363CD">
        <w:t xml:space="preserve"> v </w:t>
      </w:r>
      <w:r w:rsidRPr="007363CD">
        <w:t>zahraničí</w:t>
      </w:r>
      <w:r w:rsidR="007363CD">
        <w:t xml:space="preserve"> a </w:t>
      </w:r>
      <w:r w:rsidRPr="007363CD">
        <w:t>posilňovaním domácich spôsobilostí. Preferenčné sadzobné zaobchádzanie</w:t>
      </w:r>
      <w:r w:rsidR="007363CD">
        <w:t xml:space="preserve"> s </w:t>
      </w:r>
      <w:r w:rsidRPr="007363CD">
        <w:t>kritickými surovinami získavanými vo veľkom rozsahu</w:t>
      </w:r>
      <w:r w:rsidR="007363CD">
        <w:t xml:space="preserve"> v </w:t>
      </w:r>
      <w:r w:rsidRPr="007363CD">
        <w:t>tretích krajinách (najmä prístup</w:t>
      </w:r>
      <w:r w:rsidR="007363CD">
        <w:t xml:space="preserve"> s </w:t>
      </w:r>
      <w:r w:rsidRPr="007363CD">
        <w:t>nulovými colnými sadzbami) by sa malo dôkladne posúdiť, ak by mohlo oslabiť stimuly na investovanie do výroby</w:t>
      </w:r>
      <w:r w:rsidR="007363CD">
        <w:t xml:space="preserve"> a </w:t>
      </w:r>
      <w:r w:rsidRPr="007363CD">
        <w:t>recyklačných kapacít</w:t>
      </w:r>
      <w:r w:rsidR="007363CD">
        <w:t xml:space="preserve"> v </w:t>
      </w:r>
      <w:r w:rsidRPr="007363CD">
        <w:t>EÚ. Obchodná politika by preto mala podporovať diverzifikáciu tak, aby sa nezhoršoval únik uhlíka ani neprehlbovala závislosť od externých dodávateľov.</w:t>
      </w:r>
    </w:p>
    <w:p w14:paraId="000000B0" w14:textId="77777777" w:rsidR="005D5113" w:rsidRPr="007363CD" w:rsidRDefault="005D5113" w:rsidP="0025489C"/>
    <w:p w14:paraId="000000B2" w14:textId="1BDA4D00" w:rsidR="005D5113" w:rsidRPr="007363CD" w:rsidRDefault="002776C5" w:rsidP="0074642E">
      <w:pPr>
        <w:pStyle w:val="Heading2"/>
        <w:numPr>
          <w:ilvl w:val="1"/>
          <w:numId w:val="1"/>
        </w:numPr>
        <w:ind w:left="567" w:hanging="567"/>
      </w:pPr>
      <w:r w:rsidRPr="007363CD">
        <w:t>Napokon by partnerstvá mali odrážať aj priority partnerských krajín</w:t>
      </w:r>
      <w:r w:rsidR="007363CD">
        <w:t xml:space="preserve"> a </w:t>
      </w:r>
      <w:r w:rsidRPr="007363CD">
        <w:t>podporovať miestny hospodársky rozvoj prostredníctvom investícií, prenosu zručností</w:t>
      </w:r>
      <w:r w:rsidR="007363CD">
        <w:t xml:space="preserve"> a </w:t>
      </w:r>
      <w:r w:rsidRPr="007363CD">
        <w:t>udržateľnej tvorby hodnôt, pričom musia dodržiavať environmentálne limity, sociálne práva</w:t>
      </w:r>
      <w:r w:rsidR="007363CD">
        <w:t xml:space="preserve"> a </w:t>
      </w:r>
      <w:r w:rsidRPr="007363CD">
        <w:t xml:space="preserve">súhlas komunity. Mali by zabrániť reprodukovaniu závislosti od ťažby alebo </w:t>
      </w:r>
      <w:proofErr w:type="spellStart"/>
      <w:r w:rsidRPr="007363CD">
        <w:t>externalizácii</w:t>
      </w:r>
      <w:proofErr w:type="spellEnd"/>
      <w:r w:rsidRPr="007363CD">
        <w:t xml:space="preserve"> environmentálnych</w:t>
      </w:r>
      <w:r w:rsidR="007363CD">
        <w:t xml:space="preserve"> a </w:t>
      </w:r>
      <w:r w:rsidRPr="007363CD">
        <w:t>sociálnych nákladov. Aby boli dôveryhodné, dohody</w:t>
      </w:r>
      <w:r w:rsidR="007363CD">
        <w:t xml:space="preserve"> o </w:t>
      </w:r>
      <w:r w:rsidRPr="007363CD">
        <w:t>partnerstve</w:t>
      </w:r>
      <w:r w:rsidR="007363CD">
        <w:t xml:space="preserve"> a </w:t>
      </w:r>
      <w:r w:rsidRPr="007363CD">
        <w:t>súvisiace nástroje by mali obsahovať jasne stanovené požiadavky</w:t>
      </w:r>
      <w:r w:rsidR="007363CD">
        <w:t xml:space="preserve"> v </w:t>
      </w:r>
      <w:r w:rsidRPr="007363CD">
        <w:t>oblasti pracovného práva</w:t>
      </w:r>
      <w:r w:rsidR="007363CD">
        <w:t xml:space="preserve"> a </w:t>
      </w:r>
      <w:r w:rsidRPr="007363CD">
        <w:t>vynútiteľné ustanovenia</w:t>
      </w:r>
      <w:r w:rsidR="007363CD">
        <w:t xml:space="preserve"> o </w:t>
      </w:r>
      <w:r w:rsidRPr="007363CD">
        <w:t>náležitej starostlivosti</w:t>
      </w:r>
      <w:r w:rsidR="007363CD">
        <w:t xml:space="preserve"> s </w:t>
      </w:r>
      <w:r w:rsidRPr="007363CD">
        <w:t>monitorovaním, transparentnosťou</w:t>
      </w:r>
      <w:r w:rsidR="007363CD">
        <w:t xml:space="preserve"> a </w:t>
      </w:r>
      <w:r w:rsidRPr="007363CD">
        <w:t>nápravnými opatreniami</w:t>
      </w:r>
      <w:r w:rsidR="007363CD">
        <w:t xml:space="preserve"> v </w:t>
      </w:r>
      <w:r w:rsidRPr="007363CD">
        <w:t>prípade vzniku škody,</w:t>
      </w:r>
      <w:r w:rsidR="007363CD">
        <w:t xml:space="preserve"> a </w:t>
      </w:r>
      <w:r w:rsidRPr="007363CD">
        <w:t>nemali by sa spoliehať na dobrovoľné ustanovenia.</w:t>
      </w:r>
    </w:p>
    <w:p w14:paraId="76473B52" w14:textId="77777777" w:rsidR="00022E7C" w:rsidRPr="007363CD" w:rsidRDefault="00022E7C" w:rsidP="004D7CF2">
      <w:pPr>
        <w:jc w:val="left"/>
      </w:pPr>
    </w:p>
    <w:p w14:paraId="18A2495D" w14:textId="4D319A21" w:rsidR="00287F85" w:rsidRPr="007363CD" w:rsidRDefault="00287F85" w:rsidP="00022E7C">
      <w:pPr>
        <w:tabs>
          <w:tab w:val="left" w:pos="142"/>
        </w:tabs>
      </w:pPr>
      <w:r w:rsidRPr="007363CD">
        <w:t>V Bruseli 20</w:t>
      </w:r>
      <w:r w:rsidR="007363CD">
        <w:t>. mája</w:t>
      </w:r>
      <w:r w:rsidRPr="007363CD">
        <w:t xml:space="preserve"> 2026</w:t>
      </w:r>
    </w:p>
    <w:p w14:paraId="24E543B0" w14:textId="77777777" w:rsidR="00287F85" w:rsidRPr="007363CD" w:rsidRDefault="00287F85" w:rsidP="00287F85"/>
    <w:p w14:paraId="0A6274AF" w14:textId="77777777" w:rsidR="00287F85" w:rsidRPr="007363CD" w:rsidRDefault="00287F85" w:rsidP="00287F85"/>
    <w:p w14:paraId="7E230475" w14:textId="0A61256C" w:rsidR="00287F85" w:rsidRPr="007363CD" w:rsidRDefault="00287F85" w:rsidP="00022E7C">
      <w:pPr>
        <w:tabs>
          <w:tab w:val="left" w:pos="142"/>
        </w:tabs>
        <w:rPr>
          <w:i/>
          <w:iCs/>
        </w:rPr>
      </w:pPr>
      <w:r w:rsidRPr="007363CD">
        <w:rPr>
          <w:i/>
        </w:rPr>
        <w:t>Predseda poradnej komisie pre priemyselné zmeny</w:t>
      </w:r>
    </w:p>
    <w:p w14:paraId="254E9C5C" w14:textId="37678330" w:rsidR="00022E7C" w:rsidRPr="007363CD" w:rsidRDefault="00287F85" w:rsidP="002F4D01">
      <w:pPr>
        <w:jc w:val="left"/>
      </w:pPr>
      <w:proofErr w:type="spellStart"/>
      <w:r w:rsidRPr="007363CD">
        <w:t>Alain</w:t>
      </w:r>
      <w:proofErr w:type="spellEnd"/>
      <w:r w:rsidRPr="007363CD">
        <w:t xml:space="preserve"> COHEUR</w:t>
      </w:r>
    </w:p>
    <w:p w14:paraId="7A53CE54" w14:textId="11ED6744" w:rsidR="00022E7C" w:rsidRPr="007363CD" w:rsidRDefault="00022E7C" w:rsidP="002F4D01">
      <w:pPr>
        <w:overflowPunct w:val="0"/>
        <w:autoSpaceDE w:val="0"/>
        <w:autoSpaceDN w:val="0"/>
        <w:adjustRightInd w:val="0"/>
        <w:jc w:val="center"/>
        <w:textAlignment w:val="baseline"/>
      </w:pPr>
      <w:r w:rsidRPr="007363CD">
        <w:t>_____________</w:t>
      </w:r>
    </w:p>
    <w:sectPr w:rsidR="00022E7C" w:rsidRPr="007363CD" w:rsidSect="00131E9C">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08FE" w14:textId="77777777" w:rsidR="00253A4D" w:rsidRDefault="00253A4D">
      <w:pPr>
        <w:spacing w:line="240" w:lineRule="auto"/>
      </w:pPr>
      <w:r>
        <w:separator/>
      </w:r>
    </w:p>
  </w:endnote>
  <w:endnote w:type="continuationSeparator" w:id="0">
    <w:p w14:paraId="2C695A8D" w14:textId="77777777" w:rsidR="00253A4D" w:rsidRDefault="00253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10A477EA"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rsidR="00366DD9">
      <w:t>1</w:t>
    </w:r>
    <w:r>
      <w:fldChar w:fldCharType="end"/>
    </w:r>
    <w:r>
      <w:t>/</w:t>
    </w:r>
    <w:r w:rsidR="00336AB2">
      <w:fldChar w:fldCharType="begin"/>
    </w:r>
    <w:r w:rsidR="00336AB2">
      <w:instrText xml:space="preserve"> NUMPAGES </w:instrText>
    </w:r>
    <w:r w:rsidR="00336AB2">
      <w:fldChar w:fldCharType="separate"/>
    </w:r>
    <w:r w:rsidR="00366DD9">
      <w:t>1</w:t>
    </w:r>
    <w:r w:rsidR="00336AB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5D5113" w:rsidRPr="00131E9C" w:rsidRDefault="005D5113" w:rsidP="00131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38147BDB"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t>2</w:t>
    </w:r>
    <w:r>
      <w:fldChar w:fldCharType="end"/>
    </w:r>
    <w:r>
      <w:t>/</w:t>
    </w:r>
    <w:r w:rsidR="00336AB2">
      <w:fldChar w:fldCharType="begin"/>
    </w:r>
    <w:r w:rsidR="00336AB2">
      <w:instrText xml:space="preserve"> NUMPAGES </w:instrText>
    </w:r>
    <w:r w:rsidR="00336AB2">
      <w:fldChar w:fldCharType="separate"/>
    </w:r>
    <w:r>
      <w:t>9</w:t>
    </w:r>
    <w:r w:rsidR="00336AB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2" w14:textId="77777777" w:rsidR="005D5113" w:rsidRPr="00131E9C" w:rsidRDefault="005D5113" w:rsidP="0013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7B93" w14:textId="77777777" w:rsidR="00253A4D" w:rsidRDefault="00253A4D">
      <w:pPr>
        <w:spacing w:line="240" w:lineRule="auto"/>
      </w:pPr>
      <w:r>
        <w:separator/>
      </w:r>
    </w:p>
  </w:footnote>
  <w:footnote w:type="continuationSeparator" w:id="0">
    <w:p w14:paraId="5C29FA38" w14:textId="77777777" w:rsidR="00253A4D" w:rsidRDefault="00253A4D">
      <w:pPr>
        <w:spacing w:line="240" w:lineRule="auto"/>
      </w:pPr>
      <w:r>
        <w:continuationSeparator/>
      </w:r>
    </w:p>
  </w:footnote>
  <w:footnote w:id="1">
    <w:p w14:paraId="000000B5" w14:textId="7CDC50EC" w:rsidR="005D5113" w:rsidRPr="004D7CF2" w:rsidRDefault="002776C5">
      <w:pPr>
        <w:keepLines/>
        <w:spacing w:after="60" w:line="240" w:lineRule="auto"/>
        <w:ind w:left="567" w:hanging="567"/>
        <w:rPr>
          <w:color w:val="000000"/>
          <w:sz w:val="16"/>
          <w:szCs w:val="16"/>
        </w:rPr>
      </w:pPr>
      <w:r w:rsidRPr="004D7CF2">
        <w:rPr>
          <w:rStyle w:val="FootnoteReference"/>
        </w:rPr>
        <w:footnoteRef/>
      </w:r>
      <w:r w:rsidRPr="004D7CF2">
        <w:rPr>
          <w:color w:val="000000"/>
          <w:sz w:val="16"/>
        </w:rPr>
        <w:t xml:space="preserve"> </w:t>
      </w:r>
      <w:r w:rsidRPr="004D7CF2">
        <w:rPr>
          <w:color w:val="000000"/>
          <w:sz w:val="16"/>
        </w:rPr>
        <w:tab/>
        <w:t>V praxi to znamená, že kumulatívny efekt týchto podmienok spôsobuje, že energeticky náročné odvetvia, ktoré už dostávajú kompenzáciu nepriamych nákladov ETS, sú</w:t>
      </w:r>
      <w:r w:rsidR="004D7CF2">
        <w:rPr>
          <w:color w:val="000000"/>
          <w:sz w:val="16"/>
        </w:rPr>
        <w:t xml:space="preserve"> v </w:t>
      </w:r>
      <w:r w:rsidRPr="004D7CF2">
        <w:rPr>
          <w:color w:val="000000"/>
          <w:sz w:val="16"/>
        </w:rPr>
        <w:t>podstate vylúčené</w:t>
      </w:r>
      <w:r w:rsidR="004D7CF2">
        <w:rPr>
          <w:color w:val="000000"/>
          <w:sz w:val="16"/>
        </w:rPr>
        <w:t xml:space="preserve"> z </w:t>
      </w:r>
      <w:r w:rsidRPr="004D7CF2">
        <w:rPr>
          <w:color w:val="000000"/>
          <w:sz w:val="16"/>
        </w:rPr>
        <w:t>využitia tejto úľavy na cenu elektriny. Strop oprávnenej spotreby</w:t>
      </w:r>
      <w:r w:rsidR="004D7CF2">
        <w:rPr>
          <w:color w:val="000000"/>
          <w:sz w:val="16"/>
        </w:rPr>
        <w:t xml:space="preserve"> a </w:t>
      </w:r>
      <w:r w:rsidRPr="004D7CF2">
        <w:rPr>
          <w:color w:val="000000"/>
          <w:sz w:val="16"/>
        </w:rPr>
        <w:t>ceny</w:t>
      </w:r>
      <w:r w:rsidR="004D7CF2">
        <w:rPr>
          <w:color w:val="000000"/>
          <w:sz w:val="16"/>
        </w:rPr>
        <w:t xml:space="preserve"> v </w:t>
      </w:r>
      <w:r w:rsidRPr="004D7CF2">
        <w:rPr>
          <w:color w:val="000000"/>
          <w:sz w:val="16"/>
        </w:rPr>
        <w:t>kombinácii</w:t>
      </w:r>
      <w:r w:rsidR="004D7CF2">
        <w:rPr>
          <w:color w:val="000000"/>
          <w:sz w:val="16"/>
        </w:rPr>
        <w:t xml:space="preserve"> s </w:t>
      </w:r>
      <w:r w:rsidRPr="004D7CF2">
        <w:rPr>
          <w:color w:val="000000"/>
          <w:sz w:val="16"/>
        </w:rPr>
        <w:t>prísnymi pravidlami vyčleňovania investícií</w:t>
      </w:r>
      <w:r w:rsidR="004D7CF2">
        <w:rPr>
          <w:color w:val="000000"/>
          <w:sz w:val="16"/>
        </w:rPr>
        <w:t xml:space="preserve"> a </w:t>
      </w:r>
      <w:r w:rsidRPr="004D7CF2">
        <w:rPr>
          <w:color w:val="000000"/>
          <w:sz w:val="16"/>
        </w:rPr>
        <w:t>nekumulovania podpôr znamená, že spoločnosti, ktoré dosahujú maximálnu prípustnú kompenzáciu nepriamych nákladov, nemajú prístup</w:t>
      </w:r>
      <w:r w:rsidR="004D7CF2">
        <w:rPr>
          <w:color w:val="000000"/>
          <w:sz w:val="16"/>
        </w:rPr>
        <w:t xml:space="preserve"> k </w:t>
      </w:r>
      <w:r w:rsidRPr="004D7CF2">
        <w:rPr>
          <w:color w:val="000000"/>
          <w:sz w:val="16"/>
        </w:rPr>
        <w:t>dodatočnej úľave.</w:t>
      </w:r>
    </w:p>
  </w:footnote>
  <w:footnote w:id="2">
    <w:p w14:paraId="000000B8" w14:textId="6618E10B" w:rsidR="005D5113" w:rsidRPr="004D7CF2" w:rsidRDefault="002776C5" w:rsidP="00470E7F">
      <w:pPr>
        <w:keepLines/>
        <w:pBdr>
          <w:top w:val="nil"/>
          <w:left w:val="nil"/>
          <w:bottom w:val="nil"/>
          <w:right w:val="nil"/>
          <w:between w:val="nil"/>
        </w:pBdr>
        <w:spacing w:after="60" w:line="240" w:lineRule="auto"/>
        <w:ind w:left="567" w:hanging="567"/>
        <w:rPr>
          <w:color w:val="000000"/>
          <w:sz w:val="16"/>
          <w:szCs w:val="16"/>
        </w:rPr>
      </w:pPr>
      <w:r w:rsidRPr="004D7CF2">
        <w:rPr>
          <w:rStyle w:val="FootnoteReference"/>
        </w:rPr>
        <w:footnoteRef/>
      </w:r>
      <w:r w:rsidRPr="004D7CF2">
        <w:rPr>
          <w:color w:val="000000"/>
          <w:sz w:val="16"/>
        </w:rPr>
        <w:t xml:space="preserve"> </w:t>
      </w:r>
      <w:r w:rsidRPr="004D7CF2">
        <w:rPr>
          <w:color w:val="000000"/>
          <w:sz w:val="16"/>
        </w:rPr>
        <w:tab/>
        <w:t>Dokonca aj EIB (známa ako európska klimatická banka) začiatkom roka 2025 oznámila, že je</w:t>
      </w:r>
      <w:r w:rsidR="004D7CF2">
        <w:rPr>
          <w:color w:val="000000"/>
          <w:sz w:val="16"/>
        </w:rPr>
        <w:t xml:space="preserve"> v </w:t>
      </w:r>
      <w:r w:rsidRPr="004D7CF2">
        <w:rPr>
          <w:color w:val="000000"/>
          <w:sz w:val="16"/>
        </w:rPr>
        <w:t>súlade</w:t>
      </w:r>
      <w:r w:rsidR="004D7CF2">
        <w:rPr>
          <w:color w:val="000000"/>
          <w:sz w:val="16"/>
        </w:rPr>
        <w:t xml:space="preserve"> s </w:t>
      </w:r>
      <w:r w:rsidRPr="004D7CF2">
        <w:rPr>
          <w:color w:val="000000"/>
          <w:sz w:val="16"/>
        </w:rPr>
        <w:t>taxonómiou EÚ len na úrovni 1</w:t>
      </w:r>
      <w:r w:rsidR="004D7CF2">
        <w:rPr>
          <w:color w:val="000000"/>
          <w:sz w:val="16"/>
        </w:rPr>
        <w:t> %</w:t>
      </w:r>
      <w:r w:rsidRPr="004D7CF2">
        <w:rPr>
          <w:color w:val="000000"/>
          <w:sz w:val="16"/>
        </w:rPr>
        <w:t>, čo zdôrazňuje nadmernú zložitosť</w:t>
      </w:r>
      <w:r w:rsidR="004D7CF2">
        <w:rPr>
          <w:color w:val="000000"/>
          <w:sz w:val="16"/>
        </w:rPr>
        <w:t xml:space="preserve"> a </w:t>
      </w:r>
      <w:proofErr w:type="spellStart"/>
      <w:r w:rsidRPr="004D7CF2">
        <w:rPr>
          <w:color w:val="000000"/>
          <w:sz w:val="16"/>
        </w:rPr>
        <w:t>nerealizovateľnosť</w:t>
      </w:r>
      <w:proofErr w:type="spellEnd"/>
      <w:r w:rsidRPr="004D7CF2">
        <w:rPr>
          <w:color w:val="000000"/>
          <w:sz w:val="16"/>
        </w:rPr>
        <w:t xml:space="preserve"> taxonómie. (Zdroj: </w:t>
      </w:r>
      <w:hyperlink r:id="rId1">
        <w:proofErr w:type="spellStart"/>
        <w:r w:rsidRPr="004D7CF2">
          <w:rPr>
            <w:color w:val="0000FF"/>
            <w:sz w:val="16"/>
            <w:u w:val="single"/>
          </w:rPr>
          <w:t>Financial</w:t>
        </w:r>
        <w:proofErr w:type="spellEnd"/>
        <w:r w:rsidRPr="004D7CF2">
          <w:rPr>
            <w:color w:val="0000FF"/>
            <w:sz w:val="16"/>
            <w:u w:val="single"/>
          </w:rPr>
          <w:t xml:space="preserve"> </w:t>
        </w:r>
        <w:proofErr w:type="spellStart"/>
        <w:r w:rsidRPr="004D7CF2">
          <w:rPr>
            <w:color w:val="0000FF"/>
            <w:sz w:val="16"/>
            <w:u w:val="single"/>
          </w:rPr>
          <w:t>Times</w:t>
        </w:r>
        <w:proofErr w:type="spellEnd"/>
      </w:hyperlink>
      <w:r w:rsidRPr="004D7CF2">
        <w:rPr>
          <w:color w:val="000000"/>
          <w:sz w:val="16"/>
        </w:rPr>
        <w:t>).</w:t>
      </w:r>
    </w:p>
  </w:footnote>
  <w:footnote w:id="3">
    <w:p w14:paraId="000000BA" w14:textId="7D0A8E3F" w:rsidR="005D5113" w:rsidRPr="004D7CF2" w:rsidRDefault="002776C5">
      <w:pPr>
        <w:keepLines/>
        <w:spacing w:after="60" w:line="240" w:lineRule="auto"/>
        <w:ind w:left="567" w:hanging="567"/>
        <w:jc w:val="left"/>
        <w:rPr>
          <w:color w:val="000000"/>
          <w:sz w:val="16"/>
          <w:szCs w:val="16"/>
        </w:rPr>
      </w:pPr>
      <w:r w:rsidRPr="004D7CF2">
        <w:rPr>
          <w:rStyle w:val="FootnoteReference"/>
        </w:rPr>
        <w:footnoteRef/>
      </w:r>
      <w:r w:rsidRPr="004D7CF2">
        <w:rPr>
          <w:color w:val="000000"/>
          <w:sz w:val="16"/>
        </w:rPr>
        <w:t xml:space="preserve"> </w:t>
      </w:r>
      <w:r w:rsidRPr="004D7CF2">
        <w:rPr>
          <w:color w:val="000000"/>
          <w:sz w:val="16"/>
        </w:rPr>
        <w:tab/>
        <w:t>EHSV konštatuje, že jediný investičný projekt</w:t>
      </w:r>
      <w:r w:rsidR="004D7CF2">
        <w:rPr>
          <w:color w:val="000000"/>
          <w:sz w:val="16"/>
        </w:rPr>
        <w:t xml:space="preserve"> v </w:t>
      </w:r>
      <w:r w:rsidRPr="004D7CF2">
        <w:rPr>
          <w:color w:val="000000"/>
          <w:sz w:val="16"/>
        </w:rPr>
        <w:t>oblasti gália</w:t>
      </w:r>
      <w:r w:rsidR="004D7CF2">
        <w:rPr>
          <w:color w:val="000000"/>
          <w:sz w:val="16"/>
        </w:rPr>
        <w:t xml:space="preserve"> v </w:t>
      </w:r>
      <w:r w:rsidRPr="004D7CF2">
        <w:rPr>
          <w:color w:val="000000"/>
          <w:sz w:val="16"/>
        </w:rPr>
        <w:t>EÚ by po úplnej realizácii mohol pokryť až 100</w:t>
      </w:r>
      <w:r w:rsidR="004D7CF2">
        <w:rPr>
          <w:color w:val="000000"/>
          <w:sz w:val="16"/>
        </w:rPr>
        <w:t> %</w:t>
      </w:r>
      <w:r w:rsidRPr="004D7CF2">
        <w:rPr>
          <w:color w:val="000000"/>
          <w:sz w:val="16"/>
        </w:rPr>
        <w:t xml:space="preserve"> dopytu EÚ, čím by sa výrazne posilnila bezpečnosť dodávok pre kľúčové priemyselné</w:t>
      </w:r>
      <w:r w:rsidR="004D7CF2">
        <w:rPr>
          <w:color w:val="000000"/>
          <w:sz w:val="16"/>
        </w:rPr>
        <w:t xml:space="preserve"> a </w:t>
      </w:r>
      <w:r w:rsidRPr="004D7CF2">
        <w:rPr>
          <w:color w:val="000000"/>
          <w:sz w:val="16"/>
        </w:rPr>
        <w:t>obranné hodnotové reťazce.</w:t>
      </w:r>
    </w:p>
  </w:footnote>
  <w:footnote w:id="4">
    <w:p w14:paraId="000000BB" w14:textId="47080C12" w:rsidR="005D5113" w:rsidRPr="004D7CF2" w:rsidRDefault="002776C5">
      <w:pPr>
        <w:keepLines/>
        <w:spacing w:after="60" w:line="240" w:lineRule="auto"/>
        <w:ind w:left="567" w:hanging="567"/>
        <w:rPr>
          <w:color w:val="000000"/>
          <w:sz w:val="16"/>
          <w:szCs w:val="16"/>
        </w:rPr>
      </w:pPr>
      <w:r w:rsidRPr="004D7CF2">
        <w:rPr>
          <w:rStyle w:val="FootnoteReference"/>
        </w:rPr>
        <w:footnoteRef/>
      </w:r>
      <w:r w:rsidRPr="004D7CF2">
        <w:rPr>
          <w:color w:val="000000"/>
          <w:sz w:val="16"/>
        </w:rPr>
        <w:t xml:space="preserve"> </w:t>
      </w:r>
      <w:r w:rsidRPr="004D7CF2">
        <w:rPr>
          <w:color w:val="000000"/>
          <w:sz w:val="16"/>
        </w:rPr>
        <w:tab/>
        <w:t>Koncom roka 2025 si Spojené štáty zabezpečili významný záväzok až do výšky 465 miliónov USD od svojej Rozvojovej finančnej korporácie (</w:t>
      </w:r>
      <w:proofErr w:type="spellStart"/>
      <w:r w:rsidRPr="004D7CF2">
        <w:rPr>
          <w:i/>
          <w:color w:val="000000"/>
          <w:sz w:val="16"/>
        </w:rPr>
        <w:t>Development</w:t>
      </w:r>
      <w:proofErr w:type="spellEnd"/>
      <w:r w:rsidRPr="004D7CF2">
        <w:rPr>
          <w:i/>
          <w:color w:val="000000"/>
          <w:sz w:val="16"/>
        </w:rPr>
        <w:t xml:space="preserve"> </w:t>
      </w:r>
      <w:proofErr w:type="spellStart"/>
      <w:r w:rsidRPr="004D7CF2">
        <w:rPr>
          <w:i/>
          <w:color w:val="000000"/>
          <w:sz w:val="16"/>
        </w:rPr>
        <w:t>Finance</w:t>
      </w:r>
      <w:proofErr w:type="spellEnd"/>
      <w:r w:rsidRPr="004D7CF2">
        <w:rPr>
          <w:i/>
          <w:color w:val="000000"/>
          <w:sz w:val="16"/>
        </w:rPr>
        <w:t xml:space="preserve"> </w:t>
      </w:r>
      <w:proofErr w:type="spellStart"/>
      <w:r w:rsidRPr="004D7CF2">
        <w:rPr>
          <w:i/>
          <w:color w:val="000000"/>
          <w:sz w:val="16"/>
        </w:rPr>
        <w:t>Corporation</w:t>
      </w:r>
      <w:proofErr w:type="spellEnd"/>
      <w:r w:rsidRPr="004D7CF2">
        <w:rPr>
          <w:color w:val="000000"/>
          <w:sz w:val="16"/>
        </w:rPr>
        <w:t>) na podporu rozšírenia projektu</w:t>
      </w:r>
      <w:r w:rsidR="004D7CF2">
        <w:rPr>
          <w:color w:val="000000"/>
          <w:sz w:val="16"/>
        </w:rPr>
        <w:t xml:space="preserve"> v </w:t>
      </w:r>
      <w:r w:rsidRPr="004D7CF2">
        <w:rPr>
          <w:color w:val="000000"/>
          <w:sz w:val="16"/>
        </w:rPr>
        <w:t>oblasti ťažby vzácnych zemín</w:t>
      </w:r>
      <w:r w:rsidR="004D7CF2">
        <w:rPr>
          <w:color w:val="000000"/>
          <w:sz w:val="16"/>
        </w:rPr>
        <w:t xml:space="preserve"> v </w:t>
      </w:r>
      <w:r w:rsidRPr="004D7CF2">
        <w:rPr>
          <w:color w:val="000000"/>
          <w:sz w:val="16"/>
        </w:rPr>
        <w:t>Brazílii,</w:t>
      </w:r>
      <w:r w:rsidR="004D7CF2">
        <w:rPr>
          <w:color w:val="000000"/>
          <w:sz w:val="16"/>
        </w:rPr>
        <w:t xml:space="preserve"> a </w:t>
      </w:r>
      <w:r w:rsidRPr="004D7CF2">
        <w:rPr>
          <w:color w:val="000000"/>
          <w:sz w:val="16"/>
        </w:rPr>
        <w:t>to len niekoľko dní pred tým, ako mali predstavitelia EÚ začať rokovania</w:t>
      </w:r>
      <w:r w:rsidR="004D7CF2">
        <w:rPr>
          <w:color w:val="000000"/>
          <w:sz w:val="16"/>
        </w:rPr>
        <w:t xml:space="preserve"> o </w:t>
      </w:r>
      <w:r w:rsidRPr="004D7CF2">
        <w:rPr>
          <w:color w:val="000000"/>
          <w:sz w:val="16"/>
        </w:rPr>
        <w:t xml:space="preserve">tej istej príležitosti dodávok. (Zdroj: </w:t>
      </w:r>
      <w:hyperlink r:id="rId2">
        <w:r w:rsidRPr="004D7CF2">
          <w:rPr>
            <w:color w:val="0000FF"/>
            <w:sz w:val="16"/>
            <w:u w:val="single"/>
          </w:rPr>
          <w:t>odkaz</w:t>
        </w:r>
      </w:hyperlink>
      <w:r w:rsidRPr="004D7CF2">
        <w:rPr>
          <w:color w:val="00000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77777777" w:rsidR="005D5113" w:rsidRPr="00131E9C" w:rsidRDefault="005D5113" w:rsidP="0013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2254B6BA" w:rsidR="005D5113" w:rsidRPr="00131E9C" w:rsidRDefault="005D5113" w:rsidP="0013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5D5113" w:rsidRPr="00131E9C" w:rsidRDefault="005D5113" w:rsidP="0013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463893"/>
    <w:multiLevelType w:val="multilevel"/>
    <w:tmpl w:val="1FBE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1127A"/>
    <w:multiLevelType w:val="multilevel"/>
    <w:tmpl w:val="B1269CF4"/>
    <w:lvl w:ilvl="0">
      <w:start w:val="1"/>
      <w:numFmt w:val="decimal"/>
      <w:lvlText w:val="%1."/>
      <w:lvlJc w:val="left"/>
      <w:pPr>
        <w:ind w:left="0" w:firstLine="0"/>
      </w:pPr>
      <w:rPr>
        <w:b w:val="0"/>
        <w:bCs w:val="0"/>
      </w:rPr>
    </w:lvl>
    <w:lvl w:ilvl="1">
      <w:start w:val="1"/>
      <w:numFmt w:val="decimal"/>
      <w:lvlText w:val="%1.%2"/>
      <w:lvlJc w:val="left"/>
      <w:pPr>
        <w:ind w:left="0" w:firstLine="0"/>
      </w:pPr>
      <w:rPr>
        <w:b w:val="0"/>
        <w:bCs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3F2D66"/>
    <w:multiLevelType w:val="hybridMultilevel"/>
    <w:tmpl w:val="B0D208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3"/>
    <w:rsid w:val="00022E7C"/>
    <w:rsid w:val="000234EF"/>
    <w:rsid w:val="000316A4"/>
    <w:rsid w:val="000647C4"/>
    <w:rsid w:val="00097868"/>
    <w:rsid w:val="000C6526"/>
    <w:rsid w:val="00131E9C"/>
    <w:rsid w:val="00163874"/>
    <w:rsid w:val="001A17E8"/>
    <w:rsid w:val="001B0A92"/>
    <w:rsid w:val="00203935"/>
    <w:rsid w:val="00207100"/>
    <w:rsid w:val="00220241"/>
    <w:rsid w:val="00222467"/>
    <w:rsid w:val="002531AC"/>
    <w:rsid w:val="00253A4D"/>
    <w:rsid w:val="0025489C"/>
    <w:rsid w:val="002776C5"/>
    <w:rsid w:val="00287F85"/>
    <w:rsid w:val="002C60A9"/>
    <w:rsid w:val="002F4D01"/>
    <w:rsid w:val="0033606E"/>
    <w:rsid w:val="00336AB2"/>
    <w:rsid w:val="00352E92"/>
    <w:rsid w:val="00366DD9"/>
    <w:rsid w:val="003712C0"/>
    <w:rsid w:val="003A4D7D"/>
    <w:rsid w:val="003F7699"/>
    <w:rsid w:val="00440E35"/>
    <w:rsid w:val="004622F2"/>
    <w:rsid w:val="00470E7F"/>
    <w:rsid w:val="004C6AC5"/>
    <w:rsid w:val="004D7CF2"/>
    <w:rsid w:val="004F29A3"/>
    <w:rsid w:val="005131E9"/>
    <w:rsid w:val="00535399"/>
    <w:rsid w:val="00555C14"/>
    <w:rsid w:val="005820C5"/>
    <w:rsid w:val="005910E7"/>
    <w:rsid w:val="005B7F88"/>
    <w:rsid w:val="005C5236"/>
    <w:rsid w:val="005D5113"/>
    <w:rsid w:val="005F01A8"/>
    <w:rsid w:val="00665A23"/>
    <w:rsid w:val="00694668"/>
    <w:rsid w:val="006D2380"/>
    <w:rsid w:val="00735155"/>
    <w:rsid w:val="007363CD"/>
    <w:rsid w:val="0074642E"/>
    <w:rsid w:val="00775540"/>
    <w:rsid w:val="00781846"/>
    <w:rsid w:val="007A59A1"/>
    <w:rsid w:val="007F41E4"/>
    <w:rsid w:val="0080201E"/>
    <w:rsid w:val="00844C36"/>
    <w:rsid w:val="00867044"/>
    <w:rsid w:val="008A514E"/>
    <w:rsid w:val="008B332C"/>
    <w:rsid w:val="008D59E9"/>
    <w:rsid w:val="008E13D6"/>
    <w:rsid w:val="008F35A8"/>
    <w:rsid w:val="008F44C4"/>
    <w:rsid w:val="008F5E24"/>
    <w:rsid w:val="00924D4D"/>
    <w:rsid w:val="00925C2A"/>
    <w:rsid w:val="00940078"/>
    <w:rsid w:val="0098598C"/>
    <w:rsid w:val="00997578"/>
    <w:rsid w:val="009A5A03"/>
    <w:rsid w:val="009D1717"/>
    <w:rsid w:val="009E397D"/>
    <w:rsid w:val="009E6B47"/>
    <w:rsid w:val="00AB0B7A"/>
    <w:rsid w:val="00AE4411"/>
    <w:rsid w:val="00AE506F"/>
    <w:rsid w:val="00B03123"/>
    <w:rsid w:val="00B25572"/>
    <w:rsid w:val="00BB11DC"/>
    <w:rsid w:val="00BC6555"/>
    <w:rsid w:val="00C67C89"/>
    <w:rsid w:val="00CE47A1"/>
    <w:rsid w:val="00D13955"/>
    <w:rsid w:val="00D16F2F"/>
    <w:rsid w:val="00D303ED"/>
    <w:rsid w:val="00D31B1D"/>
    <w:rsid w:val="00D75726"/>
    <w:rsid w:val="00E03EDC"/>
    <w:rsid w:val="00E11CF5"/>
    <w:rsid w:val="00E23B84"/>
    <w:rsid w:val="00E42876"/>
    <w:rsid w:val="00E55978"/>
    <w:rsid w:val="00F05972"/>
    <w:rsid w:val="00F107F5"/>
    <w:rsid w:val="00F34E97"/>
    <w:rsid w:val="00F61A6D"/>
    <w:rsid w:val="00F816E9"/>
    <w:rsid w:val="00F90D13"/>
    <w:rsid w:val="00FD016F"/>
    <w:rsid w:val="00FD0BC5"/>
    <w:rsid w:val="00FE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fr-BE"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6D"/>
    <w:rPr>
      <w:lang w:eastAsia="en-US"/>
    </w:rPr>
  </w:style>
  <w:style w:type="paragraph" w:styleId="Heading1">
    <w:name w:val="heading 1"/>
    <w:basedOn w:val="Normal"/>
    <w:next w:val="Normal"/>
    <w:link w:val="Heading1Char"/>
    <w:qFormat/>
    <w:rsid w:val="00F61A6D"/>
    <w:pPr>
      <w:numPr>
        <w:numId w:val="4"/>
      </w:numPr>
      <w:ind w:left="567" w:hanging="567"/>
      <w:outlineLvl w:val="0"/>
    </w:pPr>
    <w:rPr>
      <w:kern w:val="28"/>
    </w:rPr>
  </w:style>
  <w:style w:type="paragraph" w:styleId="Heading2">
    <w:name w:val="heading 2"/>
    <w:basedOn w:val="Normal"/>
    <w:next w:val="Normal"/>
    <w:link w:val="Heading2Char"/>
    <w:qFormat/>
    <w:rsid w:val="00F61A6D"/>
    <w:pPr>
      <w:numPr>
        <w:ilvl w:val="1"/>
        <w:numId w:val="4"/>
      </w:numPr>
      <w:ind w:left="567" w:hanging="567"/>
      <w:outlineLvl w:val="1"/>
    </w:pPr>
  </w:style>
  <w:style w:type="paragraph" w:styleId="Heading3">
    <w:name w:val="heading 3"/>
    <w:basedOn w:val="Normal"/>
    <w:next w:val="Normal"/>
    <w:link w:val="Heading3Char"/>
    <w:qFormat/>
    <w:rsid w:val="00F61A6D"/>
    <w:pPr>
      <w:numPr>
        <w:ilvl w:val="2"/>
        <w:numId w:val="4"/>
      </w:numPr>
      <w:ind w:left="567" w:hanging="567"/>
      <w:outlineLvl w:val="2"/>
    </w:pPr>
  </w:style>
  <w:style w:type="paragraph" w:styleId="Heading4">
    <w:name w:val="heading 4"/>
    <w:basedOn w:val="Normal"/>
    <w:next w:val="Normal"/>
    <w:link w:val="Heading4Char"/>
    <w:qFormat/>
    <w:rsid w:val="00F61A6D"/>
    <w:pPr>
      <w:numPr>
        <w:ilvl w:val="3"/>
        <w:numId w:val="4"/>
      </w:numPr>
      <w:ind w:left="567" w:hanging="567"/>
      <w:outlineLvl w:val="3"/>
    </w:pPr>
  </w:style>
  <w:style w:type="paragraph" w:styleId="Heading5">
    <w:name w:val="heading 5"/>
    <w:basedOn w:val="Normal"/>
    <w:next w:val="Normal"/>
    <w:link w:val="Heading5Char"/>
    <w:qFormat/>
    <w:rsid w:val="00F61A6D"/>
    <w:pPr>
      <w:numPr>
        <w:ilvl w:val="4"/>
        <w:numId w:val="4"/>
      </w:numPr>
      <w:ind w:left="567" w:hanging="567"/>
      <w:outlineLvl w:val="4"/>
    </w:pPr>
  </w:style>
  <w:style w:type="paragraph" w:styleId="Heading6">
    <w:name w:val="heading 6"/>
    <w:basedOn w:val="Normal"/>
    <w:next w:val="Normal"/>
    <w:link w:val="Heading6Char"/>
    <w:qFormat/>
    <w:rsid w:val="00F61A6D"/>
    <w:pPr>
      <w:numPr>
        <w:ilvl w:val="5"/>
        <w:numId w:val="4"/>
      </w:numPr>
      <w:ind w:left="567" w:hanging="567"/>
      <w:outlineLvl w:val="5"/>
    </w:pPr>
  </w:style>
  <w:style w:type="paragraph" w:styleId="Heading7">
    <w:name w:val="heading 7"/>
    <w:basedOn w:val="Normal"/>
    <w:next w:val="Normal"/>
    <w:link w:val="Heading7Char"/>
    <w:qFormat/>
    <w:rsid w:val="00F61A6D"/>
    <w:pPr>
      <w:numPr>
        <w:ilvl w:val="6"/>
        <w:numId w:val="4"/>
      </w:numPr>
      <w:ind w:left="567" w:hanging="567"/>
      <w:outlineLvl w:val="6"/>
    </w:pPr>
  </w:style>
  <w:style w:type="paragraph" w:styleId="Heading8">
    <w:name w:val="heading 8"/>
    <w:basedOn w:val="Normal"/>
    <w:next w:val="Normal"/>
    <w:link w:val="Heading8Char"/>
    <w:qFormat/>
    <w:rsid w:val="00F61A6D"/>
    <w:pPr>
      <w:numPr>
        <w:ilvl w:val="7"/>
        <w:numId w:val="4"/>
      </w:numPr>
      <w:ind w:left="567" w:hanging="567"/>
      <w:outlineLvl w:val="7"/>
    </w:pPr>
  </w:style>
  <w:style w:type="paragraph" w:styleId="Heading9">
    <w:name w:val="heading 9"/>
    <w:basedOn w:val="Normal"/>
    <w:next w:val="Normal"/>
    <w:link w:val="Heading9Char"/>
    <w:qFormat/>
    <w:rsid w:val="00F61A6D"/>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sk-SK" w:eastAsia="en-US"/>
    </w:rPr>
  </w:style>
  <w:style w:type="character" w:customStyle="1" w:styleId="Heading2Char">
    <w:name w:val="Heading 2 Char"/>
    <w:basedOn w:val="DefaultParagraphFont"/>
    <w:link w:val="Heading2"/>
    <w:locked/>
    <w:rsid w:val="00CB1536"/>
    <w:rPr>
      <w:lang w:val="sk-SK" w:eastAsia="en-US"/>
    </w:rPr>
  </w:style>
  <w:style w:type="character" w:customStyle="1" w:styleId="Heading3Char">
    <w:name w:val="Heading 3 Char"/>
    <w:basedOn w:val="DefaultParagraphFont"/>
    <w:link w:val="Heading3"/>
    <w:locked/>
    <w:rsid w:val="00CB1536"/>
    <w:rPr>
      <w:lang w:val="sk-SK" w:eastAsia="en-US"/>
    </w:rPr>
  </w:style>
  <w:style w:type="character" w:customStyle="1" w:styleId="Heading4Char">
    <w:name w:val="Heading 4 Char"/>
    <w:basedOn w:val="DefaultParagraphFont"/>
    <w:link w:val="Heading4"/>
    <w:locked/>
    <w:rsid w:val="00CB1536"/>
    <w:rPr>
      <w:lang w:val="sk-SK" w:eastAsia="en-US"/>
    </w:rPr>
  </w:style>
  <w:style w:type="character" w:customStyle="1" w:styleId="Heading5Char">
    <w:name w:val="Heading 5 Char"/>
    <w:basedOn w:val="DefaultParagraphFont"/>
    <w:link w:val="Heading5"/>
    <w:locked/>
    <w:rsid w:val="00CB1536"/>
    <w:rPr>
      <w:lang w:val="sk-SK" w:eastAsia="en-US"/>
    </w:rPr>
  </w:style>
  <w:style w:type="character" w:customStyle="1" w:styleId="Heading6Char">
    <w:name w:val="Heading 6 Char"/>
    <w:basedOn w:val="DefaultParagraphFont"/>
    <w:link w:val="Heading6"/>
    <w:locked/>
    <w:rsid w:val="00CB1536"/>
    <w:rPr>
      <w:lang w:val="sk-SK" w:eastAsia="en-US"/>
    </w:rPr>
  </w:style>
  <w:style w:type="character" w:customStyle="1" w:styleId="Heading7Char">
    <w:name w:val="Heading 7 Char"/>
    <w:basedOn w:val="DefaultParagraphFont"/>
    <w:link w:val="Heading7"/>
    <w:locked/>
    <w:rsid w:val="00CB1536"/>
    <w:rPr>
      <w:lang w:val="sk-SK" w:eastAsia="en-US"/>
    </w:rPr>
  </w:style>
  <w:style w:type="character" w:customStyle="1" w:styleId="Heading8Char">
    <w:name w:val="Heading 8 Char"/>
    <w:basedOn w:val="DefaultParagraphFont"/>
    <w:link w:val="Heading8"/>
    <w:locked/>
    <w:rsid w:val="00CB1536"/>
    <w:rPr>
      <w:lang w:val="sk-SK" w:eastAsia="en-US"/>
    </w:rPr>
  </w:style>
  <w:style w:type="character" w:customStyle="1" w:styleId="Heading9Char">
    <w:name w:val="Heading 9 Char"/>
    <w:basedOn w:val="DefaultParagraphFont"/>
    <w:link w:val="Heading9"/>
    <w:locked/>
    <w:rsid w:val="00CB1536"/>
    <w:rPr>
      <w:lang w:val="sk-SK" w:eastAsia="en-US"/>
    </w:rPr>
  </w:style>
  <w:style w:type="paragraph" w:styleId="Footer">
    <w:name w:val="footer"/>
    <w:basedOn w:val="Normal"/>
    <w:link w:val="FooterChar"/>
    <w:qFormat/>
    <w:rsid w:val="00F61A6D"/>
  </w:style>
  <w:style w:type="character" w:customStyle="1" w:styleId="FooterChar">
    <w:name w:val="Footer Char"/>
    <w:basedOn w:val="DefaultParagraphFont"/>
    <w:link w:val="Footer"/>
    <w:locked/>
    <w:rsid w:val="00CB1536"/>
    <w:rPr>
      <w:lang w:val="sk-SK" w:eastAsia="en-US"/>
    </w:rPr>
  </w:style>
  <w:style w:type="paragraph" w:styleId="FootnoteText">
    <w:name w:val="footnote text"/>
    <w:basedOn w:val="Normal"/>
    <w:link w:val="FootnoteTextChar"/>
    <w:qFormat/>
    <w:rsid w:val="00F61A6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sk-SK" w:eastAsia="en-US"/>
    </w:rPr>
  </w:style>
  <w:style w:type="paragraph" w:styleId="Header">
    <w:name w:val="header"/>
    <w:basedOn w:val="Normal"/>
    <w:link w:val="HeaderChar"/>
    <w:qFormat/>
    <w:rsid w:val="00F61A6D"/>
  </w:style>
  <w:style w:type="character" w:customStyle="1" w:styleId="HeaderChar">
    <w:name w:val="Header Char"/>
    <w:basedOn w:val="DefaultParagraphFont"/>
    <w:link w:val="Header"/>
    <w:locked/>
    <w:rsid w:val="00CB1536"/>
    <w:rPr>
      <w:lang w:val="sk-SK"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61A6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61A6D"/>
    <w:pPr>
      <w:ind w:left="720"/>
    </w:pPr>
    <w:rPr>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59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am.Dorywalski@eesc.europa.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thedeepdive.ca/us-beats-eu-to-brazilian-rare-earth-deal-with-465-million-commitment/" TargetMode="External"/><Relationship Id="rId1" Type="http://schemas.openxmlformats.org/officeDocument/2006/relationships/hyperlink" Target="https://www.ft.com/content/12399810-a782-465b-8378-5099252306a5?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VP3JK3XSEPRV-2087481956-9313</_dlc_DocId>
    <_dlc_DocIdUrl xmlns="7d640e6d-779c-472f-a269-6b546787f1c9">
      <Url>http://dm/eesc/2026/_layouts/15/DocIdRedir.aspx?ID=VP3JK3XSEPRV-2087481956-9313</Url>
      <Description>VP3JK3XSEPRV-2087481956-9313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2026-05-27T12:00:00+00:00</ProductionDate>
    <DocumentNumber xmlns="a95533f8-59af-4217-bc7a-c1167744adb0">431</DocumentNumber>
    <FicheYear xmlns="7d640e6d-779c-472f-a269-6b546787f1c9" xsi:nil="true"/>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60</Value>
      <Value>59</Value>
      <Value>55</Value>
      <Value>53</Value>
      <Value>51</Value>
      <Value>47</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303588</FicheNumber>
    <OriginalSender xmlns="7d640e6d-779c-472f-a269-6b546787f1c9">
      <UserInfo>
        <DisplayName>Semancikova Stanislava</DisplayName>
        <AccountId>1499</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457AB-1AFD-49D4-AA71-DF0CCACFA9D9}">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2.xml><?xml version="1.0" encoding="utf-8"?>
<ds:datastoreItem xmlns:ds="http://schemas.openxmlformats.org/officeDocument/2006/customXml" ds:itemID="{FC6AE3F6-A2F7-42F6-AB00-0CD22F4042E8}">
  <ds:schemaRefs>
    <ds:schemaRef ds:uri="http://schemas.microsoft.com/sharepoint/v3/contenttype/forms"/>
  </ds:schemaRefs>
</ds:datastoreItem>
</file>

<file path=customXml/itemProps3.xml><?xml version="1.0" encoding="utf-8"?>
<ds:datastoreItem xmlns:ds="http://schemas.openxmlformats.org/officeDocument/2006/customXml" ds:itemID="{8647AC21-5F14-4D64-8BE7-6E3E946FB4DE}">
  <ds:schemaRefs>
    <ds:schemaRef ds:uri="http://schemas.microsoft.com/sharepoint/events"/>
  </ds:schemaRefs>
</ds:datastoreItem>
</file>

<file path=customXml/itemProps4.xml><?xml version="1.0" encoding="utf-8"?>
<ds:datastoreItem xmlns:ds="http://schemas.openxmlformats.org/officeDocument/2006/customXml" ds:itemID="{13F85834-BE30-4E95-8728-5F424EF0BA57}"/>
</file>

<file path=docProps/app.xml><?xml version="1.0" encoding="utf-8"?>
<Properties xmlns="http://schemas.openxmlformats.org/officeDocument/2006/extended-properties" xmlns:vt="http://schemas.openxmlformats.org/officeDocument/2006/docPropsVTypes">
  <Template>Normal.dotm</Template>
  <TotalTime>0</TotalTime>
  <Pages>10</Pages>
  <Words>3091</Words>
  <Characters>19818</Characters>
  <Application>Microsoft Office Word</Application>
  <DocSecurity>0</DocSecurity>
  <Lines>412</Lines>
  <Paragraphs>150</Paragraphs>
  <ScaleCrop>false</ScaleCrop>
  <HeadingPairs>
    <vt:vector size="2" baseType="variant">
      <vt:variant>
        <vt:lpstr>Title</vt:lpstr>
      </vt:variant>
      <vt:variant>
        <vt:i4>1</vt:i4>
      </vt:variant>
    </vt:vector>
  </HeadingPairs>
  <TitlesOfParts>
    <vt:vector size="1" baseType="lpstr">
      <vt:lpstr>RESourceEU Action Plan</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Akčný plán RESourceEU</dc:title>
  <dc:subject>Draft opinion</dc:subject>
  <dc:creator/>
  <cp:keywords>EESC-2026-00431-00-00-PA-TRA-EN</cp:keywords>
  <dc:description>Rapporteur: - DIAMANTOUROS &amp; MEYSNER Original language: - EN Date of document: - 04/05/2026 Date of meeting: - 20/05/2026 External documents: - COM(2025)945- final Administrator responsible: -  DORYWALSKI ADAM</dc:description>
  <cp:lastModifiedBy/>
  <cp:revision>8</cp:revision>
  <dcterms:created xsi:type="dcterms:W3CDTF">2026-05-22T13:56:00Z</dcterms:created>
  <dcterms:modified xsi:type="dcterms:W3CDTF">2026-05-27T10:24:00Z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22/05/2026, 04/05/2026, 13/02/2026, 12/04/2024, 17/05/2022, 04/11/2015, 27/10/2015, 19/10/2015, 09/10/2015, 05/10/2015, 05/10/2015, 26/08/2015, 26/08/2015, 25/08/2015</vt:lpwstr>
  </property>
  <property fmtid="{D5CDD505-2E9C-101B-9397-08002B2CF9AE}" pid="4" name="Pref_Time">
    <vt:lpwstr>15:54:44, 15:16:52, 10:10:24, 12:08:09, 12:59:17, 12/10/07, 14:44:02, 16/04/16, 14:09:30, 16:24:55, 16:04:02, 08:56:14, 07:27:56, 17:31:53</vt:lpwstr>
  </property>
  <property fmtid="{D5CDD505-2E9C-101B-9397-08002B2CF9AE}" pid="5" name="Pref_User">
    <vt:lpwstr>amett, amett, nnas, enied, enied, ssex, enied, amett, tvoc, mreg, mreg, amett, enied, ssex</vt:lpwstr>
  </property>
  <property fmtid="{D5CDD505-2E9C-101B-9397-08002B2CF9AE}" pid="6" name="Pref_FileName">
    <vt:lpwstr>EESC-2026-00431-00-00-AS-TRA-EN-CRR.docx, EESC-2026-00431-00-00-PA-ORI.docx, EESC-2026-00431-00-00-DT-ORI.docx, COR-EESC-2024-01326-00-00-ADMIN-ORI.docx, COR-EESC-2022-02586-00-00-ADMIN-ORI.docx, EESC-2015-05408-00-00-PA-CRR-EN.docx, EESC-2015-05408-00-01</vt:lpwstr>
  </property>
  <property fmtid="{D5CDD505-2E9C-101B-9397-08002B2CF9AE}" pid="7" name="ContentTypeId">
    <vt:lpwstr>0x010100EA97B91038054C99906057A708A1480A0042CFDF3EA65A64469BBC042F89C9AB74</vt:lpwstr>
  </property>
  <property fmtid="{D5CDD505-2E9C-101B-9397-08002B2CF9AE}" pid="8" name="_dlc_DocIdItemGuid">
    <vt:lpwstr>4284b927-18cf-4a19-8318-9df72d601677</vt:lpwstr>
  </property>
  <property fmtid="{D5CDD505-2E9C-101B-9397-08002B2CF9AE}" pid="9" name="AvailableTranslations">
    <vt:lpwstr>25;#FI|87606a43-d45f-42d6-b8c9-e1a3457db5b7;#34;#HR|2f555653-ed1a-4fe6-8362-9082d95989e5;#32;#PL|1e03da61-4678-4e07-b136-b5024ca9197b;#4;#EN|f2175f21-25d7-44a3-96da-d6a61b075e1b;#51;#LV|46f7e311-5d9f-4663-b433-18aeccb7ace7;#45;#SV|c2ed69e7-a339-43d7-8f22-d93680a92aa0;#12;#ES|e7a6b05b-ae16-40c8-add9-68b64b03aeba;#66;#GA|762d2456-c427-4ecb-b312-af3dad8e258c;#29;#CS|72f9705b-0217-4fd3-bea2-cbc7ed80e26e;#60;#EL|6d4f4d51-af9b-4650-94b4-4276bee85c91;#37;#HU|6b229040-c589-4408-b4c1-4285663d20a8;#46;#DA|5d49c027-8956-412b-aa16-e85a0f96ad0e;#28;#PT|50ccc04a-eadd-42ae-a0cb-acaf45f812ba;#36;#NL|55c6556c-b4f4-441d-9acf-c498d4f838bd;#23;#FR|d2afafd3-4c81-4f60-8f52-ee33f2f54ff3;#13;#IT|0774613c-01ed-4e5d-a25d-11d2388de825;#53;#MT|7df99101-6854-4a26-b53a-b88c0da02c26;#30;#SK|46d9fce0-ef79-4f71-b89b-cd6aa82426b8;#55;#RO|feb747a2-64cd-4299-af12-4833ddc30497;#44;#LT|a7ff5ce7-6123-4f68-865a-a57c31810414;#31;#SL|98a412ae-eb01-49e9-ae3d-585a81724cfc;#27;#ET|ff6c3f4c-b02c-4c3c-ab07-2c37995a7a0a;#43;#BG|1a1b3951-7821-4e6a-85f5-5673fc08bd2c;#11;#DE|f6b31e5a-26fa-4935-b661-318e46daf27e</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FI|87606a43-d45f-42d6-b8c9-e1a3457db5b7;HR|2f555653-ed1a-4fe6-8362-9082d95989e5;PL|1e03da61-4678-4e07-b136-b5024ca9197b;EN|f2175f21-25d7-44a3-96da-d6a61b075e1b;LV|46f7e311-5d9f-4663-b433-18aeccb7ace7;SV|c2ed69e7-a339-43d7-8f22-d93680a92aa0;GA|762d2456-c427-4ecb-b312-af3dad8e258c;CS|72f9705b-0217-4fd3-bea2-cbc7ed80e26e;EL|6d4f4d51-af9b-4650-94b4-4276bee85c91;HU|6b229040-c589-4408-b4c1-4285663d20a8;PT|50ccc04a-eadd-42ae-a0cb-acaf45f812ba;NL|55c6556c-b4f4-441d-9acf-c498d4f838bd;FR|d2afafd3-4c81-4f60-8f52-ee33f2f54ff3;IT|0774613c-01ed-4e5d-a25d-11d2388de825;MT|7df99101-6854-4a26-b53a-b88c0da02c26;LT|a7ff5ce7-6123-4f68-865a-a57c31810414;SL|98a412ae-eb01-49e9-ae3d-585a81724cfc;DE|f6b31e5a-26fa-4935-b661-318e46daf27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NL|55c6556c-b4f4-441d-9acf-c498d4f838bd;#34;#HR|2f555653-ed1a-4fe6-8362-9082d95989e5;#32;#PL|1e03da61-4678-4e07-b136-b5024ca9197b;#31;#SL|98a412ae-eb01-49e9-ae3d-585a81724cfc;#66;#GA|762d2456-c427-4ecb-b312-af3dad8e258c;#28;#PT|50ccc04a-eadd-42ae-a0cb-acaf45f812ba;#23;#FR|d2afafd3-4c81-4f60-8f52-ee33f2f54ff3;#25;#FI|87606a43-d45f-42d6-b8c9-e1a3457db5b7;#44;#LT|a7ff5ce7-6123-4f68-865a-a57c31810414;#60;#EL|6d4f4d51-af9b-4650-94b4-4276bee85c91;#59;#SPL-CES|32d8cb1f-c9ec-4365-95c7-8385a18618ac;#132;#AS|c7a748eb-f6f2-4d9d-8b5a-af0cafebc224;#19;#Unrestricted|826e22d7-d029-4ec0-a450-0c28ff673572;#53;#MT|7df99101-6854-4a26-b53a-b88c0da02c26;#51;#LV|46f7e311-5d9f-4663-b433-18aeccb7ace7;#13;#IT|0774613c-01ed-4e5d-a25d-11d2388de825;#11;#DE|f6b31e5a-26fa-4935-b661-318e46daf27e;#47;#CCMI|3451ec22-e6ff-42b3-8610-379fec773b3a;#9;#TRA|150d2a88-1431-44e6-a8ca-0bb753ab8672;#45;#SV|c2ed69e7-a339-43d7-8f22-d93680a92aa0;#7;#Final|ea5e6674-7b27-4bac-b091-73adbb394efe;#29;#CS|72f9705b-0217-4fd3-bea2-cbc7ed80e26e;#4;#EN|f2175f21-25d7-44a3-96da-d6a61b075e1b;#1;#EESC|422833ec-8d7e-4e65-8e4e-8bed07ffb729;#37;#HU|6b229040-c589-4408-b4c1-4285663d20a8</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30;#SK|46d9fce0-ef79-4f71-b89b-cd6aa82426b8</vt:lpwstr>
  </property>
  <property fmtid="{D5CDD505-2E9C-101B-9397-08002B2CF9AE}" pid="40" name="_docset_NoMedatataSyncRequired">
    <vt:lpwstr>False</vt:lpwstr>
  </property>
  <property fmtid="{D5CDD505-2E9C-101B-9397-08002B2CF9AE}" pid="41" name="MeetingNumber">
    <vt:i4>606</vt:i4>
  </property>
  <property fmtid="{D5CDD505-2E9C-101B-9397-08002B2CF9AE}" pid="42" name="DocumentLanguage_0">
    <vt:lpwstr>EN|f2175f21-25d7-44a3-96da-d6a61b075e1b</vt:lpwstr>
  </property>
</Properties>
</file>