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C8325C6" w:rsidR="005D5113" w:rsidRPr="0098598C" w:rsidRDefault="00C33BAC" w:rsidP="0074642E">
      <w:pPr>
        <w:jc w:val="center"/>
      </w:pPr>
      <w:r>
        <w:rPr>
          <w:noProof/>
        </w:rPr>
        <w:drawing>
          <wp:inline distT="0" distB="0" distL="0" distR="0" wp14:anchorId="0FC2B4D6" wp14:editId="6B869F96">
            <wp:extent cx="1792605" cy="1239520"/>
            <wp:effectExtent l="0" t="0" r="0" b="0"/>
            <wp:docPr id="1498786501" name="Picture 2" title="EESCLogo_GA"/>
            <wp:cNvGraphicFramePr/>
            <a:graphic xmlns:a="http://schemas.openxmlformats.org/drawingml/2006/main">
              <a:graphicData uri="http://schemas.openxmlformats.org/drawingml/2006/picture">
                <pic:pic xmlns:pic="http://schemas.openxmlformats.org/drawingml/2006/picture">
                  <pic:nvPicPr>
                    <pic:cNvPr id="1498786501" name="Picture 2" title="EESCLogo_G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2776C5">
        <w:rPr>
          <w:noProof/>
          <w:sz w:val="20"/>
        </w:rPr>
        <mc:AlternateContent>
          <mc:Choice Requires="wps">
            <w:drawing>
              <wp:anchor distT="0" distB="0" distL="0" distR="0" simplePos="0" relativeHeight="251659776" behindDoc="1" locked="0" layoutInCell="1" hidden="0" allowOverlap="1" wp14:anchorId="18BA5486" wp14:editId="7E4D035A">
                <wp:simplePos x="0" y="0"/>
                <wp:positionH relativeFrom="page">
                  <wp:posOffset>6759576</wp:posOffset>
                </wp:positionH>
                <wp:positionV relativeFrom="page">
                  <wp:posOffset>10071736</wp:posOffset>
                </wp:positionV>
                <wp:extent cx="666750" cy="415290"/>
                <wp:effectExtent l="0" t="0" r="0" b="0"/>
                <wp:wrapNone/>
                <wp:docPr id="1585139010" name="Rectangle 1585139010"/>
                <wp:cNvGraphicFramePr/>
                <a:graphic xmlns:a="http://schemas.openxmlformats.org/drawingml/2006/main">
                  <a:graphicData uri="http://schemas.microsoft.com/office/word/2010/wordprocessingShape">
                    <wps:wsp>
                      <wps:cNvSpPr/>
                      <wps:spPr>
                        <a:xfrm>
                          <a:off x="5022150" y="3581880"/>
                          <a:ext cx="647700" cy="396240"/>
                        </a:xfrm>
                        <a:prstGeom prst="rect">
                          <a:avLst/>
                        </a:prstGeom>
                        <a:noFill/>
                        <a:ln>
                          <a:noFill/>
                        </a:ln>
                      </wps:spPr>
                      <wps:txbx>
                        <w:txbxContent>
                          <w:p w14:paraId="51801290" w14:textId="77777777" w:rsidR="005D5113" w:rsidRDefault="002776C5">
                            <w:pPr>
                              <w:jc w:val="center"/>
                              <w:textDirection w:val="btLr"/>
                            </w:pPr>
                            <w:r>
                              <w:rPr>
                                <w:rFonts w:ascii="Arial" w:hAnsi="Arial"/>
                                <w:b/>
                                <w:color w:val="000000"/>
                                <w:sz w:val="48"/>
                              </w:rPr>
                              <w:t>GA</w:t>
                            </w:r>
                          </w:p>
                        </w:txbxContent>
                      </wps:txbx>
                      <wps:bodyPr spcFirstLastPara="1" wrap="square" lIns="91425" tIns="45700" rIns="91425" bIns="45700" anchor="t" anchorCtr="0">
                        <a:noAutofit/>
                      </wps:bodyPr>
                    </wps:wsp>
                  </a:graphicData>
                </a:graphic>
              </wp:anchor>
            </w:drawing>
          </mc:Choice>
          <mc:Fallback>
            <w:pict>
              <v:rect w14:anchorId="18BA5486" id="Rectangle 1585139010" o:spid="_x0000_s1026" style="position:absolute;left:0;text-align:left;margin-left:532.25pt;margin-top:793.05pt;width:52.5pt;height:32.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" filled="f" stroked="f">
                <v:textbox inset="2.53958mm,1.2694mm,2.53958mm,1.2694mm">
                  <w:txbxContent>
                    <w:p w14:paraId="51801290" w14:textId="77777777" w:rsidR="005D5113" w:rsidRDefault="002776C5">
                      <w:pPr>
                        <w:jc w:val="center"/>
                        <w:textDirection w:val="btLr"/>
                      </w:pPr>
                      <w:r>
                        <w:rPr>
                          <w:rFonts w:ascii="Arial" w:hAnsi="Arial"/>
                          <w:b/>
                          <w:color w:val="000000"/>
                          <w:sz w:val="48"/>
                        </w:rPr>
                        <w:t>GA</w:t>
                      </w:r>
                    </w:p>
                  </w:txbxContent>
                </v:textbox>
                <w10:wrap anchorx="page" anchory="page"/>
              </v:rect>
            </w:pict>
          </mc:Fallback>
        </mc:AlternateContent>
      </w:r>
    </w:p>
    <w:p w14:paraId="00000002" w14:textId="77777777" w:rsidR="005D5113" w:rsidRPr="0098598C" w:rsidRDefault="005D5113" w:rsidP="0074642E"/>
    <w:p w14:paraId="00000003" w14:textId="77777777" w:rsidR="005D5113" w:rsidRPr="0098598C" w:rsidRDefault="002776C5" w:rsidP="0074642E">
      <w:pPr>
        <w:jc w:val="right"/>
      </w:pPr>
      <w:r>
        <w:rPr>
          <w:b/>
        </w:rPr>
        <w:t>CCMI/259</w:t>
      </w:r>
    </w:p>
    <w:p w14:paraId="00000004" w14:textId="77777777" w:rsidR="005D5113" w:rsidRPr="0098598C" w:rsidRDefault="002776C5" w:rsidP="0074642E">
      <w:pPr>
        <w:ind w:left="4820"/>
        <w:jc w:val="right"/>
        <w:rPr>
          <w:b/>
          <w:bCs/>
        </w:rPr>
      </w:pPr>
      <w:r>
        <w:rPr>
          <w:b/>
        </w:rPr>
        <w:t xml:space="preserve">Plean Gníomhaíochta </w:t>
      </w:r>
      <w:proofErr w:type="spellStart"/>
      <w:r>
        <w:rPr>
          <w:b/>
        </w:rPr>
        <w:t>RESourceEU</w:t>
      </w:r>
      <w:proofErr w:type="spellEnd"/>
    </w:p>
    <w:p w14:paraId="00000005" w14:textId="77777777" w:rsidR="005D5113" w:rsidRPr="0098598C" w:rsidRDefault="005D5113" w:rsidP="0074642E"/>
    <w:p w14:paraId="00000006" w14:textId="77777777" w:rsidR="005D5113" w:rsidRPr="0098598C" w:rsidRDefault="005D5113" w:rsidP="0074642E"/>
    <w:p w14:paraId="00000007" w14:textId="6C25DD2A" w:rsidR="005D5113" w:rsidRPr="0098598C" w:rsidRDefault="002776C5" w:rsidP="0074642E">
      <w:pPr>
        <w:jc w:val="center"/>
        <w:rPr>
          <w:b/>
          <w:bCs/>
          <w:sz w:val="28"/>
          <w:szCs w:val="28"/>
        </w:rPr>
      </w:pPr>
      <w:r>
        <w:rPr>
          <w:b/>
          <w:sz w:val="28"/>
        </w:rPr>
        <w:t>TUAIRIM</w:t>
      </w:r>
    </w:p>
    <w:p w14:paraId="00000008" w14:textId="77777777" w:rsidR="005D5113" w:rsidRPr="0098598C" w:rsidRDefault="005D5113" w:rsidP="0074642E">
      <w:pPr>
        <w:jc w:val="center"/>
      </w:pPr>
    </w:p>
    <w:p w14:paraId="00000009" w14:textId="77777777" w:rsidR="005D5113" w:rsidRPr="0098598C" w:rsidRDefault="002776C5" w:rsidP="0074642E">
      <w:pPr>
        <w:jc w:val="center"/>
      </w:pPr>
      <w:r>
        <w:t>An Coimisiún Comhairleach um Athruithe Tionsclaíocha</w:t>
      </w:r>
    </w:p>
    <w:p w14:paraId="51D1ED50" w14:textId="77777777" w:rsidR="00203935" w:rsidRPr="0098598C" w:rsidRDefault="00203935" w:rsidP="0074642E">
      <w:pPr>
        <w:jc w:val="center"/>
      </w:pPr>
    </w:p>
    <w:p w14:paraId="0000000E" w14:textId="0134C93A" w:rsidR="005D5113" w:rsidRPr="002F4D01" w:rsidRDefault="00AE4411" w:rsidP="0074642E">
      <w:pPr>
        <w:jc w:val="center"/>
      </w:pPr>
      <w:r>
        <w:rPr>
          <w:b/>
        </w:rPr>
        <w:t>Teachtaireacht ón gCoimisiún chuig Parlaimint na hEorpa, chuig an gComhairle, chuig Coiste Eacnamaíoch agus Sóisialta na hEorpa agus chuig Coiste na Réigiún</w:t>
      </w:r>
      <w:r>
        <w:rPr>
          <w:b/>
        </w:rPr>
        <w:br/>
        <w:t xml:space="preserve">Plean Gníomhaíochta </w:t>
      </w:r>
      <w:proofErr w:type="spellStart"/>
      <w:r>
        <w:rPr>
          <w:b/>
        </w:rPr>
        <w:t>RESourceEU</w:t>
      </w:r>
      <w:proofErr w:type="spellEnd"/>
      <w:r>
        <w:rPr>
          <w:b/>
        </w:rPr>
        <w:t xml:space="preserve"> Dlús a chur lenár straitéis amhábhar criticiúil chun oiriúnú do réaltacht nua</w:t>
      </w:r>
      <w:r>
        <w:rPr>
          <w:b/>
        </w:rPr>
        <w:br/>
      </w:r>
      <w:r>
        <w:t xml:space="preserve">(COM(2025) 945 </w:t>
      </w:r>
      <w:proofErr w:type="spellStart"/>
      <w:r>
        <w:t>final</w:t>
      </w:r>
      <w:proofErr w:type="spellEnd"/>
      <w:r>
        <w:t>)</w:t>
      </w:r>
    </w:p>
    <w:p w14:paraId="0000000F" w14:textId="77777777" w:rsidR="005D5113" w:rsidRPr="002F4D01" w:rsidRDefault="005D5113" w:rsidP="0074642E">
      <w:pPr>
        <w:jc w:val="center"/>
        <w:rPr>
          <w:lang w:val="pt-PT"/>
        </w:rPr>
      </w:pPr>
    </w:p>
    <w:p w14:paraId="00000010" w14:textId="77777777" w:rsidR="005D5113" w:rsidRPr="008B332C" w:rsidRDefault="002776C5" w:rsidP="0074642E">
      <w:pPr>
        <w:jc w:val="center"/>
      </w:pPr>
      <w:r>
        <w:t xml:space="preserve">Rapóirtéir: </w:t>
      </w:r>
      <w:proofErr w:type="spellStart"/>
      <w:r>
        <w:rPr>
          <w:b/>
        </w:rPr>
        <w:t>Konstantinos</w:t>
      </w:r>
      <w:proofErr w:type="spellEnd"/>
      <w:r>
        <w:rPr>
          <w:b/>
        </w:rPr>
        <w:t xml:space="preserve"> DIAMANTOUROS (EL-I)</w:t>
      </w:r>
    </w:p>
    <w:p w14:paraId="00000011" w14:textId="77777777" w:rsidR="005D5113" w:rsidRPr="0098598C" w:rsidRDefault="002776C5" w:rsidP="0074642E">
      <w:pPr>
        <w:jc w:val="center"/>
        <w:rPr>
          <w:b/>
          <w:bCs/>
        </w:rPr>
      </w:pPr>
      <w:proofErr w:type="spellStart"/>
      <w:r>
        <w:t>Comhrapóirtéir</w:t>
      </w:r>
      <w:proofErr w:type="spellEnd"/>
      <w:r>
        <w:t xml:space="preserve">: </w:t>
      </w:r>
      <w:r>
        <w:rPr>
          <w:b/>
        </w:rPr>
        <w:t>Agata MEYSNER (PL-3)</w:t>
      </w:r>
    </w:p>
    <w:p w14:paraId="00000012" w14:textId="77777777" w:rsidR="005D5113" w:rsidRPr="0098598C" w:rsidRDefault="005D5113" w:rsidP="0074642E"/>
    <w:p w14:paraId="0000002C" w14:textId="77777777" w:rsidR="005D5113" w:rsidRPr="0098598C" w:rsidRDefault="005D5113" w:rsidP="0074642E"/>
    <w:p w14:paraId="0000002D" w14:textId="77777777" w:rsidR="005D5113" w:rsidRPr="0098598C" w:rsidRDefault="005D5113" w:rsidP="0074642E"/>
    <w:tbl>
      <w:tblPr>
        <w:tblpPr w:leftFromText="181" w:rightFromText="181" w:vertAnchor="page" w:horzAnchor="margin" w:tblpY="13094"/>
        <w:tblW w:w="9289" w:type="dxa"/>
        <w:tblLayout w:type="fixed"/>
        <w:tblLook w:val="0400" w:firstRow="0" w:lastRow="0" w:firstColumn="0" w:lastColumn="0" w:noHBand="0" w:noVBand="1"/>
      </w:tblPr>
      <w:tblGrid>
        <w:gridCol w:w="3085"/>
        <w:gridCol w:w="6204"/>
      </w:tblGrid>
      <w:tr w:rsidR="00203935" w:rsidRPr="0098598C" w14:paraId="512E5FD9" w14:textId="77777777" w:rsidTr="006030E5">
        <w:tc>
          <w:tcPr>
            <w:tcW w:w="3085" w:type="dxa"/>
          </w:tcPr>
          <w:p w14:paraId="58F3BE13" w14:textId="77777777" w:rsidR="00203935" w:rsidRPr="0098598C" w:rsidRDefault="00203935" w:rsidP="0074642E">
            <w:pPr>
              <w:jc w:val="left"/>
            </w:pPr>
            <w:r>
              <w:t>Teagmháil</w:t>
            </w:r>
          </w:p>
        </w:tc>
        <w:tc>
          <w:tcPr>
            <w:tcW w:w="6204" w:type="dxa"/>
          </w:tcPr>
          <w:p w14:paraId="19CFBA64" w14:textId="77777777" w:rsidR="00203935" w:rsidRPr="0098598C" w:rsidRDefault="001B35B3" w:rsidP="0074642E">
            <w:pPr>
              <w:jc w:val="left"/>
            </w:pPr>
            <w:hyperlink r:id="rId12" w:history="1">
              <w:r>
                <w:rPr>
                  <w:rStyle w:val="Hyperlink"/>
                </w:rPr>
                <w:t>Adam.Dorywalski@eesc.europa.eu</w:t>
              </w:r>
            </w:hyperlink>
          </w:p>
        </w:tc>
      </w:tr>
      <w:tr w:rsidR="00203935" w:rsidRPr="0098598C" w14:paraId="1ED11616" w14:textId="77777777" w:rsidTr="006030E5">
        <w:tc>
          <w:tcPr>
            <w:tcW w:w="3085" w:type="dxa"/>
          </w:tcPr>
          <w:p w14:paraId="7B1FF9A5" w14:textId="77777777" w:rsidR="00203935" w:rsidRPr="0098598C" w:rsidRDefault="00203935" w:rsidP="0074642E">
            <w:pPr>
              <w:jc w:val="left"/>
            </w:pPr>
            <w:r>
              <w:t>Riarthóir</w:t>
            </w:r>
          </w:p>
        </w:tc>
        <w:tc>
          <w:tcPr>
            <w:tcW w:w="6204" w:type="dxa"/>
          </w:tcPr>
          <w:p w14:paraId="14B92BC6" w14:textId="77777777" w:rsidR="00203935" w:rsidRPr="0098598C" w:rsidRDefault="00203935" w:rsidP="0074642E">
            <w:pPr>
              <w:jc w:val="left"/>
            </w:pPr>
            <w:r>
              <w:t xml:space="preserve">Adam </w:t>
            </w:r>
            <w:proofErr w:type="spellStart"/>
            <w:r>
              <w:t>Dorywalski</w:t>
            </w:r>
            <w:proofErr w:type="spellEnd"/>
          </w:p>
        </w:tc>
      </w:tr>
      <w:tr w:rsidR="00203935" w:rsidRPr="0098598C" w14:paraId="58EE73B4" w14:textId="77777777" w:rsidTr="006030E5">
        <w:tc>
          <w:tcPr>
            <w:tcW w:w="3085" w:type="dxa"/>
          </w:tcPr>
          <w:p w14:paraId="56490496" w14:textId="77777777" w:rsidR="00203935" w:rsidRPr="0098598C" w:rsidRDefault="00203935" w:rsidP="0074642E">
            <w:pPr>
              <w:jc w:val="left"/>
            </w:pPr>
            <w:r>
              <w:t>Dáta an doiciméid</w:t>
            </w:r>
          </w:p>
        </w:tc>
        <w:tc>
          <w:tcPr>
            <w:tcW w:w="6204" w:type="dxa"/>
          </w:tcPr>
          <w:p w14:paraId="4A41C9FB" w14:textId="771CF670" w:rsidR="00203935" w:rsidRPr="0098598C" w:rsidRDefault="00131E9C" w:rsidP="0074642E">
            <w:pPr>
              <w:jc w:val="left"/>
            </w:pPr>
            <w:r>
              <w:t>27/5/2026</w:t>
            </w:r>
          </w:p>
        </w:tc>
      </w:tr>
    </w:tbl>
    <w:p w14:paraId="0000002E" w14:textId="12BE4666" w:rsidR="005D5113" w:rsidRPr="0098598C" w:rsidRDefault="005D5113" w:rsidP="0074642E">
      <w:pPr>
        <w:sectPr w:rsidR="005D5113" w:rsidRPr="0098598C" w:rsidSect="00131E9C">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09" w:footer="709" w:gutter="0"/>
          <w:pgNumType w:start="1"/>
          <w:cols w:space="720"/>
          <w:docGrid w:linePitch="299"/>
        </w:sectPr>
      </w:pPr>
    </w:p>
    <w:p w14:paraId="0000004A" w14:textId="77777777" w:rsidR="005D5113" w:rsidRPr="0098598C" w:rsidRDefault="005D5113" w:rsidP="0074642E"/>
    <w:tbl>
      <w:tblPr>
        <w:tblStyle w:val="a5"/>
        <w:tblW w:w="9073" w:type="dxa"/>
        <w:tblLayout w:type="fixed"/>
        <w:tblLook w:val="0400" w:firstRow="0" w:lastRow="0" w:firstColumn="0" w:lastColumn="0" w:noHBand="0" w:noVBand="1"/>
      </w:tblPr>
      <w:tblGrid>
        <w:gridCol w:w="3055"/>
        <w:gridCol w:w="6018"/>
      </w:tblGrid>
      <w:tr w:rsidR="005D5113" w:rsidRPr="0098598C" w14:paraId="60B4C88F" w14:textId="77777777">
        <w:trPr>
          <w:trHeight w:val="251"/>
        </w:trPr>
        <w:tc>
          <w:tcPr>
            <w:tcW w:w="3055" w:type="dxa"/>
          </w:tcPr>
          <w:p w14:paraId="0000004B" w14:textId="77777777" w:rsidR="005D5113" w:rsidRPr="0098598C" w:rsidRDefault="002776C5" w:rsidP="0074642E">
            <w:pPr>
              <w:jc w:val="left"/>
            </w:pPr>
            <w:r>
              <w:t>Comhairleoirí</w:t>
            </w:r>
          </w:p>
        </w:tc>
        <w:tc>
          <w:tcPr>
            <w:tcW w:w="6018" w:type="dxa"/>
          </w:tcPr>
          <w:p w14:paraId="0000004C" w14:textId="77777777" w:rsidR="005D5113" w:rsidRPr="0098598C" w:rsidRDefault="002776C5" w:rsidP="0074642E">
            <w:pPr>
              <w:jc w:val="left"/>
            </w:pPr>
            <w:proofErr w:type="spellStart"/>
            <w:r>
              <w:t>Laura</w:t>
            </w:r>
            <w:proofErr w:type="spellEnd"/>
            <w:r>
              <w:t xml:space="preserve"> BLAŽEVIĆ (do </w:t>
            </w:r>
            <w:proofErr w:type="spellStart"/>
            <w:r>
              <w:t>rapóirtéir</w:t>
            </w:r>
            <w:proofErr w:type="spellEnd"/>
            <w:r>
              <w:t xml:space="preserve"> Ghrúpa I)</w:t>
            </w:r>
          </w:p>
          <w:p w14:paraId="0000004D" w14:textId="77777777" w:rsidR="005D5113" w:rsidRPr="0098598C" w:rsidRDefault="002776C5" w:rsidP="0074642E">
            <w:pPr>
              <w:jc w:val="left"/>
            </w:pPr>
            <w:r>
              <w:t xml:space="preserve">Robin ROELS (do </w:t>
            </w:r>
            <w:proofErr w:type="spellStart"/>
            <w:r>
              <w:t>chomhrapóirtéir</w:t>
            </w:r>
            <w:proofErr w:type="spellEnd"/>
            <w:r>
              <w:t xml:space="preserve"> Chatagóir 3)</w:t>
            </w:r>
          </w:p>
        </w:tc>
      </w:tr>
      <w:tr w:rsidR="005D5113" w:rsidRPr="0098598C" w14:paraId="127F0E83" w14:textId="77777777">
        <w:trPr>
          <w:trHeight w:val="251"/>
        </w:trPr>
        <w:tc>
          <w:tcPr>
            <w:tcW w:w="3055" w:type="dxa"/>
          </w:tcPr>
          <w:p w14:paraId="0000004E" w14:textId="77777777" w:rsidR="005D5113" w:rsidRPr="0098598C" w:rsidRDefault="005D5113" w:rsidP="0074642E">
            <w:pPr>
              <w:jc w:val="left"/>
            </w:pPr>
          </w:p>
        </w:tc>
        <w:tc>
          <w:tcPr>
            <w:tcW w:w="6018" w:type="dxa"/>
          </w:tcPr>
          <w:p w14:paraId="0000004F" w14:textId="77777777" w:rsidR="005D5113" w:rsidRPr="0098598C" w:rsidRDefault="005D5113" w:rsidP="0074642E">
            <w:pPr>
              <w:jc w:val="left"/>
            </w:pPr>
          </w:p>
        </w:tc>
      </w:tr>
      <w:tr w:rsidR="005D5113" w:rsidRPr="0098598C" w14:paraId="2F5C7508" w14:textId="77777777">
        <w:tc>
          <w:tcPr>
            <w:tcW w:w="3055" w:type="dxa"/>
          </w:tcPr>
          <w:p w14:paraId="00000050" w14:textId="77777777" w:rsidR="005D5113" w:rsidRPr="0098598C" w:rsidRDefault="002776C5" w:rsidP="0074642E">
            <w:pPr>
              <w:jc w:val="left"/>
            </w:pPr>
            <w:r>
              <w:t>Cinneadh ón Tionól Iomlánach</w:t>
            </w:r>
          </w:p>
        </w:tc>
        <w:tc>
          <w:tcPr>
            <w:tcW w:w="6018" w:type="dxa"/>
          </w:tcPr>
          <w:p w14:paraId="00000051" w14:textId="205268D2" w:rsidR="005D5113" w:rsidRPr="0098598C" w:rsidRDefault="00775540" w:rsidP="0074642E">
            <w:pPr>
              <w:jc w:val="left"/>
            </w:pPr>
            <w:r>
              <w:t>2/12/2025</w:t>
            </w:r>
          </w:p>
        </w:tc>
      </w:tr>
      <w:tr w:rsidR="005D5113" w:rsidRPr="0098598C" w14:paraId="09028BA7" w14:textId="77777777">
        <w:tc>
          <w:tcPr>
            <w:tcW w:w="3055" w:type="dxa"/>
          </w:tcPr>
          <w:p w14:paraId="00000052" w14:textId="77777777" w:rsidR="005D5113" w:rsidRPr="0098598C" w:rsidRDefault="002776C5" w:rsidP="0074642E">
            <w:pPr>
              <w:jc w:val="left"/>
            </w:pPr>
            <w:r>
              <w:t>Comhairliúchán</w:t>
            </w:r>
          </w:p>
        </w:tc>
        <w:tc>
          <w:tcPr>
            <w:tcW w:w="6018" w:type="dxa"/>
          </w:tcPr>
          <w:p w14:paraId="00000053" w14:textId="14B94D4D" w:rsidR="005D5113" w:rsidRPr="0098598C" w:rsidRDefault="000316A4" w:rsidP="0074642E">
            <w:pPr>
              <w:jc w:val="left"/>
            </w:pPr>
            <w:r>
              <w:t>An Coimisiún Eorpach, 24/02/2026</w:t>
            </w:r>
          </w:p>
        </w:tc>
      </w:tr>
      <w:tr w:rsidR="005D5113" w:rsidRPr="0098598C" w14:paraId="41B42DAE" w14:textId="77777777">
        <w:tc>
          <w:tcPr>
            <w:tcW w:w="3055" w:type="dxa"/>
          </w:tcPr>
          <w:p w14:paraId="00000054" w14:textId="77777777" w:rsidR="005D5113" w:rsidRPr="0098598C" w:rsidRDefault="002776C5" w:rsidP="0074642E">
            <w:pPr>
              <w:jc w:val="left"/>
            </w:pPr>
            <w:r>
              <w:t>Bunús dlí</w:t>
            </w:r>
          </w:p>
        </w:tc>
        <w:tc>
          <w:tcPr>
            <w:tcW w:w="6018" w:type="dxa"/>
          </w:tcPr>
          <w:p w14:paraId="00000055" w14:textId="77777777" w:rsidR="005D5113" w:rsidRPr="0098598C" w:rsidRDefault="002776C5" w:rsidP="0074642E">
            <w:pPr>
              <w:jc w:val="left"/>
            </w:pPr>
            <w:r>
              <w:t>Airteagal 304 den Chonradh ar Fheidhmiú an Aontais Eorpaigh</w:t>
            </w:r>
          </w:p>
        </w:tc>
      </w:tr>
      <w:tr w:rsidR="005D5113" w:rsidRPr="0098598C" w14:paraId="384945E7" w14:textId="77777777">
        <w:tc>
          <w:tcPr>
            <w:tcW w:w="3055" w:type="dxa"/>
          </w:tcPr>
          <w:p w14:paraId="00000056" w14:textId="77777777" w:rsidR="005D5113" w:rsidRPr="0098598C" w:rsidRDefault="002776C5" w:rsidP="0074642E">
            <w:pPr>
              <w:jc w:val="left"/>
            </w:pPr>
            <w:r>
              <w:t>An rannóg atá freagrach</w:t>
            </w:r>
          </w:p>
        </w:tc>
        <w:tc>
          <w:tcPr>
            <w:tcW w:w="6018" w:type="dxa"/>
          </w:tcPr>
          <w:p w14:paraId="00000057" w14:textId="77777777" w:rsidR="005D5113" w:rsidRPr="0098598C" w:rsidRDefault="002776C5" w:rsidP="0074642E">
            <w:pPr>
              <w:jc w:val="left"/>
            </w:pPr>
            <w:r>
              <w:t>An Coimisiún Comhairleach um Athruithe Tionsclaíocha</w:t>
            </w:r>
          </w:p>
        </w:tc>
      </w:tr>
      <w:tr w:rsidR="005D5113" w:rsidRPr="0098598C" w14:paraId="6E0B72A7" w14:textId="77777777">
        <w:tc>
          <w:tcPr>
            <w:tcW w:w="3055" w:type="dxa"/>
          </w:tcPr>
          <w:p w14:paraId="00000058" w14:textId="77777777" w:rsidR="005D5113" w:rsidRPr="0098598C" w:rsidRDefault="002776C5" w:rsidP="0074642E">
            <w:pPr>
              <w:jc w:val="left"/>
            </w:pPr>
            <w:r>
              <w:t>Dáta a glactha sa rannóg</w:t>
            </w:r>
          </w:p>
        </w:tc>
        <w:tc>
          <w:tcPr>
            <w:tcW w:w="6018" w:type="dxa"/>
          </w:tcPr>
          <w:p w14:paraId="00000059" w14:textId="38F06EBD" w:rsidR="005D5113" w:rsidRPr="0098598C" w:rsidRDefault="000316A4" w:rsidP="0074642E">
            <w:pPr>
              <w:jc w:val="left"/>
            </w:pPr>
            <w:r>
              <w:t>20/5/2026</w:t>
            </w:r>
          </w:p>
        </w:tc>
      </w:tr>
      <w:tr w:rsidR="005D5113" w:rsidRPr="0098598C" w14:paraId="483A524D" w14:textId="77777777">
        <w:tc>
          <w:tcPr>
            <w:tcW w:w="3055" w:type="dxa"/>
          </w:tcPr>
          <w:p w14:paraId="0000005A" w14:textId="77777777" w:rsidR="005D5113" w:rsidRPr="0098598C" w:rsidRDefault="002776C5" w:rsidP="0074642E">
            <w:pPr>
              <w:jc w:val="left"/>
            </w:pPr>
            <w:r>
              <w:t>Toradh na vótála</w:t>
            </w:r>
            <w:r>
              <w:br/>
              <w:t>(ar son/in aghaidh/staonadh)</w:t>
            </w:r>
          </w:p>
        </w:tc>
        <w:tc>
          <w:tcPr>
            <w:tcW w:w="6018" w:type="dxa"/>
            <w:vAlign w:val="bottom"/>
          </w:tcPr>
          <w:p w14:paraId="0000005B" w14:textId="1E50CE87" w:rsidR="005D5113" w:rsidRPr="0098598C" w:rsidRDefault="000316A4" w:rsidP="0074642E">
            <w:pPr>
              <w:jc w:val="left"/>
            </w:pPr>
            <w:r>
              <w:t>22/0/0</w:t>
            </w:r>
          </w:p>
        </w:tc>
      </w:tr>
      <w:tr w:rsidR="005D5113" w:rsidRPr="0098598C" w14:paraId="00742187" w14:textId="77777777">
        <w:tc>
          <w:tcPr>
            <w:tcW w:w="3055" w:type="dxa"/>
          </w:tcPr>
          <w:p w14:paraId="0000005C" w14:textId="77777777" w:rsidR="005D5113" w:rsidRPr="0098598C" w:rsidRDefault="002776C5" w:rsidP="0074642E">
            <w:pPr>
              <w:jc w:val="left"/>
            </w:pPr>
            <w:r>
              <w:t>Dáta a glactha sa seisiún iomlánach</w:t>
            </w:r>
          </w:p>
        </w:tc>
        <w:tc>
          <w:tcPr>
            <w:tcW w:w="6018" w:type="dxa"/>
          </w:tcPr>
          <w:p w14:paraId="0000005D" w14:textId="77777777" w:rsidR="005D5113" w:rsidRPr="0098598C" w:rsidRDefault="002776C5" w:rsidP="0074642E">
            <w:pPr>
              <w:jc w:val="left"/>
            </w:pPr>
            <w:r>
              <w:t>D/M/YYYY</w:t>
            </w:r>
          </w:p>
        </w:tc>
      </w:tr>
      <w:tr w:rsidR="005D5113" w:rsidRPr="0098598C" w14:paraId="0236EB73" w14:textId="77777777">
        <w:tc>
          <w:tcPr>
            <w:tcW w:w="3055" w:type="dxa"/>
          </w:tcPr>
          <w:p w14:paraId="0000005E" w14:textId="77777777" w:rsidR="005D5113" w:rsidRPr="0098598C" w:rsidRDefault="002776C5" w:rsidP="0074642E">
            <w:pPr>
              <w:jc w:val="left"/>
            </w:pPr>
            <w:r>
              <w:t>Seisiún iomlánach Uimh.</w:t>
            </w:r>
          </w:p>
        </w:tc>
        <w:tc>
          <w:tcPr>
            <w:tcW w:w="6018" w:type="dxa"/>
          </w:tcPr>
          <w:p w14:paraId="0000005F" w14:textId="1D0FC725" w:rsidR="005D5113" w:rsidRPr="0098598C" w:rsidRDefault="000316A4" w:rsidP="0074642E">
            <w:pPr>
              <w:jc w:val="left"/>
            </w:pPr>
            <w:r>
              <w:t>606</w:t>
            </w:r>
          </w:p>
        </w:tc>
      </w:tr>
      <w:tr w:rsidR="005D5113" w:rsidRPr="0098598C" w14:paraId="0FF33F1F" w14:textId="77777777">
        <w:tc>
          <w:tcPr>
            <w:tcW w:w="3055" w:type="dxa"/>
          </w:tcPr>
          <w:p w14:paraId="00000060" w14:textId="77777777" w:rsidR="005D5113" w:rsidRPr="0098598C" w:rsidRDefault="002776C5" w:rsidP="0074642E">
            <w:pPr>
              <w:jc w:val="left"/>
            </w:pPr>
            <w:r>
              <w:t>Toradh na vótála</w:t>
            </w:r>
            <w:r>
              <w:br/>
              <w:t>(ar son/in aghaidh/staonadh)</w:t>
            </w:r>
          </w:p>
        </w:tc>
        <w:tc>
          <w:tcPr>
            <w:tcW w:w="6018" w:type="dxa"/>
            <w:vAlign w:val="bottom"/>
          </w:tcPr>
          <w:p w14:paraId="00000061" w14:textId="77777777" w:rsidR="005D5113" w:rsidRPr="0098598C" w:rsidRDefault="002776C5" w:rsidP="0074642E">
            <w:pPr>
              <w:jc w:val="left"/>
            </w:pPr>
            <w:r>
              <w:t>…/…/…</w:t>
            </w:r>
          </w:p>
        </w:tc>
      </w:tr>
    </w:tbl>
    <w:p w14:paraId="00000062" w14:textId="77777777" w:rsidR="005D5113" w:rsidRPr="0098598C" w:rsidRDefault="002776C5" w:rsidP="0074642E">
      <w:r>
        <w:br w:type="page"/>
      </w:r>
    </w:p>
    <w:p w14:paraId="60367ABB" w14:textId="4C0AF94D" w:rsidR="00220241" w:rsidRPr="00F34E97" w:rsidRDefault="00220241" w:rsidP="00F34E97">
      <w:pPr>
        <w:pStyle w:val="Heading1"/>
        <w:numPr>
          <w:ilvl w:val="0"/>
          <w:numId w:val="1"/>
        </w:numPr>
        <w:ind w:left="567" w:hanging="567"/>
        <w:rPr>
          <w:b/>
          <w:bCs/>
        </w:rPr>
      </w:pPr>
      <w:r>
        <w:rPr>
          <w:b/>
        </w:rPr>
        <w:lastRenderedPageBreak/>
        <w:t>Conclúidí agus moltaí</w:t>
      </w:r>
    </w:p>
    <w:p w14:paraId="1A622280" w14:textId="77777777" w:rsidR="00220241" w:rsidRPr="0098598C" w:rsidRDefault="00220241" w:rsidP="0074642E"/>
    <w:p w14:paraId="00000063" w14:textId="148C0A19" w:rsidR="005D5113" w:rsidRPr="0098598C" w:rsidRDefault="002776C5" w:rsidP="0074642E">
      <w:pPr>
        <w:ind w:left="567"/>
      </w:pPr>
      <w:r>
        <w:t xml:space="preserve">Measann CESE gur céim thábhachtach é Plean Gníomhaíochta </w:t>
      </w:r>
      <w:proofErr w:type="spellStart"/>
      <w:r>
        <w:t>RESourceEU</w:t>
      </w:r>
      <w:proofErr w:type="spellEnd"/>
      <w:r>
        <w:t xml:space="preserve"> i dtreo athléimneacht shlabhraí luacha amhábhar criticiúil an Aontais a neartú agus spleáchais straitéiseacha a laghdú. Mar sin féin, chun an cuspóir sin a bhaint amach, beidh gá le cur chuige cothrom lena gcomhcheanglaítear tuilleadh acmhainneacht táirgeachta, an </w:t>
      </w:r>
      <w:proofErr w:type="spellStart"/>
      <w:r>
        <w:t>chiorclaíocht</w:t>
      </w:r>
      <w:proofErr w:type="spellEnd"/>
      <w:r>
        <w:t xml:space="preserve"> agus </w:t>
      </w:r>
      <w:proofErr w:type="spellStart"/>
      <w:r>
        <w:t>comhpháirtíochtaí</w:t>
      </w:r>
      <w:proofErr w:type="spellEnd"/>
      <w:r>
        <w:t xml:space="preserve"> idirnáisiúnta freagracha san Eoraip le praghsanna iomaíocha fuinnimh, creataí rialála indéanta agus coimircí láidre comhshaoil agus sóisialta. Dá bhrí sin, leagann CESE béim ar na tosaíochtaí seo a leanas:</w:t>
      </w:r>
    </w:p>
    <w:p w14:paraId="00000064" w14:textId="77777777" w:rsidR="005D5113" w:rsidRPr="0098598C" w:rsidRDefault="005D5113" w:rsidP="0074642E"/>
    <w:p w14:paraId="00000065" w14:textId="7E88C469" w:rsidR="005D5113" w:rsidRPr="0098598C" w:rsidRDefault="005B7F88" w:rsidP="00F34E97">
      <w:pPr>
        <w:pStyle w:val="Heading2"/>
        <w:numPr>
          <w:ilvl w:val="1"/>
          <w:numId w:val="1"/>
        </w:numPr>
        <w:ind w:left="567" w:hanging="567"/>
      </w:pPr>
      <w:r>
        <w:rPr>
          <w:b/>
        </w:rPr>
        <w:t>tionscadail straitéiseacha Eorpacha agus ceadú níos tapa a éascú:</w:t>
      </w:r>
      <w:r>
        <w:t xml:space="preserve"> praghsanna fuinnimh tionsclaíocha atá ard ó thaobh struchtúir de a laghdú agus comhaontuithe ceannaigh cumhachta (</w:t>
      </w:r>
      <w:proofErr w:type="spellStart"/>
      <w:r>
        <w:t>CCCanna</w:t>
      </w:r>
      <w:proofErr w:type="spellEnd"/>
      <w:r>
        <w:t xml:space="preserve">) fadtéarmacha inbhuanaithe a éascú. Is gá freisin tacaíocht </w:t>
      </w:r>
      <w:proofErr w:type="spellStart"/>
      <w:r>
        <w:t>leictriúcháin</w:t>
      </w:r>
      <w:proofErr w:type="spellEnd"/>
      <w:r>
        <w:t xml:space="preserve"> a áirithiú faoi Chreat Státchabhrach an Chomhaontaithe maidir le Tionsclaíocht Ghlan (CSCCTG) le haghaidh tionscail </w:t>
      </w:r>
      <w:proofErr w:type="spellStart"/>
      <w:r>
        <w:t>dianfhuinnimh</w:t>
      </w:r>
      <w:proofErr w:type="spellEnd"/>
      <w:r>
        <w:t xml:space="preserve">, lena n-áirítear an Ciste don Nuálaíocht, agus éifeachtacht CTA AE á áirithiú an tráth céanna agus is gá a áirithiú go n-éascaíonn tionscnaimh ar nós </w:t>
      </w:r>
      <w:proofErr w:type="spellStart"/>
      <w:r>
        <w:t>Thacsanomaíocht</w:t>
      </w:r>
      <w:proofErr w:type="spellEnd"/>
      <w:r>
        <w:t xml:space="preserve"> an Aontais rochtain ar mhaoiniú le haghaidh tionscadail straitéiseacha;</w:t>
      </w:r>
    </w:p>
    <w:p w14:paraId="00000066" w14:textId="1727847A" w:rsidR="005D5113" w:rsidRPr="0098598C" w:rsidRDefault="005D5113" w:rsidP="00F34E97"/>
    <w:p w14:paraId="00000067" w14:textId="3E3973F8" w:rsidR="005D5113" w:rsidRPr="0098598C" w:rsidRDefault="005B7F88" w:rsidP="00F34E97">
      <w:pPr>
        <w:pStyle w:val="Heading2"/>
        <w:numPr>
          <w:ilvl w:val="1"/>
          <w:numId w:val="1"/>
        </w:numPr>
        <w:ind w:left="567" w:hanging="567"/>
      </w:pPr>
      <w:r>
        <w:t xml:space="preserve">Cé go n-aithníonn CESE an t-athbhreithniú a dhéanfar go luath ar an Treoir </w:t>
      </w:r>
      <w:proofErr w:type="spellStart"/>
      <w:r>
        <w:t>Réime</w:t>
      </w:r>
      <w:proofErr w:type="spellEnd"/>
      <w:r>
        <w:t xml:space="preserve"> maidir le </w:t>
      </w:r>
      <w:proofErr w:type="spellStart"/>
      <w:r>
        <w:t>hUisce</w:t>
      </w:r>
      <w:proofErr w:type="spellEnd"/>
      <w:r>
        <w:t>, cuireann sé i bhfios go láidir nár cheart aon ísliú ar chaighdeáin chomhshaoil a bheith mar thoradh ar an bpróiseas sin,</w:t>
      </w:r>
    </w:p>
    <w:p w14:paraId="6A2D5E95" w14:textId="77777777" w:rsidR="00220241" w:rsidRPr="0098598C" w:rsidRDefault="00220241" w:rsidP="0074642E"/>
    <w:p w14:paraId="00000069" w14:textId="6B97DEF3" w:rsidR="005D5113" w:rsidRPr="0098598C" w:rsidRDefault="005B7F88" w:rsidP="00F34E97">
      <w:pPr>
        <w:pStyle w:val="Heading2"/>
        <w:numPr>
          <w:ilvl w:val="1"/>
          <w:numId w:val="1"/>
        </w:numPr>
        <w:ind w:left="567" w:hanging="567"/>
        <w:rPr>
          <w:color w:val="000000"/>
        </w:rPr>
      </w:pPr>
      <w:r>
        <w:rPr>
          <w:b/>
        </w:rPr>
        <w:t>athchúrsáil agus athúsáid amhábhar criticiúil a fheabhsú:</w:t>
      </w:r>
      <w:r>
        <w:t xml:space="preserve"> ní foláir dleacht </w:t>
      </w:r>
      <w:proofErr w:type="spellStart"/>
      <w:r>
        <w:t>onnmhairiúcháin</w:t>
      </w:r>
      <w:proofErr w:type="spellEnd"/>
      <w:r>
        <w:t xml:space="preserve"> aonfhoirmeach ar fhuíoll alúmanaim a thabhairt isteach chun luach a choinneáil laistigh den Aontas agus feabhas a chur ar chúrsaíocht dramhaíola AÁC trí nósanna imeachta simplithe agus </w:t>
      </w:r>
      <w:proofErr w:type="spellStart"/>
      <w:r>
        <w:t>digitithe</w:t>
      </w:r>
      <w:proofErr w:type="spellEnd"/>
      <w:r>
        <w:t xml:space="preserve"> faoin Rialachán maidir le </w:t>
      </w:r>
      <w:proofErr w:type="spellStart"/>
      <w:r>
        <w:t>Loingsithe</w:t>
      </w:r>
      <w:proofErr w:type="spellEnd"/>
      <w:r>
        <w:t xml:space="preserve"> Dramhaíola, sin agus sainmhínithe soiléire a thabhairt ar dhramhaíl agus ar ábhair thánaisteacha chun athchúrsáil agus aisghabháil a éascú.</w:t>
      </w:r>
      <w:r>
        <w:rPr>
          <w:color w:val="000000"/>
        </w:rPr>
        <w:t xml:space="preserve"> Ní mór a áireamh le comhleanúnachas na mbeartas cuspóirí maolaithe maidir le lorg ábhair agus pleananna earnála chun déine ábhair a laghdú d’fhonn </w:t>
      </w:r>
      <w:proofErr w:type="spellStart"/>
      <w:r>
        <w:rPr>
          <w:color w:val="000000"/>
        </w:rPr>
        <w:t>criticiúlacht</w:t>
      </w:r>
      <w:proofErr w:type="spellEnd"/>
      <w:r>
        <w:rPr>
          <w:color w:val="000000"/>
        </w:rPr>
        <w:t xml:space="preserve"> in earnálacha </w:t>
      </w:r>
      <w:proofErr w:type="spellStart"/>
      <w:r>
        <w:rPr>
          <w:color w:val="000000"/>
        </w:rPr>
        <w:t>iartheachtacha</w:t>
      </w:r>
      <w:proofErr w:type="spellEnd"/>
      <w:r>
        <w:rPr>
          <w:color w:val="000000"/>
        </w:rPr>
        <w:t xml:space="preserve"> a mhaolú.</w:t>
      </w:r>
    </w:p>
    <w:p w14:paraId="385CEC43" w14:textId="77777777" w:rsidR="00220241" w:rsidRPr="0098598C" w:rsidRDefault="00220241" w:rsidP="0074642E">
      <w:pPr>
        <w:pBdr>
          <w:top w:val="nil"/>
          <w:left w:val="nil"/>
          <w:bottom w:val="nil"/>
          <w:right w:val="nil"/>
          <w:between w:val="nil"/>
        </w:pBdr>
        <w:ind w:left="720"/>
        <w:rPr>
          <w:b/>
          <w:bCs/>
          <w:color w:val="000000"/>
        </w:rPr>
      </w:pPr>
    </w:p>
    <w:p w14:paraId="0000006B" w14:textId="2B93D763" w:rsidR="005D5113" w:rsidRPr="0098598C" w:rsidRDefault="005B7F88" w:rsidP="00F34E97">
      <w:pPr>
        <w:pStyle w:val="Heading2"/>
        <w:numPr>
          <w:ilvl w:val="1"/>
          <w:numId w:val="1"/>
        </w:numPr>
        <w:ind w:left="567" w:hanging="567"/>
      </w:pPr>
      <w:r>
        <w:rPr>
          <w:b/>
        </w:rPr>
        <w:t>tacú le hinfheistíocht agus le forbairt an mhargaidh:</w:t>
      </w:r>
      <w:r>
        <w:t xml:space="preserve"> is gá athléimneacht shlabhraí luacha ábhair an Aontais a neartú trí tháirgeadh intíre níos fearr a chomhcheangal le bearta ar thaobh an éilimh, mar shampla éifeachtúlacht ábhair, </w:t>
      </w:r>
      <w:proofErr w:type="spellStart"/>
      <w:r>
        <w:t>éicidhearthóireacht</w:t>
      </w:r>
      <w:proofErr w:type="spellEnd"/>
      <w:r>
        <w:t xml:space="preserve"> agus rátaí athchúrsála níos airde.</w:t>
      </w:r>
      <w:r>
        <w:rPr>
          <w:color w:val="000000"/>
        </w:rPr>
        <w:t xml:space="preserve"> Ba cheart an stoc-charnadh a bheith ag cur le táirgeadh, próiseáil agus athchúrsáil intíre an Aontais seachas a n-ionad a ghlacadh. Ní foláir feabhas a chur ar an trédhearcacht i leith rialachas amhábhar trí shonraí níos fearr maidir le sreafaí ábhair, leibhéil stoic agus cinntí leithdháilte.</w:t>
      </w:r>
    </w:p>
    <w:p w14:paraId="6F33E14A" w14:textId="77777777" w:rsidR="00220241" w:rsidRPr="0098598C" w:rsidRDefault="00220241" w:rsidP="0074642E">
      <w:pPr>
        <w:pBdr>
          <w:top w:val="nil"/>
          <w:left w:val="nil"/>
          <w:bottom w:val="nil"/>
          <w:right w:val="nil"/>
          <w:between w:val="nil"/>
        </w:pBdr>
        <w:ind w:left="720"/>
      </w:pPr>
    </w:p>
    <w:p w14:paraId="0000006D" w14:textId="70F29B32" w:rsidR="005D5113" w:rsidRPr="0098598C" w:rsidRDefault="005B7F88" w:rsidP="00F34E97">
      <w:pPr>
        <w:pStyle w:val="Heading2"/>
        <w:numPr>
          <w:ilvl w:val="1"/>
          <w:numId w:val="1"/>
        </w:numPr>
        <w:ind w:left="567" w:hanging="567"/>
      </w:pPr>
      <w:proofErr w:type="spellStart"/>
      <w:r>
        <w:rPr>
          <w:b/>
          <w:color w:val="000000"/>
        </w:rPr>
        <w:t>comhpháirtíochtaí</w:t>
      </w:r>
      <w:proofErr w:type="spellEnd"/>
      <w:r>
        <w:rPr>
          <w:b/>
          <w:color w:val="000000"/>
        </w:rPr>
        <w:t xml:space="preserve"> idirnáisiúnta cothroma a thógáil:</w:t>
      </w:r>
      <w:r>
        <w:rPr>
          <w:color w:val="000000"/>
        </w:rPr>
        <w:t xml:space="preserve"> is gá an soláthar a éagsúlú trí </w:t>
      </w:r>
      <w:proofErr w:type="spellStart"/>
      <w:r>
        <w:rPr>
          <w:color w:val="000000"/>
        </w:rPr>
        <w:t>chomhpháirtíochtaí</w:t>
      </w:r>
      <w:proofErr w:type="spellEnd"/>
      <w:r>
        <w:rPr>
          <w:color w:val="000000"/>
        </w:rPr>
        <w:t xml:space="preserve"> straitéiseacha agus acmhainneacht eastósctha, phróiseála, scagtha agus athchúrsála an Aontais a neartú ag an am céanna. Sa timpeallacht </w:t>
      </w:r>
      <w:proofErr w:type="spellStart"/>
      <w:r>
        <w:rPr>
          <w:color w:val="000000"/>
        </w:rPr>
        <w:t>gheopholaitiúil</w:t>
      </w:r>
      <w:proofErr w:type="spellEnd"/>
      <w:r>
        <w:rPr>
          <w:color w:val="000000"/>
        </w:rPr>
        <w:t xml:space="preserve"> atá ann faoi láthair, níl aon deimhniú ann go leanfaidh comhpháirtithe a bhí inmhuiníne roimhe seo de bheith ina </w:t>
      </w:r>
      <w:proofErr w:type="spellStart"/>
      <w:r>
        <w:rPr>
          <w:color w:val="000000"/>
        </w:rPr>
        <w:t>soláthróirí</w:t>
      </w:r>
      <w:proofErr w:type="spellEnd"/>
      <w:r>
        <w:rPr>
          <w:color w:val="000000"/>
        </w:rPr>
        <w:t xml:space="preserve"> ábhar straitéiseach cobhsaí nó iontaofa. Dá bhrí sin, ba cheart don Aontas </w:t>
      </w:r>
      <w:proofErr w:type="spellStart"/>
      <w:r>
        <w:rPr>
          <w:color w:val="000000"/>
        </w:rPr>
        <w:t>róspleáchas</w:t>
      </w:r>
      <w:proofErr w:type="spellEnd"/>
      <w:r>
        <w:rPr>
          <w:color w:val="000000"/>
        </w:rPr>
        <w:t xml:space="preserve"> ar aon chomhpháirtí aonair a laghdú agus straitéis comhpháirtíochta éagsúlaithe a </w:t>
      </w:r>
      <w:r>
        <w:rPr>
          <w:color w:val="000000"/>
        </w:rPr>
        <w:lastRenderedPageBreak/>
        <w:t>leanúint bunaithe ar leas frithpháirteach, trédhearcacht agus caighdeáin láidre chomhshaoil agus saothair.</w:t>
      </w:r>
    </w:p>
    <w:p w14:paraId="0000006E" w14:textId="77777777" w:rsidR="005D5113" w:rsidRPr="0098598C" w:rsidRDefault="005D5113" w:rsidP="0074642E"/>
    <w:p w14:paraId="0000006F" w14:textId="77777777" w:rsidR="005D5113" w:rsidRPr="0098598C" w:rsidRDefault="002776C5" w:rsidP="0074642E">
      <w:pPr>
        <w:pStyle w:val="Heading1"/>
        <w:keepNext/>
        <w:keepLines/>
        <w:numPr>
          <w:ilvl w:val="0"/>
          <w:numId w:val="1"/>
        </w:numPr>
        <w:ind w:left="567" w:hanging="567"/>
        <w:rPr>
          <w:b/>
          <w:bCs/>
        </w:rPr>
      </w:pPr>
      <w:r>
        <w:rPr>
          <w:b/>
        </w:rPr>
        <w:t>Barúlacha ginearálta</w:t>
      </w:r>
    </w:p>
    <w:p w14:paraId="00000070" w14:textId="77777777" w:rsidR="005D5113" w:rsidRPr="0098598C" w:rsidRDefault="005D5113" w:rsidP="0074642E">
      <w:pPr>
        <w:keepNext/>
        <w:keepLines/>
      </w:pPr>
    </w:p>
    <w:p w14:paraId="00000071" w14:textId="6338DB56" w:rsidR="005D5113" w:rsidRPr="0098598C" w:rsidRDefault="002776C5" w:rsidP="00F34E97">
      <w:pPr>
        <w:pStyle w:val="Heading2"/>
        <w:numPr>
          <w:ilvl w:val="1"/>
          <w:numId w:val="1"/>
        </w:numPr>
        <w:ind w:left="567" w:hanging="567"/>
      </w:pPr>
      <w:r>
        <w:t xml:space="preserve">Tá tús á chur ag an Eoraip le céim nua den bheartas amhábhar ina bhfuil luas, slándáil agus scálú tionsclaíoch ina </w:t>
      </w:r>
      <w:proofErr w:type="spellStart"/>
      <w:r>
        <w:t>bpríomhphrionsabail</w:t>
      </w:r>
      <w:proofErr w:type="spellEnd"/>
      <w:r>
        <w:t xml:space="preserve"> eagrúcháin. Aithníonn CESE a </w:t>
      </w:r>
      <w:proofErr w:type="spellStart"/>
      <w:r>
        <w:t>phráinní</w:t>
      </w:r>
      <w:proofErr w:type="spellEnd"/>
      <w:r>
        <w:t xml:space="preserve"> atá sé spleáchais ar fhoinsí </w:t>
      </w:r>
      <w:proofErr w:type="spellStart"/>
      <w:r>
        <w:t>neamhshlána</w:t>
      </w:r>
      <w:proofErr w:type="spellEnd"/>
      <w:r>
        <w:t xml:space="preserve"> a laghdú agus slabhraí luacha </w:t>
      </w:r>
      <w:proofErr w:type="spellStart"/>
      <w:r>
        <w:t>athléimneacha</w:t>
      </w:r>
      <w:proofErr w:type="spellEnd"/>
      <w:r>
        <w:t xml:space="preserve"> a thógáil. Le tionscnaimh a rinneadh le déanaí, mar shampla an Gníomh um Dhlús a Chur leis an Tionsclaíocht, leagtar béim ar an ngá atá le </w:t>
      </w:r>
      <w:proofErr w:type="spellStart"/>
      <w:r>
        <w:t>hacmhainneacht</w:t>
      </w:r>
      <w:proofErr w:type="spellEnd"/>
      <w:r>
        <w:t xml:space="preserve"> thionsclaíoch na hEorpa a neartú agus spleáchais a laghdú. Tá sé ríthábhachtach a áirithiú go bhforbrófar amhábhair agus a bhfeidhmeanna </w:t>
      </w:r>
      <w:proofErr w:type="spellStart"/>
      <w:r>
        <w:t>iartheachtacha</w:t>
      </w:r>
      <w:proofErr w:type="spellEnd"/>
      <w:r>
        <w:t xml:space="preserve"> laistigh den Eoraip ar mhaithe le cur chuige ‘Déanta san Aontas Eorpach’ agus chun ceannaireacht theicneolaíoch a choinneáil ar bun san aistriú glan.</w:t>
      </w:r>
    </w:p>
    <w:p w14:paraId="00000072" w14:textId="77777777" w:rsidR="005D5113" w:rsidRPr="0098598C" w:rsidRDefault="005D5113" w:rsidP="0074642E"/>
    <w:p w14:paraId="00000073" w14:textId="0E37775F" w:rsidR="005D5113" w:rsidRPr="0098598C" w:rsidRDefault="002776C5" w:rsidP="00F34E97">
      <w:pPr>
        <w:pStyle w:val="Heading2"/>
        <w:numPr>
          <w:ilvl w:val="1"/>
          <w:numId w:val="1"/>
        </w:numPr>
        <w:ind w:left="567" w:hanging="567"/>
      </w:pPr>
      <w:r>
        <w:t xml:space="preserve">Ag an am céanna, níor cheart an </w:t>
      </w:r>
      <w:proofErr w:type="spellStart"/>
      <w:r>
        <w:t>phráinn</w:t>
      </w:r>
      <w:proofErr w:type="spellEnd"/>
      <w:r>
        <w:t xml:space="preserve"> sin a bheith ina leithscéal chun ‘</w:t>
      </w:r>
      <w:proofErr w:type="spellStart"/>
      <w:r>
        <w:t>aicearraí</w:t>
      </w:r>
      <w:proofErr w:type="spellEnd"/>
      <w:r>
        <w:t xml:space="preserve"> daonlathacha’ a ghabháil. Más straitéis inchreidte a bheidh inti, ní foláir di dlí ceangailteach an chomhshaoil, cearta na n-oibrithe agus rannpháirtíocht an phobail a urramú chun moilleanna ar thionscadail de dheasca coinbhleachta, dlíthíochta agus damáiste do chlú a sheachaint. Dá bhrí sin, ba cheart measúnú a dhéanamh ar </w:t>
      </w:r>
      <w:proofErr w:type="spellStart"/>
      <w:r>
        <w:t>RESourceEU</w:t>
      </w:r>
      <w:proofErr w:type="spellEnd"/>
      <w:r>
        <w:t xml:space="preserve"> freisin mar athchóiriú ar na struchtúir rialachais. Le </w:t>
      </w:r>
      <w:proofErr w:type="spellStart"/>
      <w:r>
        <w:t>hionstraimí</w:t>
      </w:r>
      <w:proofErr w:type="spellEnd"/>
      <w:r>
        <w:t xml:space="preserve"> amhail ceannach comhpháirteach, stoc-charnadh agus beartú tosaíochta straitéiseach, tá gá le cuntasacht, trédhearcacht agus maoirseacht shoiléir, lena n-áirítear ó na comhpháirtithe sóisialta agus ón tsochaí shibhialta. Ní mór don chlár oibre um iomaíochas oibleagáidí diana comhshaoil agus sóisialta a chomhlíonadh, chomh maith le caighdeáin dhaonlathacha, lena n-áirítear rochtain ar cheartas.</w:t>
      </w:r>
    </w:p>
    <w:p w14:paraId="00000074" w14:textId="77777777" w:rsidR="005D5113" w:rsidRPr="0098598C" w:rsidRDefault="005D5113" w:rsidP="0074642E"/>
    <w:p w14:paraId="00000075" w14:textId="77777777" w:rsidR="005D5113" w:rsidRPr="0098598C" w:rsidRDefault="002776C5" w:rsidP="00F34E97">
      <w:pPr>
        <w:pStyle w:val="Heading2"/>
        <w:numPr>
          <w:ilvl w:val="1"/>
          <w:numId w:val="1"/>
        </w:numPr>
        <w:ind w:left="567" w:hanging="567"/>
      </w:pPr>
      <w:r>
        <w:t xml:space="preserve">Is díol sásaimh do CESE straitéis </w:t>
      </w:r>
      <w:proofErr w:type="spellStart"/>
      <w:r>
        <w:t>RESourceEU</w:t>
      </w:r>
      <w:proofErr w:type="spellEnd"/>
      <w:r>
        <w:t xml:space="preserve">, óir cuireann sí leis an nGníomh Eorpach um Amhábhair Chriticiúla, leis an gComhaontú maidir le Tionsclaíocht Ghlan agus leis an bPlean Gníomhaíochta Eorpach maidir le Cruach agus Miotail chun athléimneacht an Aontais in aghaidh suaitheadh soláthair a neartú. Ní mór a áireamh le comhleanúnachas na mbeartas cuspóirí maolaithe maidir le lorg ábhair agus pleananna earnála chun déine ábhair a laghdú d’fhonn </w:t>
      </w:r>
      <w:proofErr w:type="spellStart"/>
      <w:r>
        <w:t>criticiúlacht</w:t>
      </w:r>
      <w:proofErr w:type="spellEnd"/>
      <w:r>
        <w:t xml:space="preserve"> a mhaolú – go háirithe maidir le soghluaisteacht, córais fuinnimh, tógáil agus táirgí digiteacha – mar aon le </w:t>
      </w:r>
      <w:proofErr w:type="spellStart"/>
      <w:r>
        <w:t>héicidhearthóireacht</w:t>
      </w:r>
      <w:proofErr w:type="spellEnd"/>
      <w:r>
        <w:t xml:space="preserve"> láidir, athúsáid, deisiú agus </w:t>
      </w:r>
      <w:proofErr w:type="spellStart"/>
      <w:r>
        <w:t>saolréanna</w:t>
      </w:r>
      <w:proofErr w:type="spellEnd"/>
      <w:r>
        <w:t xml:space="preserve"> táirgí níos faide, agus tacaíocht á tabhairt ag an am céanna do shlabhraí soláthair Eorpacha chun freastal ar an éileamh méadaitheach ar ábhair straitéiseacha agus chriticiúla.</w:t>
      </w:r>
    </w:p>
    <w:p w14:paraId="00000076" w14:textId="77777777" w:rsidR="005D5113" w:rsidRPr="0098598C" w:rsidRDefault="005D5113" w:rsidP="0074642E">
      <w:pPr>
        <w:rPr>
          <w:b/>
          <w:bCs/>
        </w:rPr>
      </w:pPr>
    </w:p>
    <w:p w14:paraId="00000077" w14:textId="77777777" w:rsidR="005D5113" w:rsidRPr="0098598C" w:rsidRDefault="002776C5" w:rsidP="00F61A6D">
      <w:pPr>
        <w:pStyle w:val="Heading1"/>
        <w:keepNext/>
        <w:keepLines/>
        <w:numPr>
          <w:ilvl w:val="0"/>
          <w:numId w:val="1"/>
        </w:numPr>
        <w:ind w:left="567" w:hanging="567"/>
      </w:pPr>
      <w:r>
        <w:rPr>
          <w:b/>
        </w:rPr>
        <w:t>Tionscadail tosaíochta a chur chun cinn agus dlús a chur leo</w:t>
      </w:r>
    </w:p>
    <w:p w14:paraId="00000078" w14:textId="77777777" w:rsidR="005D5113" w:rsidRPr="0098598C" w:rsidRDefault="005D5113" w:rsidP="00F61A6D">
      <w:pPr>
        <w:pStyle w:val="Heading2"/>
        <w:keepNext/>
        <w:keepLines/>
        <w:numPr>
          <w:ilvl w:val="0"/>
          <w:numId w:val="0"/>
        </w:numPr>
        <w:ind w:left="567"/>
      </w:pPr>
    </w:p>
    <w:p w14:paraId="00000079" w14:textId="74174FB3" w:rsidR="005D5113" w:rsidRPr="0098598C" w:rsidRDefault="002776C5" w:rsidP="0074642E">
      <w:pPr>
        <w:pStyle w:val="Heading2"/>
        <w:numPr>
          <w:ilvl w:val="1"/>
          <w:numId w:val="1"/>
        </w:numPr>
        <w:ind w:left="567" w:hanging="567"/>
      </w:pPr>
      <w:r>
        <w:t xml:space="preserve">Cuireann CESE chun suntais go bhfuil creataí rialála ann chun leasanna an phobail, sláine an chomhshaoil agus cearta na n-oibrithe a chosaint agus gur cheart, dá bhrí sin, iad a fheabhsú. Tá scrogaill ann atá ag cur bac ar chur chun feidhme an chreata reatha, go háirithe mar gheall ar shrianta ar acmhainneacht riaracháin, luaineacht praghsanna fuinnimh agus comhordú ilroinnte ar fud na mBallstát. Is coinníoll cinntitheach ar a mbraitheann inmharthanacht agus dlisteanacht tionscadail é an glacadh sóisialta agus tá gá le rannpháirtíocht fhóinteach an phobail agus idirphlé sóisialta láidir ó na céimeanna is luaithe amach, lena n-áirítear ceadú, maoiniú agus </w:t>
      </w:r>
      <w:proofErr w:type="spellStart"/>
      <w:r>
        <w:t>comhpháirtíochtaí</w:t>
      </w:r>
      <w:proofErr w:type="spellEnd"/>
      <w:r>
        <w:t xml:space="preserve">. Ba cheart don chistiú poiblí, mar aon le forbairt tionscadal corparáideach, </w:t>
      </w:r>
      <w:r>
        <w:lastRenderedPageBreak/>
        <w:t xml:space="preserve">tacú le </w:t>
      </w:r>
      <w:proofErr w:type="spellStart"/>
      <w:r>
        <w:t>hacmhainneacht</w:t>
      </w:r>
      <w:proofErr w:type="spellEnd"/>
      <w:r>
        <w:t xml:space="preserve"> na n-údarás áitiúil, le saineolas neamhspleách do phobail agus leis an bhfaireachán agus an forfheidhmiú.</w:t>
      </w:r>
    </w:p>
    <w:p w14:paraId="0000007A" w14:textId="77777777" w:rsidR="005D5113" w:rsidRPr="0098598C" w:rsidRDefault="005D5113" w:rsidP="0074642E"/>
    <w:p w14:paraId="48C7F0FD" w14:textId="215464FC" w:rsidR="008F5E24" w:rsidRDefault="000647C4" w:rsidP="0074642E">
      <w:pPr>
        <w:pStyle w:val="Heading2"/>
        <w:numPr>
          <w:ilvl w:val="1"/>
          <w:numId w:val="1"/>
        </w:numPr>
        <w:ind w:left="567" w:hanging="567"/>
      </w:pPr>
      <w:r>
        <w:t xml:space="preserve">Tá an tAontas fós thíos le praghsanna fuinnimh atá ard ó thaobh struchtúir de i gcomparáid le hiomaitheoirí móra. Ós rud é go bhfuil go leor gníomhaíochtaí AÁC dian ar fhuinneamh (agus 50 % de na costais oibriúcháin i gceist leo i gcásanna áirithe), is toisc </w:t>
      </w:r>
      <w:proofErr w:type="spellStart"/>
      <w:r>
        <w:t>mhórthábhachtach</w:t>
      </w:r>
      <w:proofErr w:type="spellEnd"/>
      <w:r>
        <w:t xml:space="preserve"> iad na costais fuinnimh chun inmharthanacht tionscadail a chinneadh. Cé gur céim sa treo ceart é an Comhaontú maidir le Tionsclaíocht Ghlan, ní raibh aon tionchar aige ar </w:t>
      </w:r>
      <w:proofErr w:type="spellStart"/>
      <w:r>
        <w:t>phraghsanna</w:t>
      </w:r>
      <w:proofErr w:type="spellEnd"/>
      <w:r>
        <w:t xml:space="preserve"> fuinnimh gearrthéarmacha.</w:t>
      </w:r>
    </w:p>
    <w:p w14:paraId="3E6BA6E0" w14:textId="77777777" w:rsidR="008F5E24" w:rsidRPr="008F5E24" w:rsidRDefault="008F5E24" w:rsidP="008F5E24"/>
    <w:p w14:paraId="0000007D" w14:textId="3A274AD9" w:rsidR="005D5113" w:rsidRPr="0098598C" w:rsidRDefault="00D16F2F" w:rsidP="00F34E97">
      <w:pPr>
        <w:pStyle w:val="Heading2"/>
        <w:numPr>
          <w:ilvl w:val="1"/>
          <w:numId w:val="1"/>
        </w:numPr>
        <w:ind w:left="567" w:hanging="567"/>
      </w:pPr>
      <w:r>
        <w:t xml:space="preserve">Le Creat Státchabhrach an Chomhaontaithe maidir le Tionsclaíocht Ghlan (CSCCTG), cuirtear tacaíocht praghsanna ar fáil do thomhaltóirí tionsclaíocha ach tá sé fós </w:t>
      </w:r>
      <w:proofErr w:type="spellStart"/>
      <w:r>
        <w:t>róshriantach</w:t>
      </w:r>
      <w:proofErr w:type="spellEnd"/>
      <w:r>
        <w:t xml:space="preserve"> chun tionchar fóinteach a imirt ar oibreoirí AÁC</w:t>
      </w:r>
      <w:r w:rsidR="002776C5" w:rsidRPr="0098598C">
        <w:rPr>
          <w:sz w:val="24"/>
          <w:szCs w:val="24"/>
          <w:vertAlign w:val="superscript"/>
        </w:rPr>
        <w:footnoteReference w:id="1"/>
      </w:r>
      <w:r>
        <w:t xml:space="preserve">. Tá an baol ann go n-eisiafar tionscail </w:t>
      </w:r>
      <w:proofErr w:type="spellStart"/>
      <w:r>
        <w:t>dianfhuinnimh</w:t>
      </w:r>
      <w:proofErr w:type="spellEnd"/>
      <w:r>
        <w:t xml:space="preserve"> ó rochtain a fháil ar thacaíocht mar gheall ar cheanglais </w:t>
      </w:r>
      <w:proofErr w:type="spellStart"/>
      <w:r>
        <w:t>bhreisíochta</w:t>
      </w:r>
      <w:proofErr w:type="spellEnd"/>
      <w:r>
        <w:t xml:space="preserve"> agus foinsithe </w:t>
      </w:r>
      <w:r w:rsidR="005B3DFF">
        <w:t>–</w:t>
      </w:r>
      <w:r>
        <w:t xml:space="preserve"> arb ionann iad de ghnáth agus na cinn a chuirtear i bhfeidhm maidir le hidrigin in</w:t>
      </w:r>
      <w:r w:rsidR="005B3DFF">
        <w:noBreakHyphen/>
      </w:r>
      <w:r>
        <w:t>athnuaite nó a éilíonn comhlíonadh roghanna nach bhfuil indéanta go heacnamaíoch agus go teicneolaíoch</w:t>
      </w:r>
      <w:r w:rsidR="005B3DFF">
        <w:t xml:space="preserve"> –</w:t>
      </w:r>
      <w:r>
        <w:t xml:space="preserve"> atá nasctha le tacaíocht </w:t>
      </w:r>
      <w:proofErr w:type="spellStart"/>
      <w:r>
        <w:t>leictriúcháin</w:t>
      </w:r>
      <w:proofErr w:type="spellEnd"/>
      <w:r>
        <w:t>. Tarlaíonn sé sin go háirithe i réigiúin ina bhfuil na córais leictreachais fós i mbun aistrithe, cé go bhfuil laghduithe suntasacha ar astaíochtaí á mbaint amach cheana féin leis an leictriú.</w:t>
      </w:r>
    </w:p>
    <w:p w14:paraId="0000007E" w14:textId="77777777" w:rsidR="005D5113" w:rsidRPr="0098598C" w:rsidRDefault="005D5113" w:rsidP="0074642E">
      <w:pPr>
        <w:ind w:left="567"/>
      </w:pPr>
    </w:p>
    <w:p w14:paraId="0000007F" w14:textId="41C3E51F" w:rsidR="005D5113" w:rsidRPr="0098598C" w:rsidRDefault="002776C5" w:rsidP="00F34E97">
      <w:pPr>
        <w:pStyle w:val="Heading2"/>
        <w:numPr>
          <w:ilvl w:val="1"/>
          <w:numId w:val="1"/>
        </w:numPr>
        <w:ind w:left="567" w:hanging="567"/>
      </w:pPr>
      <w:r>
        <w:t>Tá bacainní fós ann maidir le bearta spriocdhírithe a úsáid chun costais fuinnimh a laghdú, amhail comhaontuithe ceannaigh cumhachta (</w:t>
      </w:r>
      <w:proofErr w:type="spellStart"/>
      <w:r>
        <w:t>CCCanna</w:t>
      </w:r>
      <w:proofErr w:type="spellEnd"/>
      <w:r>
        <w:t xml:space="preserve">) fadtéarmacha. Constaic mhór is ea an easpa tacaíochta do mheaitseáil/múnlú próifíle agus costais dhaingnithe, mar a cuireadh i dtábhacht i dtuarascáil </w:t>
      </w:r>
      <w:proofErr w:type="spellStart"/>
      <w:r>
        <w:t>Draghi</w:t>
      </w:r>
      <w:proofErr w:type="spellEnd"/>
      <w:r>
        <w:t xml:space="preserve">, rud a chuir moill mhór ar mhargadh </w:t>
      </w:r>
      <w:proofErr w:type="spellStart"/>
      <w:r>
        <w:t>CCCanna</w:t>
      </w:r>
      <w:proofErr w:type="spellEnd"/>
      <w:r>
        <w:t>. Ba cheart scéimeanna eile, mar shampla ‘</w:t>
      </w:r>
      <w:proofErr w:type="spellStart"/>
      <w:r>
        <w:t>Energy</w:t>
      </w:r>
      <w:proofErr w:type="spellEnd"/>
      <w:r>
        <w:t xml:space="preserve"> </w:t>
      </w:r>
      <w:proofErr w:type="spellStart"/>
      <w:r>
        <w:t>Release</w:t>
      </w:r>
      <w:proofErr w:type="spellEnd"/>
      <w:r>
        <w:t xml:space="preserve"> 2.0’ na </w:t>
      </w:r>
      <w:proofErr w:type="spellStart"/>
      <w:r>
        <w:t>hIodáile</w:t>
      </w:r>
      <w:proofErr w:type="spellEnd"/>
      <w:r>
        <w:t xml:space="preserve"> [Scaoileadh Fuinnimh 2.0], a fhiosrú agus a oiriúnú i mBallstáit eile.</w:t>
      </w:r>
    </w:p>
    <w:p w14:paraId="00000080" w14:textId="77777777" w:rsidR="005D5113" w:rsidRPr="0098598C" w:rsidRDefault="005D5113" w:rsidP="0074642E">
      <w:pPr>
        <w:ind w:left="567"/>
      </w:pPr>
    </w:p>
    <w:p w14:paraId="00000081" w14:textId="501E68C7" w:rsidR="005D5113" w:rsidRPr="0098598C" w:rsidRDefault="002776C5" w:rsidP="00F34E97">
      <w:pPr>
        <w:pStyle w:val="Heading2"/>
        <w:numPr>
          <w:ilvl w:val="1"/>
          <w:numId w:val="1"/>
        </w:numPr>
        <w:ind w:left="567" w:hanging="567"/>
      </w:pPr>
      <w:r>
        <w:t xml:space="preserve">Molann CESE don Choimisiún úsáid </w:t>
      </w:r>
      <w:proofErr w:type="spellStart"/>
      <w:r>
        <w:t>CCCanna</w:t>
      </w:r>
      <w:proofErr w:type="spellEnd"/>
      <w:r>
        <w:t xml:space="preserve"> fadtéarmacha a éascú d’úsáideoirí </w:t>
      </w:r>
      <w:proofErr w:type="spellStart"/>
      <w:r>
        <w:t>dianfhuinnimh</w:t>
      </w:r>
      <w:proofErr w:type="spellEnd"/>
      <w:r>
        <w:t xml:space="preserve"> agus athbhreithniú a dhéanamh ar CSCCTG chun a áirithiú gur féidir leis an tionscal tacaíocht </w:t>
      </w:r>
      <w:proofErr w:type="spellStart"/>
      <w:r>
        <w:t>leictriúcháin</w:t>
      </w:r>
      <w:proofErr w:type="spellEnd"/>
      <w:r>
        <w:t xml:space="preserve"> a úsáid go héifeachtach, rud a chuirfidh le cuspóirí </w:t>
      </w:r>
      <w:proofErr w:type="spellStart"/>
      <w:r>
        <w:t>dícharbónaithe</w:t>
      </w:r>
      <w:proofErr w:type="spellEnd"/>
      <w:r>
        <w:t xml:space="preserve"> agus iomaíochais an Aontais, gan an iomaíocht a shaobhadh. Ba cheart coinníollacht dhian maidir le leas an phobail, lena n-áirítear tuairisciú, agus ceanglais </w:t>
      </w:r>
      <w:proofErr w:type="spellStart"/>
      <w:r>
        <w:t>shainráite</w:t>
      </w:r>
      <w:proofErr w:type="spellEnd"/>
      <w:r>
        <w:t xml:space="preserve"> maidir le sláinte agus sábháilteacht cheirde, oiliúint agus poist ardcháilíochta a áireamh sna scéimeanna sin.</w:t>
      </w:r>
    </w:p>
    <w:p w14:paraId="00000082" w14:textId="77777777" w:rsidR="005D5113" w:rsidRPr="0098598C" w:rsidRDefault="005D5113" w:rsidP="0074642E">
      <w:pPr>
        <w:ind w:left="567"/>
      </w:pPr>
    </w:p>
    <w:p w14:paraId="00000083" w14:textId="77777777" w:rsidR="005D5113" w:rsidRPr="0098598C" w:rsidRDefault="002776C5" w:rsidP="00F34E97">
      <w:pPr>
        <w:pStyle w:val="Heading2"/>
        <w:numPr>
          <w:ilvl w:val="1"/>
          <w:numId w:val="1"/>
        </w:numPr>
        <w:ind w:left="567" w:hanging="567"/>
      </w:pPr>
      <w:r>
        <w:t xml:space="preserve">Thairis sin, ní mór coinníollacha soiléire a bheith ag gabháil le haon tacaíocht ghearrthéarmach den sórt sin, lena n-áirítear cosaint oibrithe, rannpháirtíocht an phobail, trédhearcacht tairbhithe agus coimircí in aghaidh ioncam </w:t>
      </w:r>
      <w:proofErr w:type="spellStart"/>
      <w:r>
        <w:t>amhantair</w:t>
      </w:r>
      <w:proofErr w:type="spellEnd"/>
      <w:r>
        <w:t>, agus tosaíocht á tabhairt ag an am céanna do bhearta spriocdhírithe lena laghdaítear costais fuinnimh go struchtúrach trí eangacha, solúbthacht agus éifeachtúlacht.</w:t>
      </w:r>
    </w:p>
    <w:p w14:paraId="00000084" w14:textId="77777777" w:rsidR="005D5113" w:rsidRPr="0098598C" w:rsidRDefault="005D5113" w:rsidP="0074642E">
      <w:pPr>
        <w:ind w:left="567"/>
      </w:pPr>
    </w:p>
    <w:p w14:paraId="00000085" w14:textId="04D8421D" w:rsidR="005D5113" w:rsidRPr="0098598C" w:rsidRDefault="002776C5" w:rsidP="00F34E97">
      <w:pPr>
        <w:pStyle w:val="Heading2"/>
        <w:numPr>
          <w:ilvl w:val="1"/>
          <w:numId w:val="1"/>
        </w:numPr>
        <w:ind w:left="567" w:hanging="567"/>
      </w:pPr>
      <w:r>
        <w:lastRenderedPageBreak/>
        <w:t xml:space="preserve">Is tosc eile é Córas Trádála Astaíochtaí (CTA) an Aontais a mhéadaíonn an brú costais ar oibreoirí </w:t>
      </w:r>
      <w:proofErr w:type="spellStart"/>
      <w:r>
        <w:t>AÁCanna</w:t>
      </w:r>
      <w:proofErr w:type="spellEnd"/>
      <w:r>
        <w:t xml:space="preserve">. Cé gur </w:t>
      </w:r>
      <w:proofErr w:type="spellStart"/>
      <w:r>
        <w:t>rannchuidigh</w:t>
      </w:r>
      <w:proofErr w:type="spellEnd"/>
      <w:r>
        <w:t xml:space="preserve"> CTA leis an meascán leictreachais a </w:t>
      </w:r>
      <w:proofErr w:type="spellStart"/>
      <w:r>
        <w:t>dhícharbónú</w:t>
      </w:r>
      <w:proofErr w:type="spellEnd"/>
      <w:r>
        <w:t xml:space="preserve">, is costas mór é ar earnálacha a bhfuil roghanna teicneolaíochta teoranta acu chun astaíochtaí a laghdú. Dá bhrí sin, tá CESE ag tathant ar an gCoimisiún measúnú a dhéanamh ar thionchar CTA ar gheilleagar, ar chomhshaol agus ar iomaíochas na n-amhábhar criticiúil mar chuid den athbhreithniú ar CTA, i gcomhréir leis na Conclúidí ó Chomhairle an Aontais Eorpaigh i mí an Mhárta. Ag an am céanna, is mór an crann tiomána fós é CTA le haghaidh </w:t>
      </w:r>
      <w:proofErr w:type="spellStart"/>
      <w:r>
        <w:t>dhícharbónú</w:t>
      </w:r>
      <w:proofErr w:type="spellEnd"/>
      <w:r>
        <w:t xml:space="preserve"> an Aontais agus ní mór sláine an chórais sin a chaomhnú. Ba cheart aghaidh a thabhairt in aon athbhreithniú ar an gcaoi a n-idirghníomhaíonn costais a bhaineann le CTA le bearta éifeachtúlachta ábhair, straitéisí ionadaíochta agus úsáid ábhair chiorclaigh, agus ní mór díolúintí </w:t>
      </w:r>
      <w:proofErr w:type="spellStart"/>
      <w:r>
        <w:t>earnáilsonracha</w:t>
      </w:r>
      <w:proofErr w:type="spellEnd"/>
      <w:r>
        <w:t xml:space="preserve"> a sheachaint leis más díolúintí iad a lagaíonn comhartha an phraghais carbóin nó a aistríonn costais chuig earnálacha eile, agus ní mór a áirithiú ag an am céanna go dtugtar aghaidh mar is ceart ar rioscaí sceite carbóin agus ar an iomaíochas idirnáisiúnta. I gcás ina bhfuil bacainní struchtúracha </w:t>
      </w:r>
      <w:proofErr w:type="spellStart"/>
      <w:r>
        <w:t>dícharbónaithe</w:t>
      </w:r>
      <w:proofErr w:type="spellEnd"/>
      <w:r>
        <w:t xml:space="preserve"> le sárú agus </w:t>
      </w:r>
      <w:proofErr w:type="spellStart"/>
      <w:r>
        <w:t>AÁCanna</w:t>
      </w:r>
      <w:proofErr w:type="spellEnd"/>
      <w:r>
        <w:t xml:space="preserve"> á dtáirgeadh, ba cheart tús áite a thabhairt i bhfreagairtí beartais do thacaíocht </w:t>
      </w:r>
      <w:proofErr w:type="spellStart"/>
      <w:r>
        <w:t>nuálaíochta</w:t>
      </w:r>
      <w:proofErr w:type="spellEnd"/>
      <w:r>
        <w:t xml:space="preserve">, leictriú, éifeachtúlacht ábhair agus ciorclaíocht, sin agus sásraí </w:t>
      </w:r>
      <w:proofErr w:type="spellStart"/>
      <w:r>
        <w:t>maoiniúcháin</w:t>
      </w:r>
      <w:proofErr w:type="spellEnd"/>
      <w:r>
        <w:t xml:space="preserve"> spriocdhírithe a chruthú.</w:t>
      </w:r>
    </w:p>
    <w:p w14:paraId="00000086" w14:textId="77777777" w:rsidR="005D5113" w:rsidRPr="0098598C" w:rsidRDefault="005D5113" w:rsidP="0074642E">
      <w:pPr>
        <w:ind w:left="567"/>
      </w:pPr>
    </w:p>
    <w:p w14:paraId="00000087" w14:textId="21D47F04" w:rsidR="005D5113" w:rsidRPr="0098598C" w:rsidRDefault="002776C5" w:rsidP="00F34E97">
      <w:pPr>
        <w:pStyle w:val="Heading2"/>
        <w:numPr>
          <w:ilvl w:val="1"/>
          <w:numId w:val="1"/>
        </w:numPr>
        <w:ind w:left="567" w:hanging="567"/>
      </w:pPr>
      <w:r>
        <w:t>Ar deireadh, bíonn tionchar ag Tacsanomaíocht an Aontais</w:t>
      </w:r>
      <w:r w:rsidRPr="0098598C">
        <w:rPr>
          <w:vertAlign w:val="superscript"/>
        </w:rPr>
        <w:footnoteReference w:id="2"/>
      </w:r>
      <w:r>
        <w:t xml:space="preserve"> agus ag an bprionsabal ‘gan dochar suntasach a dhéanamh’ ar chomhaontuithe ceannaigh amhábhar criticiúil. Bunaíodh na comhaontuithe sin chun a áirithiú nach dtacódh maoiniú poiblí agus príobháideach le gníomhaíochtaí a bhaineann an bonn de shláine comhshaoil an Aontais nó de mhuinín infheisteoirí as córais aicmithe ghlais. Mar sin féin, ní féidir na critéir agus na tairseacha atá ann faoi láthair faoin Tacsanomaíocht a bhaint amach go hiomlán fós leis na teicneolaíochtaí atá ann cheana le haghaidh roinnt gníomhaíochtaí CRM, agus mar thoradh air sin tá an baol ann go n</w:t>
      </w:r>
      <w:r w:rsidR="005B3DFF">
        <w:noBreakHyphen/>
      </w:r>
      <w:r>
        <w:t xml:space="preserve">eisiafar tionscadail straitéiseacha áirithe de chuid an Aontais ó rochtain a fháil ar mhaoiniú fiú nuair a chomhlíonann siad caighdeáin chomhshaoil, saothair agus </w:t>
      </w:r>
      <w:proofErr w:type="spellStart"/>
      <w:r>
        <w:t>trédhearcachta</w:t>
      </w:r>
      <w:proofErr w:type="spellEnd"/>
      <w:r>
        <w:t xml:space="preserve"> níos airde ná mar a chomhlíonann tríú tíortha. Ba cheart na tairseacha sin a athbhreithniú agus a choigeartú go rialta i gcomhréir leis an dul chun cinn teicneolaíoch. Ní mór éifeacht iarmharta an phrionsabail ‘gan dochar suntasach a dhéanamh’a </w:t>
      </w:r>
      <w:proofErr w:type="spellStart"/>
      <w:r>
        <w:t>athchalabrú</w:t>
      </w:r>
      <w:proofErr w:type="spellEnd"/>
      <w:r>
        <w:t xml:space="preserve"> i gcláir agus i gcreataí cistiúcháin an Aontais ionas nach gcuirfear bac neamhbheartaithe ar thionscadail rochtain a fháil ar chistiú</w:t>
      </w:r>
    </w:p>
    <w:p w14:paraId="00000088" w14:textId="77777777" w:rsidR="005D5113" w:rsidRPr="0098598C" w:rsidRDefault="005D5113" w:rsidP="00F61A6D">
      <w:pPr>
        <w:pStyle w:val="Heading2"/>
        <w:numPr>
          <w:ilvl w:val="0"/>
          <w:numId w:val="0"/>
        </w:numPr>
        <w:ind w:left="567"/>
      </w:pPr>
    </w:p>
    <w:p w14:paraId="00000089" w14:textId="7A12C685" w:rsidR="005D5113" w:rsidRPr="0098598C" w:rsidRDefault="002776C5" w:rsidP="00F34E97">
      <w:pPr>
        <w:pStyle w:val="Heading2"/>
        <w:numPr>
          <w:ilvl w:val="1"/>
          <w:numId w:val="1"/>
        </w:numPr>
        <w:ind w:left="567" w:hanging="567"/>
      </w:pPr>
      <w:r>
        <w:t xml:space="preserve">Ba cheart idirdhealú a dhéanamh sna creataí measúnaithe idir tionchar dosheachanta atá mar chuid den eastóscadh príomhúil féin agus díobháil inseachanta a eascraíonn as cleachtais </w:t>
      </w:r>
      <w:proofErr w:type="spellStart"/>
      <w:r>
        <w:t>fho</w:t>
      </w:r>
      <w:proofErr w:type="spellEnd"/>
      <w:r w:rsidR="005B3DFF">
        <w:noBreakHyphen/>
      </w:r>
      <w:r>
        <w:t xml:space="preserve">optamacha i gcás ina meastar tionscadail AÁC a bheith straitéiseach don Aontas. Tá sé ríthábhachtach go leanfaidh córais cosanta comhshaoil​atá nasctha leis na nithe seo a leanas – acmhainní uisce, bithéagsúlacht, cosc ar thruailliú, sláinte an duine agus tionchar an phobail – de bheith ag feidhmiú go hiomlán. Tionscadail ag a bhfuil leibhéil astaíochtaí saolré is ísle go hábhartha ná leibhéil astaíochtaí saolré na n-iomaitheoirí domhanda, níor cheart iad a aicmiú mar thionscadail ‘a dhéanann dochar suntasach’ agus ba cheart é sin a léiriú sna </w:t>
      </w:r>
      <w:proofErr w:type="spellStart"/>
      <w:r>
        <w:t>modheolaíochtaí</w:t>
      </w:r>
      <w:proofErr w:type="spellEnd"/>
      <w:r>
        <w:t xml:space="preserve"> measúnaithe. Tá gá le creat meastóireachta níos </w:t>
      </w:r>
      <w:proofErr w:type="spellStart"/>
      <w:r>
        <w:t>iomlánaíche</w:t>
      </w:r>
      <w:proofErr w:type="spellEnd"/>
      <w:r>
        <w:t xml:space="preserve">, lena </w:t>
      </w:r>
      <w:proofErr w:type="spellStart"/>
      <w:r>
        <w:t>gcomhtháthófar</w:t>
      </w:r>
      <w:proofErr w:type="spellEnd"/>
      <w:r>
        <w:t xml:space="preserve"> feidhmíocht aeráide le breithnithe a bhaineann leis an mbithéagsúlacht, leis an uisce agus leis an truailliú.</w:t>
      </w:r>
    </w:p>
    <w:p w14:paraId="0000008A" w14:textId="77777777" w:rsidR="005D5113" w:rsidRPr="0098598C" w:rsidRDefault="005D5113" w:rsidP="0074642E">
      <w:pPr>
        <w:ind w:left="567"/>
      </w:pPr>
    </w:p>
    <w:p w14:paraId="0000008C" w14:textId="221437AB" w:rsidR="005D5113" w:rsidRDefault="002776C5" w:rsidP="0074642E">
      <w:pPr>
        <w:pStyle w:val="Heading2"/>
        <w:numPr>
          <w:ilvl w:val="1"/>
          <w:numId w:val="1"/>
        </w:numPr>
        <w:ind w:left="567" w:hanging="567"/>
      </w:pPr>
      <w:r>
        <w:lastRenderedPageBreak/>
        <w:t xml:space="preserve">Tugann CESE dá aire go bhfuil riosca ar leith ag baint le tograí atá dírithe ar íosrátaí praghsanna nó </w:t>
      </w:r>
      <w:proofErr w:type="spellStart"/>
      <w:r>
        <w:t>íosphraghsanna</w:t>
      </w:r>
      <w:proofErr w:type="spellEnd"/>
      <w:r>
        <w:t xml:space="preserve"> ráthaithe le haghaidh amhábhair chriticiúla áirithe. Cé go bhfuil sé beartaithe cinnteacht infheistíochta a sholáthar dá mbarr, d’fhéadfadh sásraí den sórt sin airgeadas poiblí a fhágáil gan chosaint ar riosca fioscach suntasach má thiteann praghsanna tráchtearraí go mór, rud a d’fhágfadh go mbeadh an luaineacht sa mhargadh ina ualach ar na cáiníocóirí. San am céanna, d’fhéadfadh luaineacht ard praghsanna agus timthriallta fada infheistíochta, ar saintréith de thionscadail AÁC iad, a bheith ina </w:t>
      </w:r>
      <w:proofErr w:type="spellStart"/>
      <w:r>
        <w:t>mbacainní</w:t>
      </w:r>
      <w:proofErr w:type="spellEnd"/>
      <w:r>
        <w:t xml:space="preserve"> móra ar infheistíocht san Aontas agus ba cheart dul i ngleic leo.</w:t>
      </w:r>
    </w:p>
    <w:p w14:paraId="4A9109E3" w14:textId="77777777" w:rsidR="00735155" w:rsidRPr="00735155" w:rsidRDefault="00735155" w:rsidP="00735155"/>
    <w:p w14:paraId="0000008D" w14:textId="0717E820" w:rsidR="005D5113" w:rsidRPr="0098598C" w:rsidRDefault="002776C5" w:rsidP="00F34E97">
      <w:pPr>
        <w:pStyle w:val="Heading2"/>
        <w:numPr>
          <w:ilvl w:val="1"/>
          <w:numId w:val="1"/>
        </w:numPr>
        <w:ind w:left="567" w:hanging="567"/>
      </w:pPr>
      <w:r>
        <w:t xml:space="preserve">Is díol sásaimh do CESE go bhfuil sé ar intinn ag an gCoimisiún EUR 3 bhilliún a shlógadh chun tacú le hamhábhair chriticiúla. Mar sin féin, tá na riachtanais </w:t>
      </w:r>
      <w:proofErr w:type="spellStart"/>
      <w:r>
        <w:t>mhaoiniúcháin</w:t>
      </w:r>
      <w:proofErr w:type="spellEnd"/>
      <w:r>
        <w:t xml:space="preserve"> i bhfad níos mó agus ba cheart iad a léiriú sa chéad CAI eile. Cé gur rud dearfach é EUR 1 bhilliún a bheith á gcur in áirithe faoi ghlao 2025 an Chiste don Nuálaíocht le haghaidh tionscadail </w:t>
      </w:r>
      <w:proofErr w:type="spellStart"/>
      <w:r>
        <w:t>monaraíochta</w:t>
      </w:r>
      <w:proofErr w:type="spellEnd"/>
      <w:r>
        <w:t xml:space="preserve"> teicneolaíochta glaine lena ndírítear ar shlabhraí luacha </w:t>
      </w:r>
      <w:proofErr w:type="spellStart"/>
      <w:r>
        <w:t>AÁCanna</w:t>
      </w:r>
      <w:proofErr w:type="spellEnd"/>
      <w:r>
        <w:t xml:space="preserve">, tá an baol ann go gcuirfidh na critéir mheastóireachta atá ann faoi láthair faoin gCiste don Nuálaíocht teorainn le </w:t>
      </w:r>
      <w:proofErr w:type="spellStart"/>
      <w:r>
        <w:t>héifeachtacht</w:t>
      </w:r>
      <w:proofErr w:type="spellEnd"/>
      <w:r>
        <w:t xml:space="preserve"> an mhaoinithe sin i gcás tionscadail amhábhar straitéiseach. Go háirithe, leis an mbéim láidir atá á leagan ar mhéid inchainníochtaithe laghduithe astaíochtaí, fágtar faoi mhíbhuntáiste tionscadail arb é is </w:t>
      </w:r>
      <w:proofErr w:type="spellStart"/>
      <w:r>
        <w:t>príomhthoradh</w:t>
      </w:r>
      <w:proofErr w:type="spellEnd"/>
      <w:r>
        <w:t xml:space="preserve"> orthu slándáil an tsoláthair, an </w:t>
      </w:r>
      <w:proofErr w:type="spellStart"/>
      <w:r>
        <w:t>neamhthuilleamaíocht</w:t>
      </w:r>
      <w:proofErr w:type="spellEnd"/>
      <w:r>
        <w:t>, an athléimneacht agus an acmhainneacht thionsclaíoch a chinntiú.</w:t>
      </w:r>
    </w:p>
    <w:p w14:paraId="0000008E" w14:textId="77777777" w:rsidR="005D5113" w:rsidRPr="0098598C" w:rsidRDefault="005D5113" w:rsidP="0074642E">
      <w:pPr>
        <w:ind w:left="567"/>
      </w:pPr>
    </w:p>
    <w:p w14:paraId="0000008F" w14:textId="58E5C708" w:rsidR="005D5113" w:rsidRPr="0098598C" w:rsidRDefault="002776C5" w:rsidP="00F34E97">
      <w:pPr>
        <w:pStyle w:val="Heading2"/>
        <w:numPr>
          <w:ilvl w:val="1"/>
          <w:numId w:val="1"/>
        </w:numPr>
        <w:ind w:left="567" w:hanging="567"/>
      </w:pPr>
      <w:r>
        <w:t xml:space="preserve">Is díol sásaimh do CESE an plean atá ag an gCoimisiún dlús a chur leis an </w:t>
      </w:r>
      <w:proofErr w:type="spellStart"/>
      <w:r>
        <w:t>gceadú</w:t>
      </w:r>
      <w:proofErr w:type="spellEnd"/>
      <w:r>
        <w:t xml:space="preserve"> comhshaoil. Mar sin féin, ní mór infheistíocht leordhóthanach a dhéanamh in údaráis phoiblí bonn ar bhonn le nósanna imeachta níos tapa a thabhairt isteach, sin agus measúnuithe tionchair ardcháilíochta a chur chun cinn chomh maith le </w:t>
      </w:r>
      <w:proofErr w:type="spellStart"/>
      <w:r>
        <w:t>hacmhainneacht</w:t>
      </w:r>
      <w:proofErr w:type="spellEnd"/>
      <w:r>
        <w:t xml:space="preserve"> faireacháin agus </w:t>
      </w:r>
      <w:proofErr w:type="spellStart"/>
      <w:r>
        <w:t>forfheidhmithe</w:t>
      </w:r>
      <w:proofErr w:type="spellEnd"/>
      <w:r>
        <w:t>. Agus dlús á chur leis an bpróiseas, níor cheart go lagófaí cáilíocht na measúnuithe tionchair, rannpháirtíocht an phobail, na rochtana ar cheartas, na n-oibleagáidí maidir le cosaint an dúlra nó na gceanglas maidir le cosaint uisce, agus ní mór aon simpliú a dhéanfar a bheith dírithe ar ghnéithe riaracháin amháin, seachas ar eilimintí substainteacha.</w:t>
      </w:r>
    </w:p>
    <w:p w14:paraId="00000090" w14:textId="77777777" w:rsidR="005D5113" w:rsidRPr="0098598C" w:rsidRDefault="005D5113" w:rsidP="0074642E">
      <w:pPr>
        <w:ind w:left="567"/>
      </w:pPr>
    </w:p>
    <w:p w14:paraId="00000091" w14:textId="6EC78766" w:rsidR="005D5113" w:rsidRPr="0098598C" w:rsidRDefault="001B0A92" w:rsidP="00F34E97">
      <w:pPr>
        <w:pStyle w:val="Heading2"/>
        <w:numPr>
          <w:ilvl w:val="1"/>
          <w:numId w:val="1"/>
        </w:numPr>
        <w:ind w:left="567" w:hanging="567"/>
      </w:pPr>
      <w:r>
        <w:t xml:space="preserve">Cé go n-aithníonn CESE an t-athbhreithniú a dhéanfar go luath ar an Treoir </w:t>
      </w:r>
      <w:proofErr w:type="spellStart"/>
      <w:r>
        <w:t>Réime</w:t>
      </w:r>
      <w:proofErr w:type="spellEnd"/>
      <w:r>
        <w:t xml:space="preserve"> maidir le </w:t>
      </w:r>
      <w:proofErr w:type="spellStart"/>
      <w:r>
        <w:t>hUisce</w:t>
      </w:r>
      <w:proofErr w:type="spellEnd"/>
      <w:r>
        <w:t xml:space="preserve">, cuireann sé i bhfios go láidir nár cheart aon ísliú ar chaighdeáin chomhshaoil a bheith mar thoradh ar an bpróiseas sin, Ag an am céanna, ba cheart aghaidh a thabhairt leis ar na dúshláin a ghabhann le cur chun feidhme, lena n-áirítear nósanna imeachta ceadaithe, agus tacú le </w:t>
      </w:r>
      <w:proofErr w:type="spellStart"/>
      <w:r>
        <w:t>huathriail</w:t>
      </w:r>
      <w:proofErr w:type="spellEnd"/>
      <w:r>
        <w:t xml:space="preserve"> straitéiseach an Aontais trí rochtain shlán ar amhábhair chriticiúla. </w:t>
      </w:r>
    </w:p>
    <w:p w14:paraId="00000092" w14:textId="77777777" w:rsidR="005D5113" w:rsidRPr="0098598C" w:rsidRDefault="005D5113" w:rsidP="0074642E">
      <w:pPr>
        <w:ind w:left="567"/>
        <w:rPr>
          <w:b/>
          <w:bCs/>
        </w:rPr>
      </w:pPr>
    </w:p>
    <w:p w14:paraId="00000093" w14:textId="77777777" w:rsidR="005D5113" w:rsidRPr="0098598C" w:rsidRDefault="002776C5" w:rsidP="0074642E">
      <w:pPr>
        <w:pStyle w:val="Heading1"/>
        <w:keepNext/>
        <w:keepLines/>
        <w:numPr>
          <w:ilvl w:val="0"/>
          <w:numId w:val="1"/>
        </w:numPr>
        <w:ind w:left="567" w:hanging="567"/>
      </w:pPr>
      <w:r>
        <w:rPr>
          <w:b/>
        </w:rPr>
        <w:t>Ciorclaíocht agus nuálaíocht</w:t>
      </w:r>
    </w:p>
    <w:p w14:paraId="00000094" w14:textId="77777777" w:rsidR="005D5113" w:rsidRPr="0098598C" w:rsidRDefault="005D5113" w:rsidP="00F34E97">
      <w:pPr>
        <w:keepNext/>
        <w:keepLines/>
        <w:ind w:left="567"/>
      </w:pPr>
    </w:p>
    <w:p w14:paraId="00000095" w14:textId="7C3B8C49" w:rsidR="005D5113" w:rsidRPr="0098598C" w:rsidRDefault="002776C5" w:rsidP="00F34E97">
      <w:pPr>
        <w:pStyle w:val="Heading2"/>
        <w:numPr>
          <w:ilvl w:val="1"/>
          <w:numId w:val="1"/>
        </w:numPr>
        <w:ind w:left="567" w:hanging="567"/>
      </w:pPr>
      <w:r>
        <w:t xml:space="preserve">Ceann de cholúin </w:t>
      </w:r>
      <w:proofErr w:type="spellStart"/>
      <w:r>
        <w:t>mhórthábhachtacha</w:t>
      </w:r>
      <w:proofErr w:type="spellEnd"/>
      <w:r>
        <w:t xml:space="preserve"> straitéis amhábhar agus thionsclaíoch an Aontais is ea an leas is fearr is féidir a bhaint as aisghabháil agus athúsáid na n-ábhar a cuireadh ar mhargadh an Aontais cheana féin, mar aon le foinsiú príomhúil agus éagsúlú an tsoláthair. Tacaíonn CESE leis an mbéim ar amhábhair chriticiúla a athchúrsáil agus ar úsáid níos fearr a bhaint as sruthanna dramhaíola atá ann cheana. Tá sé ríthábhachtach an </w:t>
      </w:r>
      <w:proofErr w:type="spellStart"/>
      <w:r>
        <w:t>chiorclaíocht</w:t>
      </w:r>
      <w:proofErr w:type="spellEnd"/>
      <w:r>
        <w:t xml:space="preserve"> a neartú chun spleáchais a laghdú, leibhéil na n-astaíochtaí a laghdú agus athléimneacht na hEorpa a threisiú. Tá níos mó i gceist leis an gciorclaíocht ná an athchúrsáil féin óir ní mór </w:t>
      </w:r>
      <w:proofErr w:type="spellStart"/>
      <w:r>
        <w:t>saolréanna</w:t>
      </w:r>
      <w:proofErr w:type="spellEnd"/>
      <w:r>
        <w:t xml:space="preserve"> táirgí a shíneadh agus </w:t>
      </w:r>
      <w:proofErr w:type="spellStart"/>
      <w:r>
        <w:t>indeisitheacht</w:t>
      </w:r>
      <w:proofErr w:type="spellEnd"/>
      <w:r>
        <w:t xml:space="preserve">, </w:t>
      </w:r>
      <w:proofErr w:type="spellStart"/>
      <w:r>
        <w:t>modúlacht</w:t>
      </w:r>
      <w:proofErr w:type="spellEnd"/>
      <w:r>
        <w:t xml:space="preserve"> agus in-</w:t>
      </w:r>
      <w:proofErr w:type="spellStart"/>
      <w:r>
        <w:t>athúsáidteacht</w:t>
      </w:r>
      <w:proofErr w:type="spellEnd"/>
      <w:r>
        <w:t xml:space="preserve"> a fheabhsú mar chuid di freisin; ina cheann sin, ní mór di aistriú ó chur chuige bainistithe dramhaíola go maoirseacht acmhainní.</w:t>
      </w:r>
    </w:p>
    <w:p w14:paraId="00000096" w14:textId="77777777" w:rsidR="005D5113" w:rsidRPr="0098598C" w:rsidRDefault="005D5113" w:rsidP="0074642E">
      <w:pPr>
        <w:ind w:left="567"/>
      </w:pPr>
    </w:p>
    <w:p w14:paraId="00000097" w14:textId="0BF46887" w:rsidR="005D5113" w:rsidRPr="0098598C" w:rsidRDefault="002776C5" w:rsidP="00F34E97">
      <w:pPr>
        <w:pStyle w:val="Heading2"/>
        <w:numPr>
          <w:ilvl w:val="1"/>
          <w:numId w:val="1"/>
        </w:numPr>
        <w:ind w:left="567" w:hanging="567"/>
      </w:pPr>
      <w:r>
        <w:t xml:space="preserve">Dá bhrí sin, is díol sásaimh é an fógra ón gCoimisiún maidir le bearta spriocdhírithe maidir le fuíoll alúmanaim agus ní mór é a sheachadadh gan mhoill chun a áirithiú go </w:t>
      </w:r>
      <w:proofErr w:type="spellStart"/>
      <w:r>
        <w:t>rannchuideoidh</w:t>
      </w:r>
      <w:proofErr w:type="spellEnd"/>
      <w:r>
        <w:t xml:space="preserve"> fuíoll CRM a ghintear san Aontas go príomha le </w:t>
      </w:r>
      <w:proofErr w:type="spellStart"/>
      <w:r>
        <w:t>hacmhainneacht</w:t>
      </w:r>
      <w:proofErr w:type="spellEnd"/>
      <w:r>
        <w:t xml:space="preserve"> athchúrsála agus </w:t>
      </w:r>
      <w:proofErr w:type="spellStart"/>
      <w:r>
        <w:t>mhonaraíochta</w:t>
      </w:r>
      <w:proofErr w:type="spellEnd"/>
      <w:r>
        <w:t xml:space="preserve"> na hEorpa. D’fhéadfaí a áireamh leis sin bearta iomchuí </w:t>
      </w:r>
      <w:proofErr w:type="spellStart"/>
      <w:r>
        <w:t>onnmhairiúcháin</w:t>
      </w:r>
      <w:proofErr w:type="spellEnd"/>
      <w:r>
        <w:t xml:space="preserve">, mar shampla dleacht aonfhoirmeach </w:t>
      </w:r>
      <w:proofErr w:type="spellStart"/>
      <w:r>
        <w:t>onnmhairiúcháin</w:t>
      </w:r>
      <w:proofErr w:type="spellEnd"/>
      <w:r>
        <w:t xml:space="preserve">, chun aghaidh a thabhairt ar </w:t>
      </w:r>
      <w:proofErr w:type="spellStart"/>
      <w:r>
        <w:t>mhíchothromaíochtaí</w:t>
      </w:r>
      <w:proofErr w:type="spellEnd"/>
      <w:r>
        <w:t xml:space="preserve"> sa mhargadh agus chun sceitheadh carbóin agus luacha a chosc, agus iad fós comhoiriúnach d’oibleagáidí idirnáisiúnta an Aontais. Ba cheart na bearta sin a bheith comhréireach, trédhearcach agus faoi cheangal ama, agus coimircí ag gabháil leo chun seachtrú an damáiste don chomhshaol a chosc (lena n-áirítear damáiste a eascraíonn as cleachtais athchúrsála neamhshábháilte, truailliú agus dúshaothrú saothair) agus rioscaí do chearta an duine a chosc, sin agus chun coinneáil </w:t>
      </w:r>
      <w:proofErr w:type="spellStart"/>
      <w:r>
        <w:t>fhreagrach</w:t>
      </w:r>
      <w:proofErr w:type="spellEnd"/>
      <w:r>
        <w:t xml:space="preserve"> luacha a áirithiú laistigh den Aontas. </w:t>
      </w:r>
    </w:p>
    <w:p w14:paraId="00000098" w14:textId="77777777" w:rsidR="005D5113" w:rsidRPr="0098598C" w:rsidRDefault="005D5113" w:rsidP="0074642E">
      <w:pPr>
        <w:ind w:left="567"/>
      </w:pPr>
    </w:p>
    <w:p w14:paraId="00000099" w14:textId="77777777" w:rsidR="005D5113" w:rsidRPr="0098598C" w:rsidRDefault="002776C5" w:rsidP="00F34E97">
      <w:pPr>
        <w:pStyle w:val="Heading2"/>
        <w:numPr>
          <w:ilvl w:val="1"/>
          <w:numId w:val="1"/>
        </w:numPr>
        <w:ind w:left="567" w:hanging="567"/>
      </w:pPr>
      <w:r>
        <w:t xml:space="preserve">Tacaíonn CESE le tionscnaimh atá dírithe ar fheabhas a chur ar chúrsaíocht dramhaíola AÁC laistigh den Aontas. Is céimeanna dearfacha iad simpliú agus </w:t>
      </w:r>
      <w:proofErr w:type="spellStart"/>
      <w:r>
        <w:t>digitiú</w:t>
      </w:r>
      <w:proofErr w:type="spellEnd"/>
      <w:r>
        <w:t xml:space="preserve"> na nósanna imeachta faoin an Rialachán maidir le </w:t>
      </w:r>
      <w:proofErr w:type="spellStart"/>
      <w:r>
        <w:t>Loingsithe</w:t>
      </w:r>
      <w:proofErr w:type="spellEnd"/>
      <w:r>
        <w:t xml:space="preserve"> Dramhaíola, lena n-áirítear </w:t>
      </w:r>
      <w:proofErr w:type="spellStart"/>
      <w:r>
        <w:t>doiciméadacht</w:t>
      </w:r>
      <w:proofErr w:type="spellEnd"/>
      <w:r>
        <w:t xml:space="preserve"> dhigiteach agus próisis riaracháin </w:t>
      </w:r>
      <w:proofErr w:type="spellStart"/>
      <w:r>
        <w:t>chuíchóirithe</w:t>
      </w:r>
      <w:proofErr w:type="spellEnd"/>
      <w:r>
        <w:t xml:space="preserve">. Cuideoidh forbairt córais </w:t>
      </w:r>
      <w:proofErr w:type="spellStart"/>
      <w:r>
        <w:t>dhigitigh</w:t>
      </w:r>
      <w:proofErr w:type="spellEnd"/>
      <w:r>
        <w:t xml:space="preserve"> aonair le haghaidh </w:t>
      </w:r>
      <w:proofErr w:type="spellStart"/>
      <w:r>
        <w:t>loingsithe</w:t>
      </w:r>
      <w:proofErr w:type="spellEnd"/>
      <w:r>
        <w:t xml:space="preserve"> dramhaíola, a mbeidh aighneachtaí leictreonacha agus </w:t>
      </w:r>
      <w:proofErr w:type="spellStart"/>
      <w:r>
        <w:t>formheasanna</w:t>
      </w:r>
      <w:proofErr w:type="spellEnd"/>
      <w:r>
        <w:t xml:space="preserve"> uathoibríocha laistigh de sprioc-amanna socraithe mar chuid de, le hualaí riaracháin a laghdú. Leis an </w:t>
      </w:r>
      <w:proofErr w:type="spellStart"/>
      <w:r>
        <w:t>bPas</w:t>
      </w:r>
      <w:proofErr w:type="spellEnd"/>
      <w:r>
        <w:t xml:space="preserve"> Táirge Digiteach, cuirfear tuilleadh feabhais ar an gcóras </w:t>
      </w:r>
      <w:proofErr w:type="spellStart"/>
      <w:r>
        <w:t>inrianaitheachta</w:t>
      </w:r>
      <w:proofErr w:type="spellEnd"/>
      <w:r>
        <w:t xml:space="preserve"> agus éascófar an athchúrsáil ar cháilíocht níos airde, rud a fhágfaidh go mbeifear in ann faireachán níos fearr a dhéanamh ar fheidhmíocht chomhshaoil, ar dhálaí saothair agus ar chomhlíonadh na n-oibleagáidí díchill chuí. Tá an tsoiléireacht rialála ríthábhachtach i gcónaí. Tá gá le sainmhínithe soiléire agus </w:t>
      </w:r>
      <w:proofErr w:type="spellStart"/>
      <w:r>
        <w:t>comhsheasmhacha</w:t>
      </w:r>
      <w:proofErr w:type="spellEnd"/>
      <w:r>
        <w:t xml:space="preserve"> maidir le cathain a mheastar gur dramhaíl é ábhar, táirge nó substaint – go háirithe ag an gcomhéadan idir an Rialachán maidir le </w:t>
      </w:r>
      <w:proofErr w:type="spellStart"/>
      <w:r>
        <w:t>Loingsithe</w:t>
      </w:r>
      <w:proofErr w:type="spellEnd"/>
      <w:r>
        <w:t xml:space="preserve"> Dramhaíola agus an reachtaíocht maidir le ceimiceáin – chun moilleanna ar athchúrsáil agus ar aisghabháil a sheachaint.</w:t>
      </w:r>
    </w:p>
    <w:p w14:paraId="0000009A" w14:textId="77777777" w:rsidR="005D5113" w:rsidRPr="0098598C" w:rsidRDefault="005D5113" w:rsidP="0074642E">
      <w:pPr>
        <w:ind w:left="567"/>
      </w:pPr>
    </w:p>
    <w:p w14:paraId="0000009B" w14:textId="77777777" w:rsidR="005D5113" w:rsidRPr="0098598C" w:rsidRDefault="002776C5" w:rsidP="00F34E97">
      <w:pPr>
        <w:pStyle w:val="Heading2"/>
        <w:numPr>
          <w:ilvl w:val="1"/>
          <w:numId w:val="1"/>
        </w:numPr>
        <w:ind w:left="567" w:hanging="567"/>
      </w:pPr>
      <w:r>
        <w:t xml:space="preserve">Ní mór bearta rialála a chomhlánú freisin le maoiniú tráthúil agus le tacaíocht </w:t>
      </w:r>
      <w:proofErr w:type="spellStart"/>
      <w:r>
        <w:t>nuálaíochta</w:t>
      </w:r>
      <w:proofErr w:type="spellEnd"/>
      <w:r>
        <w:t xml:space="preserve">. Cuireann CESE i bhfios go láidir a thábhachtaí atá sé </w:t>
      </w:r>
      <w:r>
        <w:rPr>
          <w:b/>
        </w:rPr>
        <w:t xml:space="preserve">cistiú a fógraíodh faoi Phlean Gníomhaíochta </w:t>
      </w:r>
      <w:proofErr w:type="spellStart"/>
      <w:r>
        <w:rPr>
          <w:b/>
        </w:rPr>
        <w:t>RESourceEU</w:t>
      </w:r>
      <w:proofErr w:type="spellEnd"/>
      <w:r>
        <w:rPr>
          <w:b/>
        </w:rPr>
        <w:t xml:space="preserve"> a chur ar fáil go tapa</w:t>
      </w:r>
      <w:r>
        <w:t xml:space="preserve">, lena n-áirítear le haghaidh feidhmeanna AÁC i réimse na cosanta. Mar sin féin, chun cinntí tosaíochta a dhéanamh, tá gá le cuntasacht dhaonlathach, trédhearcacht agus critéir </w:t>
      </w:r>
      <w:proofErr w:type="spellStart"/>
      <w:r>
        <w:t>shoiléire</w:t>
      </w:r>
      <w:proofErr w:type="spellEnd"/>
      <w:r>
        <w:t xml:space="preserve"> agus níor cheart dóibh an bonn a bhaint de riachtanais an aistrithe aeráide agus fuinnimh ná de leas an phobail. Ba cheart rannpháirtíocht na hóige a áirithiú trí róil chomhairleacha agus trí chomhairliúchán struchtúrtha i gcomhlachtaí agus i gcláir rialachais </w:t>
      </w:r>
      <w:proofErr w:type="spellStart"/>
      <w:r>
        <w:t>AÁCanna</w:t>
      </w:r>
      <w:proofErr w:type="spellEnd"/>
      <w:r>
        <w:t>.</w:t>
      </w:r>
    </w:p>
    <w:p w14:paraId="0000009C" w14:textId="77777777" w:rsidR="005D5113" w:rsidRPr="0098598C" w:rsidRDefault="005D5113" w:rsidP="0074642E">
      <w:pPr>
        <w:ind w:left="567"/>
      </w:pPr>
    </w:p>
    <w:p w14:paraId="0000009D" w14:textId="77777777" w:rsidR="005D5113" w:rsidRPr="0098598C" w:rsidRDefault="002776C5" w:rsidP="00F61A6D">
      <w:pPr>
        <w:pStyle w:val="Heading1"/>
        <w:keepNext/>
        <w:keepLines/>
        <w:numPr>
          <w:ilvl w:val="0"/>
          <w:numId w:val="1"/>
        </w:numPr>
        <w:ind w:left="567" w:hanging="567"/>
        <w:rPr>
          <w:b/>
          <w:bCs/>
        </w:rPr>
      </w:pPr>
      <w:r>
        <w:rPr>
          <w:b/>
        </w:rPr>
        <w:t>Tionscadail Eorpacha a éascú agus margadh marthanach a chruthú</w:t>
      </w:r>
    </w:p>
    <w:p w14:paraId="0000009E" w14:textId="77777777" w:rsidR="005D5113" w:rsidRPr="0098598C" w:rsidRDefault="005D5113" w:rsidP="00F34E97">
      <w:pPr>
        <w:keepNext/>
        <w:keepLines/>
        <w:ind w:left="567"/>
      </w:pPr>
    </w:p>
    <w:p w14:paraId="0000009F" w14:textId="54305915" w:rsidR="005D5113" w:rsidRPr="0098598C" w:rsidRDefault="002776C5" w:rsidP="00F34E97">
      <w:pPr>
        <w:pStyle w:val="Heading2"/>
        <w:numPr>
          <w:ilvl w:val="1"/>
          <w:numId w:val="1"/>
        </w:numPr>
        <w:ind w:left="567" w:hanging="567"/>
      </w:pPr>
      <w:r>
        <w:t xml:space="preserve">Tacaíonn CESE le </w:t>
      </w:r>
      <w:proofErr w:type="spellStart"/>
      <w:r>
        <w:t>hathléimneacht</w:t>
      </w:r>
      <w:proofErr w:type="spellEnd"/>
      <w:r>
        <w:t xml:space="preserve"> shlabhraí luacha Eorpacha na n-amhábhar criticiúil a neartú trí uirlisí </w:t>
      </w:r>
      <w:proofErr w:type="spellStart"/>
      <w:r>
        <w:t>margadhbhunaithe</w:t>
      </w:r>
      <w:proofErr w:type="spellEnd"/>
      <w:r>
        <w:t xml:space="preserve">, idirghabháil phoiblí agus comhordú straitéiseach. Chomh maith leis an soláthar a mhéadú, ba cheart tuilleadh airde a thabhairt ar cháilíocht, intuarthacht agus athléimneacht an éilimh a neartú trí éifeachtúlacht ábhair, dearadh táirgí níos fearr, rátaí athchúrsála níos airde, dramhaíl a laghdú agus saolré táirgí a shíneadh agus tacú le </w:t>
      </w:r>
      <w:proofErr w:type="spellStart"/>
      <w:r>
        <w:t>huas</w:t>
      </w:r>
      <w:proofErr w:type="spellEnd"/>
      <w:r>
        <w:t xml:space="preserve">-scálú an táirgthe inbhuanaithe Eorpaigh ag an am céanna. </w:t>
      </w:r>
    </w:p>
    <w:p w14:paraId="000000A0" w14:textId="77777777" w:rsidR="005D5113" w:rsidRPr="0098598C" w:rsidRDefault="005D5113" w:rsidP="0074642E">
      <w:pPr>
        <w:ind w:left="567"/>
      </w:pPr>
    </w:p>
    <w:p w14:paraId="000000A1" w14:textId="5DD66194" w:rsidR="005D5113" w:rsidRPr="0098598C" w:rsidRDefault="002776C5" w:rsidP="00F34E97">
      <w:pPr>
        <w:pStyle w:val="Heading2"/>
        <w:numPr>
          <w:ilvl w:val="1"/>
          <w:numId w:val="1"/>
        </w:numPr>
        <w:ind w:left="567" w:hanging="567"/>
      </w:pPr>
      <w:r>
        <w:lastRenderedPageBreak/>
        <w:t>Is féidir leis an stoc-charnadh cuidiú le suaití gearrthéarmacha soláthair a bhainistiú ach ní féidir dul ina mhuinín in áit an táirgeacht intíre agus an acmhainneacht phróiseála a fhorbairt. Tá tábhacht straitéiseach ag baint le tionscadail atá bunaithe</w:t>
      </w:r>
      <w:r w:rsidRPr="0098598C">
        <w:rPr>
          <w:sz w:val="24"/>
          <w:szCs w:val="24"/>
          <w:vertAlign w:val="superscript"/>
        </w:rPr>
        <w:footnoteReference w:id="3"/>
      </w:r>
      <w:r>
        <w:t xml:space="preserve"> san Aontas a neartú chun spleáchais a laghdú. Ní mór ábhair imní an tionscail maidir le samhlacha úinéireachta, saobhadh margaidh agus éifeachtaí plódaithe amach a mheas i gcomórtas le cuspóirí </w:t>
      </w:r>
      <w:proofErr w:type="spellStart"/>
      <w:r>
        <w:t>athléimneachta</w:t>
      </w:r>
      <w:proofErr w:type="spellEnd"/>
      <w:r>
        <w:t>.</w:t>
      </w:r>
    </w:p>
    <w:p w14:paraId="000000A2" w14:textId="77777777" w:rsidR="005D5113" w:rsidRPr="0098598C" w:rsidRDefault="005D5113" w:rsidP="0074642E">
      <w:pPr>
        <w:ind w:left="567"/>
      </w:pPr>
    </w:p>
    <w:p w14:paraId="000000A3" w14:textId="046A5AA3" w:rsidR="005D5113" w:rsidRPr="0098598C" w:rsidRDefault="002776C5" w:rsidP="00F34E97">
      <w:pPr>
        <w:pStyle w:val="Heading2"/>
        <w:numPr>
          <w:ilvl w:val="1"/>
          <w:numId w:val="1"/>
        </w:numPr>
        <w:ind w:left="567" w:hanging="567"/>
      </w:pPr>
      <w:r>
        <w:t xml:space="preserve">Chomh fada leis an leasú atá beartaithe ar an nGníomh Eorpach um Amhábhair Chriticiúla maidir le </w:t>
      </w:r>
      <w:proofErr w:type="spellStart"/>
      <w:r>
        <w:t>héagsúlú</w:t>
      </w:r>
      <w:proofErr w:type="spellEnd"/>
      <w:r>
        <w:t xml:space="preserve"> soláthair, tá CESE i bhfách le measúnuithe riosca ar an slabhra soláthair agus le trédhearcacht níos fearr ach cuireann sé i bhfios go láidir nach mór do na </w:t>
      </w:r>
      <w:proofErr w:type="spellStart"/>
      <w:r>
        <w:t>hoibleagáidí</w:t>
      </w:r>
      <w:proofErr w:type="spellEnd"/>
      <w:r>
        <w:t xml:space="preserve"> maidir le </w:t>
      </w:r>
      <w:proofErr w:type="spellStart"/>
      <w:r>
        <w:t>héagsúlú</w:t>
      </w:r>
      <w:proofErr w:type="spellEnd"/>
      <w:r>
        <w:t xml:space="preserve"> leanúint de bheith comhréireach agus indéanta. Níor cheart a chur de cheangal ar chuideachtaí éagsúlú a dhéanamh i gcás nach ann d’aon fhoinsí malartacha inmharthana. Ba cheart d’idirghabháil an Choimisiúin díriú go príomha ar bhearta cumasúcháin, cuir i gcás tacaíocht a thabhairt do tháirgeadh an Aontais, sula gcuimhneofar ar cheanglais éigeantacha maidir le </w:t>
      </w:r>
      <w:proofErr w:type="spellStart"/>
      <w:r>
        <w:t>héagsúlú</w:t>
      </w:r>
      <w:proofErr w:type="spellEnd"/>
      <w:r>
        <w:t xml:space="preserve"> a chur i bhfeidhm. Leagann CESE béim freisin ar a thábhachtaí atá an trédhearcacht maidir le sonraí faoi </w:t>
      </w:r>
      <w:proofErr w:type="spellStart"/>
      <w:r>
        <w:t>shreafaí</w:t>
      </w:r>
      <w:proofErr w:type="spellEnd"/>
      <w:r>
        <w:t xml:space="preserve"> ábhair, cinntí maidir le leithdháileadh, leibhéil stoic agus neamhchosaint airgeadais phoiblí. Ba cheart </w:t>
      </w:r>
      <w:proofErr w:type="spellStart"/>
      <w:r>
        <w:t>deais</w:t>
      </w:r>
      <w:proofErr w:type="spellEnd"/>
      <w:r>
        <w:t xml:space="preserve"> </w:t>
      </w:r>
      <w:proofErr w:type="spellStart"/>
      <w:r>
        <w:t>trédhearcachta</w:t>
      </w:r>
      <w:proofErr w:type="spellEnd"/>
      <w:r>
        <w:t xml:space="preserve"> Eorpach maidir le hamhábhair a bhunú chun go bhféadfaí maoirseacht dhaonlathach a dhéanamh agus chun go mbeadh díospóireacht phoiblí </w:t>
      </w:r>
      <w:proofErr w:type="spellStart"/>
      <w:r>
        <w:t>eolasach</w:t>
      </w:r>
      <w:proofErr w:type="spellEnd"/>
      <w:r>
        <w:t xml:space="preserve"> ann. </w:t>
      </w:r>
    </w:p>
    <w:p w14:paraId="000000A4" w14:textId="77777777" w:rsidR="005D5113" w:rsidRPr="0098598C" w:rsidRDefault="005D5113" w:rsidP="0074642E">
      <w:pPr>
        <w:ind w:left="567"/>
      </w:pPr>
    </w:p>
    <w:p w14:paraId="000000A5" w14:textId="77777777" w:rsidR="005D5113" w:rsidRPr="0098598C" w:rsidRDefault="002776C5" w:rsidP="00F34E97">
      <w:pPr>
        <w:pStyle w:val="Heading2"/>
        <w:numPr>
          <w:ilvl w:val="1"/>
          <w:numId w:val="1"/>
        </w:numPr>
        <w:ind w:left="567" w:hanging="567"/>
      </w:pPr>
      <w:r>
        <w:t xml:space="preserve">Cuireann CESE i bhfios go láidir nach críoch inti féin é an t-éagsúlú. Ba cheart é a bheith ina chuspóir an leochaileacht a laghdú agus a áirithiú go gcloífear in aon mhéadú ar ghníomhaíochtaí eastóscacha go docht le caighdeáin </w:t>
      </w:r>
      <w:proofErr w:type="spellStart"/>
      <w:r>
        <w:t>inbhuanaitheachta</w:t>
      </w:r>
      <w:proofErr w:type="spellEnd"/>
      <w:r>
        <w:t xml:space="preserve"> agus go bhfeabhsófar iad, agus an t-éileamh á mhaolú ag an am céanna. Dá bhrí sin, ba cheart </w:t>
      </w:r>
      <w:proofErr w:type="spellStart"/>
      <w:r>
        <w:t>comhpháirtíochtaí</w:t>
      </w:r>
      <w:proofErr w:type="spellEnd"/>
      <w:r>
        <w:t xml:space="preserve"> a bheith mar chuid de straitéis níos leithne lena gcomhtháthaítear slándáil an tsoláthair le sláine comhshaoil agus cothromas domhanda.</w:t>
      </w:r>
    </w:p>
    <w:p w14:paraId="000000A6" w14:textId="77777777" w:rsidR="005D5113" w:rsidRPr="0098598C" w:rsidRDefault="005D5113" w:rsidP="0074642E">
      <w:pPr>
        <w:ind w:left="567"/>
      </w:pPr>
    </w:p>
    <w:p w14:paraId="000000A7" w14:textId="77777777" w:rsidR="005D5113" w:rsidRPr="0098598C" w:rsidRDefault="002776C5" w:rsidP="00F61A6D">
      <w:pPr>
        <w:pStyle w:val="Heading1"/>
        <w:keepNext/>
        <w:keepLines/>
        <w:numPr>
          <w:ilvl w:val="0"/>
          <w:numId w:val="1"/>
        </w:numPr>
        <w:ind w:left="567" w:hanging="567"/>
        <w:rPr>
          <w:b/>
          <w:bCs/>
        </w:rPr>
      </w:pPr>
      <w:r>
        <w:rPr>
          <w:b/>
        </w:rPr>
        <w:t>Comhpháirtíocht a dhéanamh le tríú tíortha ar mhaithe leis an éagsúlú</w:t>
      </w:r>
    </w:p>
    <w:p w14:paraId="000000A8" w14:textId="77777777" w:rsidR="005D5113" w:rsidRPr="0098598C" w:rsidRDefault="005D5113" w:rsidP="00F34E97">
      <w:pPr>
        <w:keepNext/>
        <w:keepLines/>
        <w:ind w:left="567"/>
      </w:pPr>
    </w:p>
    <w:p w14:paraId="000000A9" w14:textId="5CF528E2" w:rsidR="005D5113" w:rsidRPr="0098598C" w:rsidRDefault="007A59A1" w:rsidP="00F34E97">
      <w:pPr>
        <w:pStyle w:val="Heading2"/>
        <w:numPr>
          <w:ilvl w:val="1"/>
          <w:numId w:val="1"/>
        </w:numPr>
        <w:ind w:left="567" w:hanging="567"/>
      </w:pPr>
      <w:r>
        <w:t xml:space="preserve">Tá gá le </w:t>
      </w:r>
      <w:proofErr w:type="spellStart"/>
      <w:r>
        <w:t>héagsúlú</w:t>
      </w:r>
      <w:proofErr w:type="spellEnd"/>
      <w:r>
        <w:t xml:space="preserve"> trádála. Is díol sásaimh do CESE go bhfuil sé ar intinn ag an gCoimisiún </w:t>
      </w:r>
      <w:proofErr w:type="spellStart"/>
      <w:r>
        <w:t>comhpháirtíochtaí</w:t>
      </w:r>
      <w:proofErr w:type="spellEnd"/>
      <w:r>
        <w:t xml:space="preserve"> amhábhar criticiúil a thabhairt i gcrích agus slabhra luacha an Aontais a chomhtháthú le comhpháirtithe straitéiseacha. Ba cheart do </w:t>
      </w:r>
      <w:proofErr w:type="spellStart"/>
      <w:r>
        <w:t>chomhpháirtíochtaí</w:t>
      </w:r>
      <w:proofErr w:type="spellEnd"/>
      <w:r>
        <w:t xml:space="preserve"> tacú le tríú tíortha bogadh suas sa slabhra luacha agus a n-acmhainneacht thionsclaíoch féin a fhorbairt. </w:t>
      </w:r>
    </w:p>
    <w:p w14:paraId="000000AA" w14:textId="77777777" w:rsidR="005D5113" w:rsidRPr="0098598C" w:rsidRDefault="005D5113" w:rsidP="0074642E">
      <w:pPr>
        <w:ind w:left="567"/>
      </w:pPr>
    </w:p>
    <w:p w14:paraId="000000AB" w14:textId="409F2C76" w:rsidR="005D5113" w:rsidRPr="0098598C" w:rsidRDefault="002776C5" w:rsidP="00F34E97">
      <w:pPr>
        <w:pStyle w:val="Heading2"/>
        <w:numPr>
          <w:ilvl w:val="1"/>
          <w:numId w:val="1"/>
        </w:numPr>
        <w:ind w:left="567" w:hanging="567"/>
      </w:pPr>
      <w:r>
        <w:t xml:space="preserve">Ag an am céanna, ní féidir dul i muinín </w:t>
      </w:r>
      <w:proofErr w:type="spellStart"/>
      <w:r>
        <w:t>comhpháirtíochtaí</w:t>
      </w:r>
      <w:proofErr w:type="spellEnd"/>
      <w:r>
        <w:t xml:space="preserve"> seachtracha in ionad </w:t>
      </w:r>
      <w:proofErr w:type="spellStart"/>
      <w:r>
        <w:t>acmhainneachtaí</w:t>
      </w:r>
      <w:proofErr w:type="spellEnd"/>
      <w:r>
        <w:t xml:space="preserve"> intíre an Aontais a neartú. I roinnt cásanna, bhí </w:t>
      </w:r>
      <w:proofErr w:type="spellStart"/>
      <w:r>
        <w:t>iomaitheoirí</w:t>
      </w:r>
      <w:proofErr w:type="spellEnd"/>
      <w:r>
        <w:t xml:space="preserve"> domhanda in ann gníomhú níos tapa ná a chéile chun acmhainní straitéiseacha a fháil dóibh féin sula bhféadfadh </w:t>
      </w:r>
      <w:proofErr w:type="spellStart"/>
      <w:r>
        <w:t>comhpháirtíochtaí</w:t>
      </w:r>
      <w:proofErr w:type="spellEnd"/>
      <w:r>
        <w:t xml:space="preserve"> Eorpacha teacht chun cinn</w:t>
      </w:r>
      <w:r w:rsidRPr="0098598C">
        <w:rPr>
          <w:sz w:val="24"/>
          <w:szCs w:val="24"/>
          <w:vertAlign w:val="superscript"/>
        </w:rPr>
        <w:footnoteReference w:id="4"/>
      </w:r>
      <w:r>
        <w:t xml:space="preserve">, rud a chuireann i bhfáth a thábhachtaí atá sé </w:t>
      </w:r>
      <w:proofErr w:type="spellStart"/>
      <w:r>
        <w:t>acmhainneachtaí</w:t>
      </w:r>
      <w:proofErr w:type="spellEnd"/>
      <w:r>
        <w:t xml:space="preserve"> a fhorbairt laistigh den Aontas.</w:t>
      </w:r>
    </w:p>
    <w:p w14:paraId="000000AC" w14:textId="77777777" w:rsidR="005D5113" w:rsidRPr="0098598C" w:rsidRDefault="005D5113" w:rsidP="00F34E97">
      <w:pPr>
        <w:ind w:left="567"/>
      </w:pPr>
    </w:p>
    <w:p w14:paraId="000000AD" w14:textId="3579762C" w:rsidR="005D5113" w:rsidRPr="0098598C" w:rsidRDefault="002776C5" w:rsidP="00F05972">
      <w:pPr>
        <w:pStyle w:val="Heading2"/>
        <w:numPr>
          <w:ilvl w:val="1"/>
          <w:numId w:val="1"/>
        </w:numPr>
        <w:ind w:left="567" w:hanging="567"/>
      </w:pPr>
      <w:r>
        <w:lastRenderedPageBreak/>
        <w:t xml:space="preserve">Ní mór coimircí láidre rialachais a áireamh sna </w:t>
      </w:r>
      <w:proofErr w:type="spellStart"/>
      <w:r>
        <w:t>comhpháirtíochtaí</w:t>
      </w:r>
      <w:proofErr w:type="spellEnd"/>
      <w:r>
        <w:t xml:space="preserve">. Ba cheart </w:t>
      </w:r>
      <w:proofErr w:type="spellStart"/>
      <w:r>
        <w:t>tagarmharcanna</w:t>
      </w:r>
      <w:proofErr w:type="spellEnd"/>
      <w:r>
        <w:t xml:space="preserve"> intomhaiste, ceanglais </w:t>
      </w:r>
      <w:proofErr w:type="spellStart"/>
      <w:r>
        <w:t>trédhearcachta</w:t>
      </w:r>
      <w:proofErr w:type="spellEnd"/>
      <w:r>
        <w:t xml:space="preserve"> agus clásail </w:t>
      </w:r>
      <w:proofErr w:type="spellStart"/>
      <w:r>
        <w:t>fionraíochta</w:t>
      </w:r>
      <w:proofErr w:type="spellEnd"/>
      <w:r>
        <w:t xml:space="preserve"> a áireamh sna comhaontuithe i gcásanna amhail díobháil thromchúiseach don chomhshaol, maoiniú sceimhlitheoireachta, sciúradh airgid, éilliú nó sáruithe ar chearta saothair. Níor cheart don ainmniú straitéiseach tionscadail a dhíolmhú ó </w:t>
      </w:r>
      <w:proofErr w:type="spellStart"/>
      <w:r>
        <w:t>shásraí</w:t>
      </w:r>
      <w:proofErr w:type="spellEnd"/>
      <w:r>
        <w:t xml:space="preserve"> cuntasachta a urramú agus ba cheart na Meabhráin Tuisceana agus na </w:t>
      </w:r>
      <w:proofErr w:type="spellStart"/>
      <w:r>
        <w:t>Treochláir</w:t>
      </w:r>
      <w:proofErr w:type="spellEnd"/>
      <w:r>
        <w:t xml:space="preserve"> a bheith poiblí. Ba cheart aird a thabhairt freisin ar rioscaí éillithe, trédhearcacht maidir le hioncam, dáileadh cothrom sochar, </w:t>
      </w:r>
      <w:proofErr w:type="spellStart"/>
      <w:r>
        <w:t>doiciméadacht</w:t>
      </w:r>
      <w:proofErr w:type="spellEnd"/>
      <w:r>
        <w:t xml:space="preserve"> agus </w:t>
      </w:r>
      <w:proofErr w:type="spellStart"/>
      <w:r>
        <w:t>treochláir</w:t>
      </w:r>
      <w:proofErr w:type="spellEnd"/>
      <w:r>
        <w:t xml:space="preserve">, tuairisciú ar úinéireacht </w:t>
      </w:r>
      <w:proofErr w:type="spellStart"/>
      <w:r>
        <w:t>thairbhiúil</w:t>
      </w:r>
      <w:proofErr w:type="spellEnd"/>
      <w:r>
        <w:t xml:space="preserve"> agus ailíniú le tionscnaimh idirnáisiúnta, chun a chinntiú nach gcuirfidh ioncam acmhainní leis an éagobhsaíocht ná leis an ngabháil is mian leis na scothaicmí a dhéanamh. Níor cheart d’fhreagairt an Aontais ar an iomaíocht </w:t>
      </w:r>
      <w:proofErr w:type="spellStart"/>
      <w:r>
        <w:t>gheopholaitiúil</w:t>
      </w:r>
      <w:proofErr w:type="spellEnd"/>
      <w:r>
        <w:t xml:space="preserve"> macasamhlú a dhéanamh ar pholaitíocht na cumhachta </w:t>
      </w:r>
      <w:proofErr w:type="spellStart"/>
      <w:r>
        <w:t>eastóscaí</w:t>
      </w:r>
      <w:proofErr w:type="spellEnd"/>
      <w:r>
        <w:t xml:space="preserve"> toisc nach mór an neamhspleáchas straitéiseach a thógáil ar bhonn rialacha intuartha agus ar </w:t>
      </w:r>
      <w:proofErr w:type="spellStart"/>
      <w:r>
        <w:t>chomhpháirtíochtaí</w:t>
      </w:r>
      <w:proofErr w:type="spellEnd"/>
      <w:r>
        <w:t xml:space="preserve"> cothroma. Dá bhrí sin, trí </w:t>
      </w:r>
      <w:proofErr w:type="spellStart"/>
      <w:r>
        <w:t>phrionsabal</w:t>
      </w:r>
      <w:proofErr w:type="spellEnd"/>
      <w:r>
        <w:t xml:space="preserve"> an </w:t>
      </w:r>
      <w:proofErr w:type="spellStart"/>
      <w:r>
        <w:t>tSaorthoilithe</w:t>
      </w:r>
      <w:proofErr w:type="spellEnd"/>
      <w:r>
        <w:t xml:space="preserve"> </w:t>
      </w:r>
      <w:proofErr w:type="spellStart"/>
      <w:r>
        <w:t>Fheasaigh</w:t>
      </w:r>
      <w:proofErr w:type="spellEnd"/>
      <w:r>
        <w:t xml:space="preserve"> Roimh Ré (EIS 169) a chur san áireamh, ní mór do </w:t>
      </w:r>
      <w:proofErr w:type="spellStart"/>
      <w:r>
        <w:t>chomhpháirtíochtaí</w:t>
      </w:r>
      <w:proofErr w:type="spellEnd"/>
      <w:r>
        <w:t xml:space="preserve"> a áirithiú go mbeidh cumhacht chinnteoireachta fhóinteach ag na pobail dhúchasacha a ndéantar difear dóibh, i gcás inarb ábhartha, ar thionscadail a mbíonn tionchar acu ar a gcríocha.</w:t>
      </w:r>
    </w:p>
    <w:p w14:paraId="000000AE" w14:textId="77777777" w:rsidR="005D5113" w:rsidRPr="0098598C" w:rsidRDefault="005D5113" w:rsidP="0074642E">
      <w:pPr>
        <w:ind w:left="567"/>
      </w:pPr>
    </w:p>
    <w:p w14:paraId="000000AF" w14:textId="77777777" w:rsidR="005D5113" w:rsidRPr="0098598C" w:rsidRDefault="002776C5" w:rsidP="00F34E97">
      <w:pPr>
        <w:pStyle w:val="Heading2"/>
        <w:numPr>
          <w:ilvl w:val="1"/>
          <w:numId w:val="1"/>
        </w:numPr>
        <w:ind w:left="567" w:hanging="567"/>
        <w:rPr>
          <w:b/>
          <w:bCs/>
        </w:rPr>
      </w:pPr>
      <w:r>
        <w:t xml:space="preserve">Ní mór an chothromaíocht cheart a bhaint amach idir soláthairtí a éagsúlú thar lear agus borradh a chur faoi chumais dhúchasacha, agus comhaontuithe saorthrádála á síniú. Ba cheart measúnú cúramach a dhéanamh ar chóireáil fhabhrach taraife le haghaidh </w:t>
      </w:r>
      <w:proofErr w:type="spellStart"/>
      <w:r>
        <w:t>AÁCanna</w:t>
      </w:r>
      <w:proofErr w:type="spellEnd"/>
      <w:r>
        <w:t xml:space="preserve"> a tháirgtear ar scála i </w:t>
      </w:r>
      <w:proofErr w:type="spellStart"/>
      <w:r>
        <w:t>dtríú</w:t>
      </w:r>
      <w:proofErr w:type="spellEnd"/>
      <w:r>
        <w:t xml:space="preserve"> tíortha (go háirithe rochtain taraifí </w:t>
      </w:r>
      <w:proofErr w:type="spellStart"/>
      <w:r>
        <w:t>nialasacha</w:t>
      </w:r>
      <w:proofErr w:type="spellEnd"/>
      <w:r>
        <w:t xml:space="preserve">), i gcás ina bhfuil an baol ann go lagófaí na dreasachtaí atá ann chun infheistíocht a dhéanamh i dtáirgeadh agus in acmhainneacht athchúrsála an Aontais. Dá bhrí sin, ba cheart don bheartas trádála tacú le </w:t>
      </w:r>
      <w:proofErr w:type="spellStart"/>
      <w:r>
        <w:t>héagsúlú</w:t>
      </w:r>
      <w:proofErr w:type="spellEnd"/>
      <w:r>
        <w:t xml:space="preserve"> gan sceitheadh carbóin a chur in olcas ná gan spleáchas breise ar </w:t>
      </w:r>
      <w:proofErr w:type="spellStart"/>
      <w:r>
        <w:t>sholáthróirí</w:t>
      </w:r>
      <w:proofErr w:type="spellEnd"/>
      <w:r>
        <w:t xml:space="preserve"> seachtracha a chruthú.</w:t>
      </w:r>
    </w:p>
    <w:p w14:paraId="000000B0" w14:textId="77777777" w:rsidR="005D5113" w:rsidRPr="0098598C" w:rsidRDefault="005D5113" w:rsidP="0074642E">
      <w:pPr>
        <w:ind w:left="567"/>
      </w:pPr>
    </w:p>
    <w:p w14:paraId="000000B2" w14:textId="0ACA7637" w:rsidR="005D5113" w:rsidRPr="0098598C" w:rsidRDefault="002776C5" w:rsidP="0074642E">
      <w:pPr>
        <w:pStyle w:val="Heading2"/>
        <w:numPr>
          <w:ilvl w:val="1"/>
          <w:numId w:val="1"/>
        </w:numPr>
        <w:ind w:left="567" w:hanging="567"/>
      </w:pPr>
      <w:r>
        <w:t xml:space="preserve">Ar deireadh, ba cheart do </w:t>
      </w:r>
      <w:proofErr w:type="spellStart"/>
      <w:r>
        <w:t>chomhpháirtíochtaí</w:t>
      </w:r>
      <w:proofErr w:type="spellEnd"/>
      <w:r>
        <w:t xml:space="preserve"> tosaíochtaí na dtíortha comhpháirtíochta a léiriú freisin agus tacú leis an bhforbairt eacnamaíoch áitiúil trí infheistíocht, aistriú scileanna agus cruthú luacha inbhuanaithe, agus teorainneacha comhshaoil, cearta sóisialta agus toiliú an phobail á n-urramú ag an am céanna. Níor cheart dóibh spleáchais eastóscacha a chruthú athuair ná costais chomhshaoil agus shóisialta a sheachtrú. Chun go mbeidh siad inchreidte, ba cheart cearta sainráite saothair agus forálacha in-</w:t>
      </w:r>
      <w:proofErr w:type="spellStart"/>
      <w:r>
        <w:t>fhorfheidhmithe</w:t>
      </w:r>
      <w:proofErr w:type="spellEnd"/>
      <w:r>
        <w:t xml:space="preserve"> maidir le dícheall cuí a áireamh i gcomhaontuithe comhpháirtíochta agus in ionstraimí gaolmhara, mar aon le sásraí faireacháin, sásraí </w:t>
      </w:r>
      <w:proofErr w:type="spellStart"/>
      <w:r>
        <w:t>trédhearcachta</w:t>
      </w:r>
      <w:proofErr w:type="spellEnd"/>
      <w:r>
        <w:t xml:space="preserve"> agus leigheasanna i gcás ina ndéantar díobháil, seachas bheith ag brath ar fhorálacha deonacha.</w:t>
      </w:r>
    </w:p>
    <w:p w14:paraId="76473B52" w14:textId="77777777" w:rsidR="00022E7C" w:rsidRDefault="00022E7C" w:rsidP="0074642E">
      <w:pPr>
        <w:ind w:left="567"/>
        <w:jc w:val="center"/>
      </w:pPr>
    </w:p>
    <w:p w14:paraId="18A2495D" w14:textId="11350EF8" w:rsidR="00287F85" w:rsidRDefault="00287F85" w:rsidP="00022E7C">
      <w:pPr>
        <w:tabs>
          <w:tab w:val="left" w:pos="142"/>
        </w:tabs>
      </w:pPr>
      <w:r>
        <w:t>An Bhruiséil, 20 Bealtaine 2026.</w:t>
      </w:r>
    </w:p>
    <w:p w14:paraId="24E543B0" w14:textId="77777777" w:rsidR="00287F85" w:rsidRDefault="00287F85" w:rsidP="00287F85"/>
    <w:p w14:paraId="0A6274AF" w14:textId="77777777" w:rsidR="00287F85" w:rsidRDefault="00287F85" w:rsidP="00287F85"/>
    <w:p w14:paraId="7E230475" w14:textId="0A61256C" w:rsidR="00287F85" w:rsidRDefault="00287F85" w:rsidP="00022E7C">
      <w:pPr>
        <w:tabs>
          <w:tab w:val="left" w:pos="142"/>
        </w:tabs>
        <w:rPr>
          <w:i/>
          <w:iCs/>
        </w:rPr>
      </w:pPr>
      <w:r>
        <w:rPr>
          <w:i/>
        </w:rPr>
        <w:t>Cathaoirleach an Choimisiúin Chomhairligh um Athruithe Tionsclaíocha (CCMI)</w:t>
      </w:r>
    </w:p>
    <w:p w14:paraId="254E9C5C" w14:textId="37678330" w:rsidR="00022E7C" w:rsidRDefault="00287F85" w:rsidP="002F4D01">
      <w:pPr>
        <w:jc w:val="left"/>
      </w:pPr>
      <w:proofErr w:type="spellStart"/>
      <w:r>
        <w:t>Alain</w:t>
      </w:r>
      <w:proofErr w:type="spellEnd"/>
      <w:r>
        <w:t xml:space="preserve"> COHEUR</w:t>
      </w:r>
    </w:p>
    <w:p w14:paraId="7A53CE54" w14:textId="11ED6744" w:rsidR="00022E7C" w:rsidRPr="0098598C" w:rsidRDefault="00022E7C" w:rsidP="002F4D01">
      <w:pPr>
        <w:overflowPunct w:val="0"/>
        <w:autoSpaceDE w:val="0"/>
        <w:autoSpaceDN w:val="0"/>
        <w:adjustRightInd w:val="0"/>
        <w:jc w:val="center"/>
        <w:textAlignment w:val="baseline"/>
      </w:pPr>
      <w:r>
        <w:t>_____________</w:t>
      </w:r>
    </w:p>
    <w:sectPr w:rsidR="00022E7C" w:rsidRPr="0098598C" w:rsidSect="00131E9C">
      <w:headerReference w:type="even" r:id="rId19"/>
      <w:headerReference w:type="default" r:id="rId20"/>
      <w:footerReference w:type="even" r:id="rId21"/>
      <w:footerReference w:type="default" r:id="rId22"/>
      <w:headerReference w:type="first" r:id="rId23"/>
      <w:footerReference w:type="first" r:id="rId24"/>
      <w:pgSz w:w="11907" w:h="1683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7E87" w14:textId="77777777" w:rsidR="00D077E8" w:rsidRDefault="00D077E8">
      <w:pPr>
        <w:spacing w:line="240" w:lineRule="auto"/>
      </w:pPr>
      <w:r>
        <w:separator/>
      </w:r>
    </w:p>
  </w:endnote>
  <w:endnote w:type="continuationSeparator" w:id="0">
    <w:p w14:paraId="64F8465B" w14:textId="77777777" w:rsidR="00D077E8" w:rsidRDefault="00D07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92DE" w14:textId="77777777" w:rsidR="00535399" w:rsidRPr="00131E9C" w:rsidRDefault="00535399" w:rsidP="00131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F" w14:textId="10A477EA" w:rsidR="005D5113" w:rsidRPr="00131E9C" w:rsidRDefault="00131E9C" w:rsidP="00131E9C">
    <w:pPr>
      <w:pStyle w:val="Footer"/>
    </w:pPr>
    <w:r>
      <w:t xml:space="preserve">CCMI/259 – EESC-2026-00431-00-00-AS-TRA (EN) </w:t>
    </w:r>
    <w:r>
      <w:fldChar w:fldCharType="begin"/>
    </w:r>
    <w:r>
      <w:instrText xml:space="preserve"> PAGE  \* Arabic  \* MERGEFORMAT </w:instrText>
    </w:r>
    <w:r>
      <w:fldChar w:fldCharType="separate"/>
    </w:r>
    <w:r w:rsidR="00366DD9">
      <w:t>1</w:t>
    </w:r>
    <w:r>
      <w:fldChar w:fldCharType="end"/>
    </w:r>
    <w:r>
      <w:t>/</w:t>
    </w:r>
    <w:fldSimple w:instr=" NUMPAGES ">
      <w:r w:rsidR="00366DD9">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6B7F" w14:textId="77777777" w:rsidR="00535399" w:rsidRPr="00131E9C" w:rsidRDefault="00535399" w:rsidP="00131E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0" w14:textId="77777777" w:rsidR="005D5113" w:rsidRPr="00131E9C" w:rsidRDefault="005D5113" w:rsidP="00131E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1" w14:textId="38147BDB" w:rsidR="005D5113" w:rsidRPr="00131E9C" w:rsidRDefault="00131E9C" w:rsidP="00131E9C">
    <w:pPr>
      <w:pStyle w:val="Footer"/>
    </w:pPr>
    <w:r>
      <w:t xml:space="preserve">CCMI/259 – EESC-2026-00431-00-00-AS-TRA (EN)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2" w14:textId="77777777" w:rsidR="005D5113" w:rsidRPr="00131E9C" w:rsidRDefault="005D5113" w:rsidP="00131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4E08" w14:textId="77777777" w:rsidR="00D077E8" w:rsidRDefault="00D077E8">
      <w:pPr>
        <w:spacing w:line="240" w:lineRule="auto"/>
      </w:pPr>
      <w:r>
        <w:separator/>
      </w:r>
    </w:p>
  </w:footnote>
  <w:footnote w:type="continuationSeparator" w:id="0">
    <w:p w14:paraId="1BCBF870" w14:textId="77777777" w:rsidR="00D077E8" w:rsidRDefault="00D077E8">
      <w:pPr>
        <w:spacing w:line="240" w:lineRule="auto"/>
      </w:pPr>
      <w:r>
        <w:continuationSeparator/>
      </w:r>
    </w:p>
  </w:footnote>
  <w:footnote w:id="1">
    <w:p w14:paraId="000000B5" w14:textId="77777777" w:rsidR="005D5113" w:rsidRDefault="002776C5">
      <w:pPr>
        <w:keepLines/>
        <w:spacing w:after="60" w:line="240" w:lineRule="auto"/>
        <w:ind w:left="567" w:hanging="567"/>
        <w:rPr>
          <w:color w:val="000000"/>
          <w:sz w:val="16"/>
          <w:szCs w:val="16"/>
        </w:rPr>
      </w:pPr>
      <w:r>
        <w:rPr>
          <w:rStyle w:val="FootnoteReference"/>
        </w:rPr>
        <w:footnoteRef/>
      </w:r>
      <w:r>
        <w:rPr>
          <w:color w:val="000000"/>
          <w:sz w:val="16"/>
        </w:rPr>
        <w:tab/>
        <w:t xml:space="preserve">Sa chleachtas, is é éifeacht charnach na gcoinníollacha sin go ndéantar tionscail </w:t>
      </w:r>
      <w:proofErr w:type="spellStart"/>
      <w:r>
        <w:rPr>
          <w:color w:val="000000"/>
          <w:sz w:val="16"/>
        </w:rPr>
        <w:t>dianfhuinnimh</w:t>
      </w:r>
      <w:proofErr w:type="spellEnd"/>
      <w:r>
        <w:rPr>
          <w:color w:val="000000"/>
          <w:sz w:val="16"/>
        </w:rPr>
        <w:t xml:space="preserve"> a fhaigheann cúiteamh costais indíreach CTA cheana féin a eisiamh i ndáiríre ó thairbhe a bhaint as an bhfaoiseamh sin ar </w:t>
      </w:r>
      <w:proofErr w:type="spellStart"/>
      <w:r>
        <w:rPr>
          <w:color w:val="000000"/>
          <w:sz w:val="16"/>
        </w:rPr>
        <w:t>phraghsanna</w:t>
      </w:r>
      <w:proofErr w:type="spellEnd"/>
      <w:r>
        <w:rPr>
          <w:color w:val="000000"/>
          <w:sz w:val="16"/>
        </w:rPr>
        <w:t xml:space="preserve"> leictreachais. Mar gheall ar an gcaidhp ar thomhaltas incháilithe agus ar phraghas incháilithe, mar aon le rialacha </w:t>
      </w:r>
      <w:proofErr w:type="spellStart"/>
      <w:r>
        <w:rPr>
          <w:color w:val="000000"/>
          <w:sz w:val="16"/>
        </w:rPr>
        <w:t>dochta</w:t>
      </w:r>
      <w:proofErr w:type="spellEnd"/>
      <w:r>
        <w:rPr>
          <w:color w:val="000000"/>
          <w:sz w:val="16"/>
        </w:rPr>
        <w:t xml:space="preserve"> maidir le cur in áirithe agus </w:t>
      </w:r>
      <w:proofErr w:type="spellStart"/>
      <w:r>
        <w:rPr>
          <w:color w:val="000000"/>
          <w:sz w:val="16"/>
        </w:rPr>
        <w:t>neamhcharnadh</w:t>
      </w:r>
      <w:proofErr w:type="spellEnd"/>
      <w:r>
        <w:rPr>
          <w:color w:val="000000"/>
          <w:sz w:val="16"/>
        </w:rPr>
        <w:t xml:space="preserve"> infheistíochta, ní féidir le cuideachtaí a bhaineann amach an t-</w:t>
      </w:r>
      <w:proofErr w:type="spellStart"/>
      <w:r>
        <w:rPr>
          <w:color w:val="000000"/>
          <w:sz w:val="16"/>
        </w:rPr>
        <w:t>uaschúiteamh</w:t>
      </w:r>
      <w:proofErr w:type="spellEnd"/>
      <w:r>
        <w:rPr>
          <w:color w:val="000000"/>
          <w:sz w:val="16"/>
        </w:rPr>
        <w:t xml:space="preserve"> costais indírigh incheadaithe rochtain a fháil ar fhaoiseamh breise.</w:t>
      </w:r>
    </w:p>
  </w:footnote>
  <w:footnote w:id="2">
    <w:p w14:paraId="000000B8" w14:textId="51A67E91" w:rsidR="005D5113" w:rsidRDefault="002776C5" w:rsidP="00470E7F">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rPr>
          <w:color w:val="000000"/>
          <w:sz w:val="16"/>
        </w:rPr>
        <w:tab/>
      </w:r>
      <w:r>
        <w:rPr>
          <w:color w:val="000000"/>
          <w:sz w:val="16"/>
        </w:rPr>
        <w:t xml:space="preserve">Fiú amháin thuairiscigh BEI (ar a dtugtar banc aeráide na hEorpa) go luath in 2025 nach bhfuil ach 1 % de </w:t>
      </w:r>
      <w:proofErr w:type="spellStart"/>
      <w:r>
        <w:rPr>
          <w:color w:val="000000"/>
          <w:sz w:val="16"/>
        </w:rPr>
        <w:t>Thacsanomaíocht</w:t>
      </w:r>
      <w:proofErr w:type="spellEnd"/>
      <w:r>
        <w:rPr>
          <w:color w:val="000000"/>
          <w:sz w:val="16"/>
        </w:rPr>
        <w:t xml:space="preserve"> an Aontais á comhlíonadh aige, toisc róchastacht agus neamh-inoibritheacht na Tacsanomaíochta, dar leis. </w:t>
      </w:r>
      <w:r w:rsidRPr="005B3DFF">
        <w:rPr>
          <w:color w:val="000000"/>
          <w:sz w:val="16"/>
        </w:rPr>
        <w:t xml:space="preserve">(Foinse: </w:t>
      </w:r>
      <w:hyperlink r:id="rId1">
        <w:proofErr w:type="spellStart"/>
        <w:r>
          <w:rPr>
            <w:color w:val="0000FF"/>
            <w:sz w:val="16"/>
            <w:u w:val="single"/>
          </w:rPr>
          <w:t>Financial</w:t>
        </w:r>
        <w:proofErr w:type="spellEnd"/>
        <w:r>
          <w:rPr>
            <w:color w:val="0000FF"/>
            <w:sz w:val="16"/>
            <w:u w:val="single"/>
          </w:rPr>
          <w:t xml:space="preserve"> </w:t>
        </w:r>
        <w:proofErr w:type="spellStart"/>
        <w:r>
          <w:rPr>
            <w:color w:val="0000FF"/>
            <w:sz w:val="16"/>
            <w:u w:val="single"/>
          </w:rPr>
          <w:t>Times</w:t>
        </w:r>
        <w:proofErr w:type="spellEnd"/>
      </w:hyperlink>
      <w:r w:rsidRPr="005B3DFF">
        <w:rPr>
          <w:sz w:val="16"/>
          <w:szCs w:val="16"/>
        </w:rPr>
        <w:t>).</w:t>
      </w:r>
    </w:p>
  </w:footnote>
  <w:footnote w:id="3">
    <w:p w14:paraId="000000BA" w14:textId="77777777" w:rsidR="005D5113" w:rsidRDefault="002776C5">
      <w:pPr>
        <w:keepLines/>
        <w:spacing w:after="60" w:line="240" w:lineRule="auto"/>
        <w:ind w:left="567" w:hanging="567"/>
        <w:jc w:val="left"/>
        <w:rPr>
          <w:color w:val="000000"/>
          <w:sz w:val="16"/>
          <w:szCs w:val="16"/>
        </w:rPr>
      </w:pPr>
      <w:r>
        <w:rPr>
          <w:rStyle w:val="FootnoteReference"/>
        </w:rPr>
        <w:footnoteRef/>
      </w:r>
      <w:r>
        <w:rPr>
          <w:color w:val="000000"/>
          <w:sz w:val="16"/>
        </w:rPr>
        <w:tab/>
      </w:r>
      <w:r>
        <w:rPr>
          <w:color w:val="000000"/>
          <w:sz w:val="16"/>
        </w:rPr>
        <w:t xml:space="preserve">Tugann CESE dá aire go bhféadfadh tionscadal infheistíochta gailliam aonair san Aontas, nuair a chuirfear i gcrích ina iomláine é, suas le 100 % d’éileamh an Aontais a chumhdach, rud a neartódh go mór slándáil an tsoláthair do </w:t>
      </w:r>
      <w:proofErr w:type="spellStart"/>
      <w:r>
        <w:rPr>
          <w:color w:val="000000"/>
          <w:sz w:val="16"/>
        </w:rPr>
        <w:t>phríomhshlabhraí</w:t>
      </w:r>
      <w:proofErr w:type="spellEnd"/>
      <w:r>
        <w:rPr>
          <w:color w:val="000000"/>
          <w:sz w:val="16"/>
        </w:rPr>
        <w:t xml:space="preserve"> luacha tionsclaíocha agus cosanta.</w:t>
      </w:r>
    </w:p>
  </w:footnote>
  <w:footnote w:id="4">
    <w:p w14:paraId="000000BB" w14:textId="77777777" w:rsidR="005D5113" w:rsidRPr="005B3DFF" w:rsidRDefault="002776C5">
      <w:pPr>
        <w:keepLines/>
        <w:spacing w:after="60" w:line="240" w:lineRule="auto"/>
        <w:ind w:left="567" w:hanging="567"/>
        <w:rPr>
          <w:color w:val="000000"/>
          <w:sz w:val="16"/>
          <w:szCs w:val="16"/>
        </w:rPr>
      </w:pPr>
      <w:r>
        <w:rPr>
          <w:rStyle w:val="FootnoteReference"/>
        </w:rPr>
        <w:footnoteRef/>
      </w:r>
      <w:r>
        <w:rPr>
          <w:color w:val="000000"/>
          <w:sz w:val="16"/>
        </w:rPr>
        <w:tab/>
      </w:r>
      <w:r>
        <w:rPr>
          <w:color w:val="000000"/>
          <w:sz w:val="16"/>
        </w:rPr>
        <w:t xml:space="preserve">Ag deireadh 2025, fuair na Stáit Aontaithe gealltanas mór suas le USD 465 mhilliún óna Chorparáid Airgeadais Forbartha chun tacú le leathnú tionscadail tearc-chré de chuid na Brasaíle; tugadh an comhaontú féin i gcrích cúpla lá sula raibh oifigigh an Aontais le dul san iomaíocht le haghaidh na deise soláthair céanna. </w:t>
      </w:r>
      <w:r w:rsidRPr="005B3DFF">
        <w:rPr>
          <w:sz w:val="16"/>
          <w:szCs w:val="16"/>
        </w:rPr>
        <w:t xml:space="preserve">(Foinse: </w:t>
      </w:r>
      <w:hyperlink r:id="rId2">
        <w:r w:rsidRPr="005B3DFF">
          <w:rPr>
            <w:color w:val="0000FF"/>
            <w:sz w:val="16"/>
            <w:szCs w:val="16"/>
            <w:u w:val="single"/>
          </w:rPr>
          <w:t>nasc</w:t>
        </w:r>
      </w:hyperlink>
      <w:r w:rsidRPr="005B3DF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4569" w14:textId="77777777" w:rsidR="00535399" w:rsidRPr="00131E9C" w:rsidRDefault="00535399" w:rsidP="00131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152E" w14:textId="34BF055F" w:rsidR="00535399" w:rsidRPr="00131E9C" w:rsidRDefault="00535399" w:rsidP="00131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13EF" w14:textId="77777777" w:rsidR="00535399" w:rsidRPr="00131E9C" w:rsidRDefault="00535399" w:rsidP="00131E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C" w14:textId="77777777" w:rsidR="005D5113" w:rsidRPr="00131E9C" w:rsidRDefault="005D5113" w:rsidP="00131E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D" w14:textId="2254B6BA" w:rsidR="005D5113" w:rsidRPr="00131E9C" w:rsidRDefault="005D5113" w:rsidP="00131E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77777777" w:rsidR="005D5113" w:rsidRPr="00131E9C" w:rsidRDefault="005D5113" w:rsidP="00131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B463893"/>
    <w:multiLevelType w:val="multilevel"/>
    <w:tmpl w:val="1FBEF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F1127A"/>
    <w:multiLevelType w:val="multilevel"/>
    <w:tmpl w:val="B1269CF4"/>
    <w:lvl w:ilvl="0">
      <w:start w:val="1"/>
      <w:numFmt w:val="decimal"/>
      <w:lvlText w:val="%1."/>
      <w:lvlJc w:val="left"/>
      <w:pPr>
        <w:ind w:left="0" w:firstLine="0"/>
      </w:pPr>
      <w:rPr>
        <w:b w:val="0"/>
        <w:bCs w:val="0"/>
      </w:rPr>
    </w:lvl>
    <w:lvl w:ilvl="1">
      <w:start w:val="1"/>
      <w:numFmt w:val="decimal"/>
      <w:lvlText w:val="%1.%2"/>
      <w:lvlJc w:val="left"/>
      <w:pPr>
        <w:ind w:left="0" w:firstLine="0"/>
      </w:pPr>
      <w:rPr>
        <w:b w:val="0"/>
        <w:bCs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E3F2D66"/>
    <w:multiLevelType w:val="hybridMultilevel"/>
    <w:tmpl w:val="B0D208D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882716517">
    <w:abstractNumId w:val="2"/>
  </w:num>
  <w:num w:numId="2" w16cid:durableId="676079134">
    <w:abstractNumId w:val="1"/>
  </w:num>
  <w:num w:numId="3" w16cid:durableId="1737969793">
    <w:abstractNumId w:val="3"/>
  </w:num>
  <w:num w:numId="4" w16cid:durableId="37207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113"/>
    <w:rsid w:val="00022E7C"/>
    <w:rsid w:val="000234EF"/>
    <w:rsid w:val="000316A4"/>
    <w:rsid w:val="000647C4"/>
    <w:rsid w:val="00097868"/>
    <w:rsid w:val="000C6526"/>
    <w:rsid w:val="00131E9C"/>
    <w:rsid w:val="00163874"/>
    <w:rsid w:val="001A17E8"/>
    <w:rsid w:val="001B0A92"/>
    <w:rsid w:val="001B35B3"/>
    <w:rsid w:val="00203935"/>
    <w:rsid w:val="00207100"/>
    <w:rsid w:val="00220241"/>
    <w:rsid w:val="00222467"/>
    <w:rsid w:val="002531AC"/>
    <w:rsid w:val="00253A4D"/>
    <w:rsid w:val="002776C5"/>
    <w:rsid w:val="00287F85"/>
    <w:rsid w:val="002C60A9"/>
    <w:rsid w:val="002F4D01"/>
    <w:rsid w:val="00315907"/>
    <w:rsid w:val="0033606E"/>
    <w:rsid w:val="00352E92"/>
    <w:rsid w:val="00366DD9"/>
    <w:rsid w:val="003A4D7D"/>
    <w:rsid w:val="003F7699"/>
    <w:rsid w:val="004622F2"/>
    <w:rsid w:val="00470E7F"/>
    <w:rsid w:val="004C6AC5"/>
    <w:rsid w:val="004F29A3"/>
    <w:rsid w:val="005131E9"/>
    <w:rsid w:val="00535399"/>
    <w:rsid w:val="00555C14"/>
    <w:rsid w:val="005820C5"/>
    <w:rsid w:val="005910E7"/>
    <w:rsid w:val="005B3DFF"/>
    <w:rsid w:val="005B7F88"/>
    <w:rsid w:val="005C5236"/>
    <w:rsid w:val="005D5113"/>
    <w:rsid w:val="005F01A8"/>
    <w:rsid w:val="00665A23"/>
    <w:rsid w:val="006D2380"/>
    <w:rsid w:val="00735155"/>
    <w:rsid w:val="0074642E"/>
    <w:rsid w:val="00775540"/>
    <w:rsid w:val="00781846"/>
    <w:rsid w:val="007A59A1"/>
    <w:rsid w:val="007F40EA"/>
    <w:rsid w:val="007F41E4"/>
    <w:rsid w:val="0080201E"/>
    <w:rsid w:val="00844C36"/>
    <w:rsid w:val="00867044"/>
    <w:rsid w:val="008A514E"/>
    <w:rsid w:val="008B332C"/>
    <w:rsid w:val="008D59E9"/>
    <w:rsid w:val="008E13D6"/>
    <w:rsid w:val="008F35A8"/>
    <w:rsid w:val="008F44C4"/>
    <w:rsid w:val="008F5E24"/>
    <w:rsid w:val="00924D4D"/>
    <w:rsid w:val="00925C2A"/>
    <w:rsid w:val="00940078"/>
    <w:rsid w:val="0098598C"/>
    <w:rsid w:val="00997578"/>
    <w:rsid w:val="009A5A03"/>
    <w:rsid w:val="009D1717"/>
    <w:rsid w:val="009D4D59"/>
    <w:rsid w:val="009E397D"/>
    <w:rsid w:val="009E6B47"/>
    <w:rsid w:val="00AB0B7A"/>
    <w:rsid w:val="00AE4411"/>
    <w:rsid w:val="00AE506F"/>
    <w:rsid w:val="00B03123"/>
    <w:rsid w:val="00B25572"/>
    <w:rsid w:val="00BB11DC"/>
    <w:rsid w:val="00BC6555"/>
    <w:rsid w:val="00C33BAC"/>
    <w:rsid w:val="00C67C89"/>
    <w:rsid w:val="00CE47A1"/>
    <w:rsid w:val="00D077E8"/>
    <w:rsid w:val="00D13955"/>
    <w:rsid w:val="00D16F2F"/>
    <w:rsid w:val="00D303ED"/>
    <w:rsid w:val="00D31B1D"/>
    <w:rsid w:val="00D75726"/>
    <w:rsid w:val="00E03EDC"/>
    <w:rsid w:val="00E11CF5"/>
    <w:rsid w:val="00E23B84"/>
    <w:rsid w:val="00E42876"/>
    <w:rsid w:val="00E55978"/>
    <w:rsid w:val="00F05972"/>
    <w:rsid w:val="00F107F5"/>
    <w:rsid w:val="00F34E97"/>
    <w:rsid w:val="00F61A6D"/>
    <w:rsid w:val="00F816E9"/>
    <w:rsid w:val="00F90D13"/>
    <w:rsid w:val="00FD016F"/>
    <w:rsid w:val="00FD0BC5"/>
    <w:rsid w:val="00FE64D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ga-IE" w:eastAsia="fr-BE"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A6D"/>
    <w:rPr>
      <w:lang w:eastAsia="en-US"/>
    </w:rPr>
  </w:style>
  <w:style w:type="paragraph" w:styleId="Heading1">
    <w:name w:val="heading 1"/>
    <w:basedOn w:val="Normal"/>
    <w:next w:val="Normal"/>
    <w:link w:val="Heading1Char"/>
    <w:qFormat/>
    <w:rsid w:val="00F61A6D"/>
    <w:pPr>
      <w:numPr>
        <w:numId w:val="4"/>
      </w:numPr>
      <w:ind w:left="567" w:hanging="567"/>
      <w:outlineLvl w:val="0"/>
    </w:pPr>
    <w:rPr>
      <w:kern w:val="28"/>
    </w:rPr>
  </w:style>
  <w:style w:type="paragraph" w:styleId="Heading2">
    <w:name w:val="heading 2"/>
    <w:basedOn w:val="Normal"/>
    <w:next w:val="Normal"/>
    <w:link w:val="Heading2Char"/>
    <w:qFormat/>
    <w:rsid w:val="00F61A6D"/>
    <w:pPr>
      <w:numPr>
        <w:ilvl w:val="1"/>
        <w:numId w:val="4"/>
      </w:numPr>
      <w:ind w:left="567" w:hanging="567"/>
      <w:outlineLvl w:val="1"/>
    </w:pPr>
  </w:style>
  <w:style w:type="paragraph" w:styleId="Heading3">
    <w:name w:val="heading 3"/>
    <w:basedOn w:val="Normal"/>
    <w:next w:val="Normal"/>
    <w:link w:val="Heading3Char"/>
    <w:qFormat/>
    <w:rsid w:val="00F61A6D"/>
    <w:pPr>
      <w:numPr>
        <w:ilvl w:val="2"/>
        <w:numId w:val="4"/>
      </w:numPr>
      <w:ind w:left="567" w:hanging="567"/>
      <w:outlineLvl w:val="2"/>
    </w:pPr>
  </w:style>
  <w:style w:type="paragraph" w:styleId="Heading4">
    <w:name w:val="heading 4"/>
    <w:basedOn w:val="Normal"/>
    <w:next w:val="Normal"/>
    <w:link w:val="Heading4Char"/>
    <w:qFormat/>
    <w:rsid w:val="00F61A6D"/>
    <w:pPr>
      <w:numPr>
        <w:ilvl w:val="3"/>
        <w:numId w:val="4"/>
      </w:numPr>
      <w:ind w:left="567" w:hanging="567"/>
      <w:outlineLvl w:val="3"/>
    </w:pPr>
  </w:style>
  <w:style w:type="paragraph" w:styleId="Heading5">
    <w:name w:val="heading 5"/>
    <w:basedOn w:val="Normal"/>
    <w:next w:val="Normal"/>
    <w:link w:val="Heading5Char"/>
    <w:qFormat/>
    <w:rsid w:val="00F61A6D"/>
    <w:pPr>
      <w:numPr>
        <w:ilvl w:val="4"/>
        <w:numId w:val="4"/>
      </w:numPr>
      <w:ind w:left="567" w:hanging="567"/>
      <w:outlineLvl w:val="4"/>
    </w:pPr>
  </w:style>
  <w:style w:type="paragraph" w:styleId="Heading6">
    <w:name w:val="heading 6"/>
    <w:basedOn w:val="Normal"/>
    <w:next w:val="Normal"/>
    <w:link w:val="Heading6Char"/>
    <w:qFormat/>
    <w:rsid w:val="00F61A6D"/>
    <w:pPr>
      <w:numPr>
        <w:ilvl w:val="5"/>
        <w:numId w:val="4"/>
      </w:numPr>
      <w:ind w:left="567" w:hanging="567"/>
      <w:outlineLvl w:val="5"/>
    </w:pPr>
  </w:style>
  <w:style w:type="paragraph" w:styleId="Heading7">
    <w:name w:val="heading 7"/>
    <w:basedOn w:val="Normal"/>
    <w:next w:val="Normal"/>
    <w:link w:val="Heading7Char"/>
    <w:qFormat/>
    <w:rsid w:val="00F61A6D"/>
    <w:pPr>
      <w:numPr>
        <w:ilvl w:val="6"/>
        <w:numId w:val="4"/>
      </w:numPr>
      <w:ind w:left="567" w:hanging="567"/>
      <w:outlineLvl w:val="6"/>
    </w:pPr>
  </w:style>
  <w:style w:type="paragraph" w:styleId="Heading8">
    <w:name w:val="heading 8"/>
    <w:basedOn w:val="Normal"/>
    <w:next w:val="Normal"/>
    <w:link w:val="Heading8Char"/>
    <w:qFormat/>
    <w:rsid w:val="00F61A6D"/>
    <w:pPr>
      <w:numPr>
        <w:ilvl w:val="7"/>
        <w:numId w:val="4"/>
      </w:numPr>
      <w:ind w:left="567" w:hanging="567"/>
      <w:outlineLvl w:val="7"/>
    </w:pPr>
  </w:style>
  <w:style w:type="paragraph" w:styleId="Heading9">
    <w:name w:val="heading 9"/>
    <w:basedOn w:val="Normal"/>
    <w:next w:val="Normal"/>
    <w:link w:val="Heading9Char"/>
    <w:qFormat/>
    <w:rsid w:val="00F61A6D"/>
    <w:pPr>
      <w:numPr>
        <w:ilvl w:val="8"/>
        <w:numId w:val="4"/>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ga-IE" w:eastAsia="en-US"/>
    </w:rPr>
  </w:style>
  <w:style w:type="character" w:customStyle="1" w:styleId="Heading2Char">
    <w:name w:val="Heading 2 Char"/>
    <w:basedOn w:val="DefaultParagraphFont"/>
    <w:link w:val="Heading2"/>
    <w:locked/>
    <w:rsid w:val="00CB1536"/>
    <w:rPr>
      <w:lang w:val="ga-IE" w:eastAsia="en-US"/>
    </w:rPr>
  </w:style>
  <w:style w:type="character" w:customStyle="1" w:styleId="Heading3Char">
    <w:name w:val="Heading 3 Char"/>
    <w:basedOn w:val="DefaultParagraphFont"/>
    <w:link w:val="Heading3"/>
    <w:locked/>
    <w:rsid w:val="00CB1536"/>
    <w:rPr>
      <w:lang w:val="ga-IE" w:eastAsia="en-US"/>
    </w:rPr>
  </w:style>
  <w:style w:type="character" w:customStyle="1" w:styleId="Heading4Char">
    <w:name w:val="Heading 4 Char"/>
    <w:basedOn w:val="DefaultParagraphFont"/>
    <w:link w:val="Heading4"/>
    <w:locked/>
    <w:rsid w:val="00CB1536"/>
    <w:rPr>
      <w:lang w:val="ga-IE" w:eastAsia="en-US"/>
    </w:rPr>
  </w:style>
  <w:style w:type="character" w:customStyle="1" w:styleId="Heading5Char">
    <w:name w:val="Heading 5 Char"/>
    <w:basedOn w:val="DefaultParagraphFont"/>
    <w:link w:val="Heading5"/>
    <w:locked/>
    <w:rsid w:val="00CB1536"/>
    <w:rPr>
      <w:lang w:val="ga-IE" w:eastAsia="en-US"/>
    </w:rPr>
  </w:style>
  <w:style w:type="character" w:customStyle="1" w:styleId="Heading6Char">
    <w:name w:val="Heading 6 Char"/>
    <w:basedOn w:val="DefaultParagraphFont"/>
    <w:link w:val="Heading6"/>
    <w:locked/>
    <w:rsid w:val="00CB1536"/>
    <w:rPr>
      <w:lang w:val="ga-IE" w:eastAsia="en-US"/>
    </w:rPr>
  </w:style>
  <w:style w:type="character" w:customStyle="1" w:styleId="Heading7Char">
    <w:name w:val="Heading 7 Char"/>
    <w:basedOn w:val="DefaultParagraphFont"/>
    <w:link w:val="Heading7"/>
    <w:locked/>
    <w:rsid w:val="00CB1536"/>
    <w:rPr>
      <w:lang w:val="ga-IE" w:eastAsia="en-US"/>
    </w:rPr>
  </w:style>
  <w:style w:type="character" w:customStyle="1" w:styleId="Heading8Char">
    <w:name w:val="Heading 8 Char"/>
    <w:basedOn w:val="DefaultParagraphFont"/>
    <w:link w:val="Heading8"/>
    <w:locked/>
    <w:rsid w:val="00CB1536"/>
    <w:rPr>
      <w:lang w:val="ga-IE" w:eastAsia="en-US"/>
    </w:rPr>
  </w:style>
  <w:style w:type="character" w:customStyle="1" w:styleId="Heading9Char">
    <w:name w:val="Heading 9 Char"/>
    <w:basedOn w:val="DefaultParagraphFont"/>
    <w:link w:val="Heading9"/>
    <w:locked/>
    <w:rsid w:val="00CB1536"/>
    <w:rPr>
      <w:lang w:val="ga-IE" w:eastAsia="en-US"/>
    </w:rPr>
  </w:style>
  <w:style w:type="paragraph" w:styleId="Footer">
    <w:name w:val="footer"/>
    <w:basedOn w:val="Normal"/>
    <w:link w:val="FooterChar"/>
    <w:qFormat/>
    <w:rsid w:val="00F61A6D"/>
  </w:style>
  <w:style w:type="character" w:customStyle="1" w:styleId="FooterChar">
    <w:name w:val="Footer Char"/>
    <w:basedOn w:val="DefaultParagraphFont"/>
    <w:link w:val="Footer"/>
    <w:locked/>
    <w:rsid w:val="00CB1536"/>
    <w:rPr>
      <w:lang w:val="ga-IE" w:eastAsia="en-US"/>
    </w:rPr>
  </w:style>
  <w:style w:type="paragraph" w:styleId="FootnoteText">
    <w:name w:val="footnote text"/>
    <w:basedOn w:val="Normal"/>
    <w:link w:val="FootnoteTextChar"/>
    <w:qFormat/>
    <w:rsid w:val="00F61A6D"/>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ga-IE" w:eastAsia="en-US"/>
    </w:rPr>
  </w:style>
  <w:style w:type="paragraph" w:styleId="Header">
    <w:name w:val="header"/>
    <w:basedOn w:val="Normal"/>
    <w:link w:val="HeaderChar"/>
    <w:qFormat/>
    <w:rsid w:val="00F61A6D"/>
  </w:style>
  <w:style w:type="character" w:customStyle="1" w:styleId="HeaderChar">
    <w:name w:val="Header Char"/>
    <w:basedOn w:val="DefaultParagraphFont"/>
    <w:link w:val="Header"/>
    <w:locked/>
    <w:rsid w:val="00CB1536"/>
    <w:rPr>
      <w:lang w:val="ga-IE" w:eastAsia="en-US"/>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F61A6D"/>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F61A6D"/>
    <w:pPr>
      <w:ind w:left="720"/>
    </w:pPr>
    <w:rPr>
      <w: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459A6"/>
    <w:pPr>
      <w:ind w:left="720"/>
      <w:contextualSpacing/>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dam.Dorywalski@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thedeepdive.ca/us-beats-eu-to-brazilian-rare-earth-deal-with-465-million-commitment/" TargetMode="External"/><Relationship Id="rId1" Type="http://schemas.openxmlformats.org/officeDocument/2006/relationships/hyperlink" Target="https://www.ft.com/content/12399810-a782-465b-8378-5099252306a5?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VP3JK3XSEPRV-2087481956-9266</_dlc_DocId>
    <_dlc_DocIdUrl xmlns="7d640e6d-779c-472f-a269-6b546787f1c9">
      <Url>http://dm/eesc/2026/_layouts/15/DocIdRedir.aspx?ID=VP3JK3XSEPRV-2087481956-9266</Url>
      <Description>VP3JK3XSEPRV-2087481956-9266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2026-05-26T12:00:00+00:00</ProductionDate>
    <DocumentNumber xmlns="a95533f8-59af-4217-bc7a-c1167744adb0">431</DocumentNumber>
    <FicheYear xmlns="7d640e6d-779c-472f-a269-6b546787f1c9" xsi:nil="true"/>
    <DossierNumber xmlns="7d640e6d-779c-472f-a269-6b546787f1c9">259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43</Value>
      <Value>66</Value>
      <Value>60</Value>
      <Value>59</Value>
      <Value>55</Value>
      <Value>53</Value>
      <Value>51</Value>
      <Value>47</Value>
      <Value>46</Value>
      <Value>45</Value>
      <Value>44</Value>
      <Value>132</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s>
    </DocumentLanguage_0>
    <Rapporteur xmlns="7d640e6d-779c-472f-a269-6b546787f1c9">DIAMANTOUROS &amp; MEYSNER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303588</FicheNumber>
    <OriginalSender xmlns="7d640e6d-779c-472f-a269-6b546787f1c9">
      <UserInfo>
        <DisplayName>Murphy Aiden</DisplayName>
        <AccountId>1553</AccountId>
        <AccountType/>
      </UserInfo>
    </OriginalSender>
    <DocumentPart xmlns="7d640e6d-779c-472f-a269-6b546787f1c9">0</DocumentPart>
    <AdoptionDate xmlns="7d640e6d-779c-472f-a269-6b546787f1c9" xsi:nil="true"/>
    <RequestingService xmlns="7d640e6d-779c-472f-a269-6b546787f1c9">Commission consultative des mutations industrielles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CCMI</TermName>
          <TermId xmlns="http://schemas.microsoft.com/office/infopath/2007/PartnerControls">3451ec22-e6ff-42b3-8610-379fec773b3a</TermId>
        </TermInfo>
      </Terms>
    </DossierName_0>
    <DocumentVersion xmlns="7d640e6d-779c-472f-a269-6b546787f1c9">0</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D3C89C-AF0F-4FE5-8155-EA2EE3E629CB}"/>
</file>

<file path=customXml/itemProps2.xml><?xml version="1.0" encoding="utf-8"?>
<ds:datastoreItem xmlns:ds="http://schemas.openxmlformats.org/officeDocument/2006/customXml" ds:itemID="{F3F457AB-1AFD-49D4-AA71-DF0CCACFA9D9}">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customXml/itemProps3.xml><?xml version="1.0" encoding="utf-8"?>
<ds:datastoreItem xmlns:ds="http://schemas.openxmlformats.org/officeDocument/2006/customXml" ds:itemID="{FC6AE3F6-A2F7-42F6-AB00-0CD22F4042E8}">
  <ds:schemaRefs>
    <ds:schemaRef ds:uri="http://schemas.microsoft.com/sharepoint/v3/contenttype/forms"/>
  </ds:schemaRefs>
</ds:datastoreItem>
</file>

<file path=customXml/itemProps4.xml><?xml version="1.0" encoding="utf-8"?>
<ds:datastoreItem xmlns:ds="http://schemas.openxmlformats.org/officeDocument/2006/customXml" ds:itemID="{8647AC21-5F14-4D64-8BE7-6E3E946FB4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3673</Words>
  <Characters>23586</Characters>
  <Application>Microsoft Office Word</Application>
  <DocSecurity>0</DocSecurity>
  <Lines>445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Plean Gníomhaíochta RESourceEU</dc:title>
  <dc:subject>Draft opinion</dc:subject>
  <dc:creator/>
  <cp:keywords>EESC-2026-00431-00-00-PA-TRA-EN</cp:keywords>
  <dc:description>Rapporteur: - DIAMANTOUROS &amp; MEYSNER Original language: - EN Date of document: - 04/05/2026 Date of meeting: - 20/05/2026 External documents: - COM(2025)945- final Administrator responsible: -  DORYWALSKI ADAM</dc:description>
  <cp:lastModifiedBy/>
  <cp:revision>7</cp:revision>
  <dcterms:created xsi:type="dcterms:W3CDTF">2026-05-22T13:56:00Z</dcterms:created>
  <dcterms:modified xsi:type="dcterms:W3CDTF">2026-05-26T15:25:00Z</dcterms:modified>
  <cp:category>CCMI/259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22/05/2026, 04/05/2026, 13/02/2026, 12/04/2024, 17/05/2022, 04/11/2015, 27/10/2015, 19/10/2015, 09/10/2015, 05/10/2015, 05/10/2015, 26/08/2015, 26/08/2015, 25/08/2015</vt:lpwstr>
  </property>
  <property fmtid="{D5CDD505-2E9C-101B-9397-08002B2CF9AE}" pid="4" name="Pref_Time">
    <vt:lpwstr>15:54:44, 15:16:52, 10:10:24, 12:08:09, 12:59:17, 12/10/07, 14:44:02, 16/04/16, 14:09:30, 16:24:55, 16:04:02, 08:56:14, 07:27:56, 17:31:53</vt:lpwstr>
  </property>
  <property fmtid="{D5CDD505-2E9C-101B-9397-08002B2CF9AE}" pid="5" name="Pref_User">
    <vt:lpwstr>amett, amett, nnas, enied, enied, ssex, enied, amett, tvoc, mreg, mreg, amett, enied, ssex</vt:lpwstr>
  </property>
  <property fmtid="{D5CDD505-2E9C-101B-9397-08002B2CF9AE}" pid="6" name="Pref_FileName">
    <vt:lpwstr>EESC-2026-00431-00-00-AS-TRA-EN-CRR.docx, EESC-2026-00431-00-00-PA-ORI.docx, EESC-2026-00431-00-00-DT-ORI.docx, COR-EESC-2024-01326-00-00-ADMIN-ORI.docx, COR-EESC-2022-02586-00-00-ADMIN-ORI.docx, EESC-2015-05408-00-00-PA-CRR-EN.docx, EESC-2015-05408-00-01</vt:lpwstr>
  </property>
  <property fmtid="{D5CDD505-2E9C-101B-9397-08002B2CF9AE}" pid="7" name="ContentTypeId">
    <vt:lpwstr>0x010100EA97B91038054C99906057A708A1480A0042CFDF3EA65A64469BBC042F89C9AB74</vt:lpwstr>
  </property>
  <property fmtid="{D5CDD505-2E9C-101B-9397-08002B2CF9AE}" pid="8" name="_dlc_DocIdItemGuid">
    <vt:lpwstr>8fd89cc7-97d4-4011-aa50-328028aaf9cd</vt:lpwstr>
  </property>
  <property fmtid="{D5CDD505-2E9C-101B-9397-08002B2CF9AE}" pid="9" name="AvailableTranslations">
    <vt:lpwstr>25;#FI|87606a43-d45f-42d6-b8c9-e1a3457db5b7;#34;#HR|2f555653-ed1a-4fe6-8362-9082d95989e5;#32;#PL|1e03da61-4678-4e07-b136-b5024ca9197b;#4;#EN|f2175f21-25d7-44a3-96da-d6a61b075e1b;#51;#LV|46f7e311-5d9f-4663-b433-18aeccb7ace7;#45;#SV|c2ed69e7-a339-43d7-8f22-d93680a92aa0;#12;#ES|e7a6b05b-ae16-40c8-add9-68b64b03aeba;#66;#GA|762d2456-c427-4ecb-b312-af3dad8e258c;#29;#CS|72f9705b-0217-4fd3-bea2-cbc7ed80e26e;#60;#EL|6d4f4d51-af9b-4650-94b4-4276bee85c91;#37;#HU|6b229040-c589-4408-b4c1-4285663d20a8;#46;#DA|5d49c027-8956-412b-aa16-e85a0f96ad0e;#28;#PT|50ccc04a-eadd-42ae-a0cb-acaf45f812ba;#36;#NL|55c6556c-b4f4-441d-9acf-c498d4f838bd;#23;#FR|d2afafd3-4c81-4f60-8f52-ee33f2f54ff3;#13;#IT|0774613c-01ed-4e5d-a25d-11d2388de825;#53;#MT|7df99101-6854-4a26-b53a-b88c0da02c26;#30;#SK|46d9fce0-ef79-4f71-b89b-cd6aa82426b8;#55;#RO|feb747a2-64cd-4299-af12-4833ddc30497;#44;#LT|a7ff5ce7-6123-4f68-865a-a57c31810414;#31;#SL|98a412ae-eb01-49e9-ae3d-585a81724cfc;#27;#ET|ff6c3f4c-b02c-4c3c-ab07-2c37995a7a0a;#43;#BG|1a1b3951-7821-4e6a-85f5-5673fc08bd2c;#11;#DE|f6b31e5a-26fa-4935-b661-318e46daf27e</vt:lpwstr>
  </property>
  <property fmtid="{D5CDD505-2E9C-101B-9397-08002B2CF9AE}" pid="10" name="DocumentType_0">
    <vt:lpwstr>AS|c7a748eb-f6f2-4d9d-8b5a-af0cafebc224</vt:lpwstr>
  </property>
  <property fmtid="{D5CDD505-2E9C-101B-9397-08002B2CF9AE}" pid="11" name="DossierName_0">
    <vt:lpwstr>CCMI|3451ec22-e6ff-42b3-8610-379fec773b3a</vt:lpwstr>
  </property>
  <property fmtid="{D5CDD505-2E9C-101B-9397-08002B2CF9AE}" pid="12" name="DocumentSource_0">
    <vt:lpwstr>EESC|422833ec-8d7e-4e65-8e4e-8bed07ffb729</vt:lpwstr>
  </property>
  <property fmtid="{D5CDD505-2E9C-101B-9397-08002B2CF9AE}" pid="13" name="DocumentNumber">
    <vt:i4>431</vt:i4>
  </property>
  <property fmtid="{D5CDD505-2E9C-101B-9397-08002B2CF9AE}" pid="14" name="FicheYear">
    <vt:i4>2026</vt:i4>
  </property>
  <property fmtid="{D5CDD505-2E9C-101B-9397-08002B2CF9AE}" pid="15" name="DocumentVersion">
    <vt:i4>0</vt:i4>
  </property>
  <property fmtid="{D5CDD505-2E9C-101B-9397-08002B2CF9AE}" pid="16" name="DossierNumber">
    <vt:i4>259</vt:i4>
  </property>
  <property fmtid="{D5CDD505-2E9C-101B-9397-08002B2CF9AE}" pid="17" name="DocumentStatus">
    <vt:lpwstr>9;#TRA|150d2a88-1431-44e6-a8ca-0bb753ab8672</vt:lpwstr>
  </property>
  <property fmtid="{D5CDD505-2E9C-101B-9397-08002B2CF9AE}" pid="18" name="DossierName">
    <vt:lpwstr>47;#CCMI|3451ec22-e6ff-42b3-8610-379fec773b3a</vt:lpwstr>
  </property>
  <property fmtid="{D5CDD505-2E9C-101B-9397-08002B2CF9AE}" pid="19" name="RequestingService">
    <vt:lpwstr>Commission consultative des mutations industrielles</vt:lpwstr>
  </property>
  <property fmtid="{D5CDD505-2E9C-101B-9397-08002B2CF9AE}" pid="20" name="Confidentiality">
    <vt:lpwstr>19;#Unrestricted|826e22d7-d029-4ec0-a450-0c28ff673572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59;#SPL-CES|32d8cb1f-c9ec-4365-95c7-8385a18618ac</vt:lpwstr>
  </property>
  <property fmtid="{D5CDD505-2E9C-101B-9397-08002B2CF9AE}" pid="25" name="MeetingDate">
    <vt:filetime>2026-06-17T12:00:00Z</vt:filetime>
  </property>
  <property fmtid="{D5CDD505-2E9C-101B-9397-08002B2CF9AE}" pid="26" name="AvailableTranslations_0">
    <vt:lpwstr>EN|f2175f21-25d7-44a3-96da-d6a61b075e1b;LV|46f7e311-5d9f-4663-b433-18aeccb7ace7;SV|c2ed69e7-a339-43d7-8f22-d93680a92aa0;EL|6d4f4d51-af9b-4650-94b4-4276bee85c91;HU|6b229040-c589-4408-b4c1-4285663d20a8;NL|55c6556c-b4f4-441d-9acf-c498d4f838bd;FR|d2afafd3-4c81-4f60-8f52-ee33f2f54ff3;MT|7df99101-6854-4a26-b53a-b88c0da02c26;SL|98a412ae-eb01-49e9-ae3d-585a81724cfc</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36;#NL|55c6556c-b4f4-441d-9acf-c498d4f838bd;#31;#SL|98a412ae-eb01-49e9-ae3d-585a81724cfc;#60;#EL|6d4f4d51-af9b-4650-94b4-4276bee85c91;#59;#SPL-CES|32d8cb1f-c9ec-4365-95c7-8385a18618ac;#132;#AS|c7a748eb-f6f2-4d9d-8b5a-af0cafebc224;#19;#Unrestricted|826e22d7-d029-4ec0-a450-0c28ff673572;#53;#MT|7df99101-6854-4a26-b53a-b88c0da02c26;#51;#LV|46f7e311-5d9f-4663-b433-18aeccb7ace7;#47;#CCMI|3451ec22-e6ff-42b3-8610-379fec773b3a;#9;#TRA|150d2a88-1431-44e6-a8ca-0bb753ab8672;#45;#SV|c2ed69e7-a339-43d7-8f22-d93680a92aa0;#7;#Final|ea5e6674-7b27-4bac-b091-73adbb394efe;#23;#FR|d2afafd3-4c81-4f60-8f52-ee33f2f54ff3;#4;#EN|f2175f21-25d7-44a3-96da-d6a61b075e1b;#1;#EESC|422833ec-8d7e-4e65-8e4e-8bed07ffb729;#37;#HU|6b229040-c589-4408-b4c1-4285663d20a8</vt:lpwstr>
  </property>
  <property fmtid="{D5CDD505-2E9C-101B-9397-08002B2CF9AE}" pid="30" name="Rapporteur">
    <vt:lpwstr>DIAMANTOUROS &amp; MEYSNER</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303588</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66;#GA|762d2456-c427-4ecb-b312-af3dad8e258c</vt:lpwstr>
  </property>
  <property fmtid="{D5CDD505-2E9C-101B-9397-08002B2CF9AE}" pid="40" name="_docset_NoMedatataSyncRequired">
    <vt:lpwstr>False</vt:lpwstr>
  </property>
  <property fmtid="{D5CDD505-2E9C-101B-9397-08002B2CF9AE}" pid="41" name="MeetingNumber">
    <vt:i4>606</vt:i4>
  </property>
  <property fmtid="{D5CDD505-2E9C-101B-9397-08002B2CF9AE}" pid="42" name="DocumentLanguage_0">
    <vt:lpwstr>EN|f2175f21-25d7-44a3-96da-d6a61b075e1b</vt:lpwstr>
  </property>
</Properties>
</file>