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45C085C" w:rsidR="005D5113" w:rsidRPr="0098598C" w:rsidRDefault="00EC3DED" w:rsidP="0074642E">
      <w:pPr>
        <w:jc w:val="center"/>
      </w:pPr>
      <w:r>
        <w:rPr>
          <w:noProof/>
        </w:rPr>
        <w:drawing>
          <wp:inline distT="0" distB="0" distL="0" distR="0" wp14:anchorId="18BD2D68" wp14:editId="0EDE127B">
            <wp:extent cx="1792605" cy="1239520"/>
            <wp:effectExtent l="0" t="0" r="0" b="0"/>
            <wp:docPr id="1728611057" name="Picture 2" title="EESCLogo_DA"/>
            <wp:cNvGraphicFramePr/>
            <a:graphic xmlns:a="http://schemas.openxmlformats.org/drawingml/2006/main">
              <a:graphicData uri="http://schemas.openxmlformats.org/drawingml/2006/picture">
                <pic:pic xmlns:pic="http://schemas.openxmlformats.org/drawingml/2006/picture">
                  <pic:nvPicPr>
                    <pic:cNvPr id="1728611057" name="Picture 2" title="EESCLogo_D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2776C5">
        <w:rPr>
          <w:noProof/>
          <w:sz w:val="20"/>
        </w:rPr>
        <mc:AlternateContent>
          <mc:Choice Requires="wps">
            <w:drawing>
              <wp:anchor distT="0" distB="0" distL="0" distR="0" simplePos="0" relativeHeight="251659776" behindDoc="1" locked="0" layoutInCell="1" hidden="0" allowOverlap="1" wp14:anchorId="18BA5486" wp14:editId="69B99034">
                <wp:simplePos x="0" y="0"/>
                <wp:positionH relativeFrom="page">
                  <wp:posOffset>6759576</wp:posOffset>
                </wp:positionH>
                <wp:positionV relativeFrom="page">
                  <wp:posOffset>10071736</wp:posOffset>
                </wp:positionV>
                <wp:extent cx="666750" cy="415290"/>
                <wp:effectExtent l="0" t="0" r="0" b="0"/>
                <wp:wrapNone/>
                <wp:docPr id="1585139010" name="Rectangle 1585139010"/>
                <wp:cNvGraphicFramePr/>
                <a:graphic xmlns:a="http://schemas.openxmlformats.org/drawingml/2006/main">
                  <a:graphicData uri="http://schemas.microsoft.com/office/word/2010/wordprocessingShape">
                    <wps:wsp>
                      <wps:cNvSpPr/>
                      <wps:spPr>
                        <a:xfrm>
                          <a:off x="5022150" y="3581880"/>
                          <a:ext cx="647700" cy="396240"/>
                        </a:xfrm>
                        <a:prstGeom prst="rect">
                          <a:avLst/>
                        </a:prstGeom>
                        <a:noFill/>
                        <a:ln>
                          <a:noFill/>
                        </a:ln>
                      </wps:spPr>
                      <wps:txbx>
                        <w:txbxContent>
                          <w:p w14:paraId="51801290" w14:textId="77777777" w:rsidR="005D5113" w:rsidRDefault="002776C5">
                            <w:pPr>
                              <w:jc w:val="center"/>
                              <w:textDirection w:val="btLr"/>
                            </w:pPr>
                            <w:r>
                              <w:rPr>
                                <w:rFonts w:ascii="Arial" w:hAnsi="Arial"/>
                                <w:b/>
                                <w:color w:val="000000"/>
                                <w:sz w:val="48"/>
                              </w:rPr>
                              <w:t>DA</w:t>
                            </w:r>
                          </w:p>
                        </w:txbxContent>
                      </wps:txbx>
                      <wps:bodyPr spcFirstLastPara="1" wrap="square" lIns="91425" tIns="45700" rIns="91425" bIns="45700" anchor="t" anchorCtr="0">
                        <a:noAutofit/>
                      </wps:bodyPr>
                    </wps:wsp>
                  </a:graphicData>
                </a:graphic>
              </wp:anchor>
            </w:drawing>
          </mc:Choice>
          <mc:Fallback>
            <w:pict>
              <v:rect w14:anchorId="18BA5486" id="Rectangle 1585139010" o:spid="_x0000_s1026" style="position:absolute;left:0;text-align:left;margin-left:532.25pt;margin-top:793.05pt;width:52.5pt;height:32.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" filled="f" stroked="f">
                <v:textbox inset="2.53958mm,1.2694mm,2.53958mm,1.2694mm">
                  <w:txbxContent>
                    <w:p w14:paraId="51801290" w14:textId="77777777" w:rsidR="005D5113" w:rsidRDefault="002776C5">
                      <w:pPr>
                        <w:jc w:val="center"/>
                        <w:textDirection w:val="btLr"/>
                      </w:pPr>
                      <w:r>
                        <w:rPr>
                          <w:rFonts w:ascii="Arial" w:hAnsi="Arial"/>
                          <w:b/>
                          <w:color w:val="000000"/>
                          <w:sz w:val="48"/>
                        </w:rPr>
                        <w:t>DA</w:t>
                      </w:r>
                    </w:p>
                  </w:txbxContent>
                </v:textbox>
                <w10:wrap anchorx="page" anchory="page"/>
              </v:rect>
            </w:pict>
          </mc:Fallback>
        </mc:AlternateContent>
      </w:r>
    </w:p>
    <w:p w14:paraId="00000002" w14:textId="77777777" w:rsidR="005D5113" w:rsidRPr="0098598C" w:rsidRDefault="005D5113" w:rsidP="0074642E"/>
    <w:p w14:paraId="00000003" w14:textId="77777777" w:rsidR="005D5113" w:rsidRPr="0098598C" w:rsidRDefault="002776C5" w:rsidP="0074642E">
      <w:pPr>
        <w:jc w:val="right"/>
      </w:pPr>
      <w:proofErr w:type="spellStart"/>
      <w:r>
        <w:rPr>
          <w:b/>
        </w:rPr>
        <w:t>CCMI</w:t>
      </w:r>
      <w:proofErr w:type="spellEnd"/>
      <w:r>
        <w:rPr>
          <w:b/>
        </w:rPr>
        <w:t>/259</w:t>
      </w:r>
    </w:p>
    <w:p w14:paraId="00000004" w14:textId="77777777" w:rsidR="005D5113" w:rsidRPr="0098598C" w:rsidRDefault="002776C5" w:rsidP="0074642E">
      <w:pPr>
        <w:ind w:left="4820"/>
        <w:jc w:val="right"/>
        <w:rPr>
          <w:b/>
          <w:bCs/>
        </w:rPr>
      </w:pPr>
      <w:proofErr w:type="spellStart"/>
      <w:r>
        <w:rPr>
          <w:b/>
        </w:rPr>
        <w:t>RESourceEU</w:t>
      </w:r>
      <w:proofErr w:type="spellEnd"/>
      <w:r>
        <w:rPr>
          <w:b/>
        </w:rPr>
        <w:t>-handlingsplanen</w:t>
      </w:r>
    </w:p>
    <w:p w14:paraId="00000005" w14:textId="77777777" w:rsidR="005D5113" w:rsidRPr="0098598C" w:rsidRDefault="005D5113" w:rsidP="0074642E"/>
    <w:p w14:paraId="00000006" w14:textId="77777777" w:rsidR="005D5113" w:rsidRPr="0098598C" w:rsidRDefault="005D5113" w:rsidP="0074642E"/>
    <w:p w14:paraId="00000007" w14:textId="6C25DD2A" w:rsidR="005D5113" w:rsidRPr="0098598C" w:rsidRDefault="002776C5" w:rsidP="0074642E">
      <w:pPr>
        <w:jc w:val="center"/>
        <w:rPr>
          <w:b/>
          <w:bCs/>
          <w:sz w:val="28"/>
          <w:szCs w:val="28"/>
        </w:rPr>
      </w:pPr>
      <w:r>
        <w:rPr>
          <w:b/>
          <w:sz w:val="28"/>
        </w:rPr>
        <w:t>UDTALELSE</w:t>
      </w:r>
    </w:p>
    <w:p w14:paraId="00000008" w14:textId="77777777" w:rsidR="005D5113" w:rsidRPr="0098598C" w:rsidRDefault="005D5113" w:rsidP="0074642E">
      <w:pPr>
        <w:jc w:val="center"/>
      </w:pPr>
    </w:p>
    <w:p w14:paraId="00000009" w14:textId="77777777" w:rsidR="005D5113" w:rsidRPr="0098598C" w:rsidRDefault="002776C5" w:rsidP="0074642E">
      <w:pPr>
        <w:jc w:val="center"/>
      </w:pPr>
      <w:r>
        <w:t>Den Rådgivende Kommission for Industrielle Ændringer</w:t>
      </w:r>
    </w:p>
    <w:p w14:paraId="51D1ED50" w14:textId="77777777" w:rsidR="00203935" w:rsidRPr="0098598C" w:rsidRDefault="00203935" w:rsidP="0074642E">
      <w:pPr>
        <w:jc w:val="center"/>
      </w:pPr>
    </w:p>
    <w:p w14:paraId="0000000E" w14:textId="0134C93A" w:rsidR="005D5113" w:rsidRPr="002F4D01" w:rsidRDefault="00AE4411" w:rsidP="0074642E">
      <w:pPr>
        <w:jc w:val="center"/>
      </w:pPr>
      <w:r>
        <w:rPr>
          <w:b/>
        </w:rPr>
        <w:t>Meddelelse fra Kommissionen til Europa-Parlamentet, Rådet, Det Europæiske Økonomiske og Sociale Udvalg og Regionsudvalget</w:t>
      </w:r>
      <w:r>
        <w:rPr>
          <w:b/>
        </w:rPr>
        <w:br/>
      </w:r>
      <w:proofErr w:type="spellStart"/>
      <w:r>
        <w:rPr>
          <w:b/>
        </w:rPr>
        <w:t>RESourceEU</w:t>
      </w:r>
      <w:proofErr w:type="spellEnd"/>
      <w:r>
        <w:rPr>
          <w:b/>
        </w:rPr>
        <w:t>-handlingsplanen – Fremskyndelse af vores strategi for kritiske råstoffer for at tilpasse os en ny virkelighed</w:t>
      </w:r>
      <w:r>
        <w:br/>
        <w:t>(</w:t>
      </w:r>
      <w:proofErr w:type="gramStart"/>
      <w:r>
        <w:t>COM(</w:t>
      </w:r>
      <w:proofErr w:type="gramEnd"/>
      <w:r>
        <w:t>2025 945 final)</w:t>
      </w:r>
    </w:p>
    <w:p w14:paraId="0000000F" w14:textId="77777777" w:rsidR="005D5113" w:rsidRPr="002F4D01" w:rsidRDefault="005D5113" w:rsidP="0074642E">
      <w:pPr>
        <w:jc w:val="center"/>
        <w:rPr>
          <w:lang w:val="pt-PT"/>
        </w:rPr>
      </w:pPr>
    </w:p>
    <w:p w14:paraId="00000010" w14:textId="77777777" w:rsidR="005D5113" w:rsidRPr="008B332C" w:rsidRDefault="002776C5" w:rsidP="0074642E">
      <w:pPr>
        <w:jc w:val="center"/>
      </w:pPr>
      <w:r>
        <w:t xml:space="preserve">Ordfører: </w:t>
      </w:r>
      <w:r>
        <w:rPr>
          <w:b/>
        </w:rPr>
        <w:t xml:space="preserve">Konstantinos </w:t>
      </w:r>
      <w:proofErr w:type="spellStart"/>
      <w:r>
        <w:rPr>
          <w:b/>
        </w:rPr>
        <w:t>Diamantouros</w:t>
      </w:r>
      <w:proofErr w:type="spellEnd"/>
      <w:r>
        <w:rPr>
          <w:b/>
        </w:rPr>
        <w:t xml:space="preserve"> (</w:t>
      </w:r>
      <w:proofErr w:type="spellStart"/>
      <w:r>
        <w:rPr>
          <w:b/>
        </w:rPr>
        <w:t>EL-I</w:t>
      </w:r>
      <w:proofErr w:type="spellEnd"/>
      <w:r>
        <w:rPr>
          <w:b/>
        </w:rPr>
        <w:t>)</w:t>
      </w:r>
    </w:p>
    <w:p w14:paraId="00000011" w14:textId="77777777" w:rsidR="005D5113" w:rsidRPr="0098598C" w:rsidRDefault="002776C5" w:rsidP="0074642E">
      <w:pPr>
        <w:jc w:val="center"/>
        <w:rPr>
          <w:b/>
          <w:bCs/>
        </w:rPr>
      </w:pPr>
      <w:r>
        <w:t xml:space="preserve">Medordfører: </w:t>
      </w:r>
      <w:r>
        <w:rPr>
          <w:b/>
        </w:rPr>
        <w:t xml:space="preserve">Agata </w:t>
      </w:r>
      <w:proofErr w:type="spellStart"/>
      <w:r>
        <w:rPr>
          <w:b/>
        </w:rPr>
        <w:t>Meysner</w:t>
      </w:r>
      <w:proofErr w:type="spellEnd"/>
      <w:r>
        <w:rPr>
          <w:b/>
        </w:rPr>
        <w:t xml:space="preserve"> (PL-Kat. 3)</w:t>
      </w:r>
    </w:p>
    <w:p w14:paraId="00000012" w14:textId="77777777" w:rsidR="005D5113" w:rsidRPr="0098598C" w:rsidRDefault="005D5113" w:rsidP="0074642E"/>
    <w:p w14:paraId="0000002C" w14:textId="77777777" w:rsidR="005D5113" w:rsidRPr="0098598C" w:rsidRDefault="005D5113" w:rsidP="0074642E"/>
    <w:p w14:paraId="0000002D" w14:textId="77777777" w:rsidR="005D5113" w:rsidRPr="0098598C" w:rsidRDefault="005D5113" w:rsidP="0074642E"/>
    <w:tbl>
      <w:tblPr>
        <w:tblpPr w:leftFromText="181" w:rightFromText="181" w:vertAnchor="page" w:horzAnchor="margin" w:tblpY="13094"/>
        <w:tblW w:w="9289" w:type="dxa"/>
        <w:tblLayout w:type="fixed"/>
        <w:tblLook w:val="0400" w:firstRow="0" w:lastRow="0" w:firstColumn="0" w:lastColumn="0" w:noHBand="0" w:noVBand="1"/>
      </w:tblPr>
      <w:tblGrid>
        <w:gridCol w:w="3085"/>
        <w:gridCol w:w="6204"/>
      </w:tblGrid>
      <w:tr w:rsidR="00203935" w:rsidRPr="0098598C" w14:paraId="512E5FD9" w14:textId="77777777" w:rsidTr="006030E5">
        <w:tc>
          <w:tcPr>
            <w:tcW w:w="3085" w:type="dxa"/>
          </w:tcPr>
          <w:p w14:paraId="58F3BE13" w14:textId="77777777" w:rsidR="00203935" w:rsidRPr="0098598C" w:rsidRDefault="00203935" w:rsidP="0074642E">
            <w:pPr>
              <w:jc w:val="left"/>
            </w:pPr>
            <w:r>
              <w:t>Kontakt</w:t>
            </w:r>
          </w:p>
        </w:tc>
        <w:tc>
          <w:tcPr>
            <w:tcW w:w="6204" w:type="dxa"/>
          </w:tcPr>
          <w:p w14:paraId="19CFBA64" w14:textId="77777777" w:rsidR="00203935" w:rsidRPr="0098598C" w:rsidRDefault="003A32D1" w:rsidP="0074642E">
            <w:pPr>
              <w:jc w:val="left"/>
            </w:pPr>
            <w:hyperlink r:id="rId12" w:history="1">
              <w:proofErr w:type="spellStart"/>
              <w:r>
                <w:rPr>
                  <w:rStyle w:val="Hyperlink"/>
                </w:rPr>
                <w:t>Adam.Dorywalski@eesc.europa.eu</w:t>
              </w:r>
              <w:proofErr w:type="spellEnd"/>
            </w:hyperlink>
          </w:p>
        </w:tc>
      </w:tr>
      <w:tr w:rsidR="00203935" w:rsidRPr="0098598C" w14:paraId="1ED11616" w14:textId="77777777" w:rsidTr="006030E5">
        <w:tc>
          <w:tcPr>
            <w:tcW w:w="3085" w:type="dxa"/>
          </w:tcPr>
          <w:p w14:paraId="7B1FF9A5" w14:textId="77777777" w:rsidR="00203935" w:rsidRPr="0098598C" w:rsidRDefault="00203935" w:rsidP="0074642E">
            <w:pPr>
              <w:jc w:val="left"/>
            </w:pPr>
            <w:r>
              <w:t>Sagsbehandler</w:t>
            </w:r>
          </w:p>
        </w:tc>
        <w:tc>
          <w:tcPr>
            <w:tcW w:w="6204" w:type="dxa"/>
          </w:tcPr>
          <w:p w14:paraId="14B92BC6" w14:textId="77777777" w:rsidR="00203935" w:rsidRPr="0098598C" w:rsidRDefault="00203935" w:rsidP="0074642E">
            <w:pPr>
              <w:jc w:val="left"/>
            </w:pPr>
            <w:r>
              <w:t xml:space="preserve">Adam </w:t>
            </w:r>
            <w:proofErr w:type="spellStart"/>
            <w:r>
              <w:t>Dorywalski</w:t>
            </w:r>
            <w:proofErr w:type="spellEnd"/>
          </w:p>
        </w:tc>
      </w:tr>
      <w:tr w:rsidR="00203935" w:rsidRPr="0098598C" w14:paraId="58EE73B4" w14:textId="77777777" w:rsidTr="006030E5">
        <w:tc>
          <w:tcPr>
            <w:tcW w:w="3085" w:type="dxa"/>
          </w:tcPr>
          <w:p w14:paraId="56490496" w14:textId="77777777" w:rsidR="00203935" w:rsidRPr="0098598C" w:rsidRDefault="00203935" w:rsidP="0074642E">
            <w:pPr>
              <w:jc w:val="left"/>
            </w:pPr>
            <w:r>
              <w:t>Dokumentets dato</w:t>
            </w:r>
          </w:p>
        </w:tc>
        <w:tc>
          <w:tcPr>
            <w:tcW w:w="6204" w:type="dxa"/>
          </w:tcPr>
          <w:p w14:paraId="4A41C9FB" w14:textId="771CF670" w:rsidR="00203935" w:rsidRPr="0098598C" w:rsidRDefault="00131E9C" w:rsidP="0074642E">
            <w:pPr>
              <w:jc w:val="left"/>
            </w:pPr>
            <w:r>
              <w:t>27/5/2026</w:t>
            </w:r>
          </w:p>
        </w:tc>
      </w:tr>
    </w:tbl>
    <w:p w14:paraId="0000002E" w14:textId="12BE4666" w:rsidR="005D5113" w:rsidRPr="0098598C" w:rsidRDefault="005D5113" w:rsidP="0074642E">
      <w:pPr>
        <w:sectPr w:rsidR="005D5113" w:rsidRPr="0098598C" w:rsidSect="00131E9C">
          <w:headerReference w:type="even" r:id="rId13"/>
          <w:headerReference w:type="default" r:id="rId14"/>
          <w:footerReference w:type="even" r:id="rId15"/>
          <w:footerReference w:type="default" r:id="rId16"/>
          <w:headerReference w:type="first" r:id="rId17"/>
          <w:footerReference w:type="first" r:id="rId18"/>
          <w:pgSz w:w="11907" w:h="16839"/>
          <w:pgMar w:top="1417" w:right="1417" w:bottom="1417" w:left="1417" w:header="709" w:footer="709" w:gutter="0"/>
          <w:pgNumType w:start="1"/>
          <w:cols w:space="720"/>
          <w:docGrid w:linePitch="299"/>
        </w:sectPr>
      </w:pPr>
    </w:p>
    <w:p w14:paraId="0000004A" w14:textId="77777777" w:rsidR="005D5113" w:rsidRPr="0098598C" w:rsidRDefault="005D5113" w:rsidP="0074642E"/>
    <w:tbl>
      <w:tblPr>
        <w:tblStyle w:val="a5"/>
        <w:tblW w:w="9073" w:type="dxa"/>
        <w:tblLayout w:type="fixed"/>
        <w:tblLook w:val="0400" w:firstRow="0" w:lastRow="0" w:firstColumn="0" w:lastColumn="0" w:noHBand="0" w:noVBand="1"/>
      </w:tblPr>
      <w:tblGrid>
        <w:gridCol w:w="3055"/>
        <w:gridCol w:w="6018"/>
      </w:tblGrid>
      <w:tr w:rsidR="005D5113" w:rsidRPr="0098598C" w14:paraId="60B4C88F" w14:textId="77777777">
        <w:trPr>
          <w:trHeight w:val="251"/>
        </w:trPr>
        <w:tc>
          <w:tcPr>
            <w:tcW w:w="3055" w:type="dxa"/>
          </w:tcPr>
          <w:p w14:paraId="0000004B" w14:textId="77777777" w:rsidR="005D5113" w:rsidRPr="0098598C" w:rsidRDefault="002776C5" w:rsidP="0074642E">
            <w:pPr>
              <w:jc w:val="left"/>
            </w:pPr>
            <w:r>
              <w:t>Rådgivere</w:t>
            </w:r>
          </w:p>
        </w:tc>
        <w:tc>
          <w:tcPr>
            <w:tcW w:w="6018" w:type="dxa"/>
          </w:tcPr>
          <w:p w14:paraId="0000004C" w14:textId="42BC4340" w:rsidR="005D5113" w:rsidRPr="0098598C" w:rsidRDefault="002776C5" w:rsidP="0074642E">
            <w:pPr>
              <w:jc w:val="left"/>
            </w:pPr>
            <w:r>
              <w:t xml:space="preserve">Laura </w:t>
            </w:r>
            <w:proofErr w:type="spellStart"/>
            <w:r w:rsidR="00FE5404">
              <w:t>Blažević</w:t>
            </w:r>
            <w:proofErr w:type="spellEnd"/>
            <w:r w:rsidR="00FE5404">
              <w:t xml:space="preserve"> </w:t>
            </w:r>
            <w:r>
              <w:t>(for ordføreren, Gruppe I)</w:t>
            </w:r>
          </w:p>
          <w:p w14:paraId="0000004D" w14:textId="089DD7FF" w:rsidR="005D5113" w:rsidRPr="0098598C" w:rsidRDefault="002776C5" w:rsidP="0074642E">
            <w:pPr>
              <w:jc w:val="left"/>
            </w:pPr>
            <w:r>
              <w:t xml:space="preserve">Robin </w:t>
            </w:r>
            <w:proofErr w:type="spellStart"/>
            <w:r w:rsidR="00FE5404">
              <w:t>Roels</w:t>
            </w:r>
            <w:proofErr w:type="spellEnd"/>
            <w:r w:rsidR="00FE5404">
              <w:t xml:space="preserve"> </w:t>
            </w:r>
            <w:r>
              <w:t>(for medordføreren, Kat. 3)</w:t>
            </w:r>
          </w:p>
        </w:tc>
      </w:tr>
      <w:tr w:rsidR="005D5113" w:rsidRPr="0098598C" w14:paraId="127F0E83" w14:textId="77777777">
        <w:trPr>
          <w:trHeight w:val="251"/>
        </w:trPr>
        <w:tc>
          <w:tcPr>
            <w:tcW w:w="3055" w:type="dxa"/>
          </w:tcPr>
          <w:p w14:paraId="0000004E" w14:textId="77777777" w:rsidR="005D5113" w:rsidRPr="0098598C" w:rsidRDefault="005D5113" w:rsidP="0074642E">
            <w:pPr>
              <w:jc w:val="left"/>
            </w:pPr>
          </w:p>
        </w:tc>
        <w:tc>
          <w:tcPr>
            <w:tcW w:w="6018" w:type="dxa"/>
          </w:tcPr>
          <w:p w14:paraId="0000004F" w14:textId="77777777" w:rsidR="005D5113" w:rsidRPr="0098598C" w:rsidRDefault="005D5113" w:rsidP="0074642E">
            <w:pPr>
              <w:jc w:val="left"/>
            </w:pPr>
          </w:p>
        </w:tc>
      </w:tr>
      <w:tr w:rsidR="005D5113" w:rsidRPr="0098598C" w14:paraId="2F5C7508" w14:textId="77777777">
        <w:tc>
          <w:tcPr>
            <w:tcW w:w="3055" w:type="dxa"/>
          </w:tcPr>
          <w:p w14:paraId="00000050" w14:textId="77777777" w:rsidR="005D5113" w:rsidRPr="0098598C" w:rsidRDefault="002776C5" w:rsidP="0074642E">
            <w:pPr>
              <w:jc w:val="left"/>
            </w:pPr>
            <w:r>
              <w:t>Plenarforsamlingens beslutning</w:t>
            </w:r>
          </w:p>
        </w:tc>
        <w:tc>
          <w:tcPr>
            <w:tcW w:w="6018" w:type="dxa"/>
          </w:tcPr>
          <w:p w14:paraId="00000051" w14:textId="205268D2" w:rsidR="005D5113" w:rsidRPr="0098598C" w:rsidRDefault="00775540" w:rsidP="0074642E">
            <w:pPr>
              <w:jc w:val="left"/>
            </w:pPr>
            <w:r>
              <w:t>2/12/2025</w:t>
            </w:r>
          </w:p>
        </w:tc>
      </w:tr>
      <w:tr w:rsidR="005D5113" w:rsidRPr="0098598C" w14:paraId="09028BA7" w14:textId="77777777">
        <w:tc>
          <w:tcPr>
            <w:tcW w:w="3055" w:type="dxa"/>
          </w:tcPr>
          <w:p w14:paraId="00000052" w14:textId="77777777" w:rsidR="005D5113" w:rsidRPr="0098598C" w:rsidRDefault="002776C5" w:rsidP="0074642E">
            <w:pPr>
              <w:jc w:val="left"/>
            </w:pPr>
            <w:r>
              <w:t>Anmodning om udtalelse</w:t>
            </w:r>
          </w:p>
        </w:tc>
        <w:tc>
          <w:tcPr>
            <w:tcW w:w="6018" w:type="dxa"/>
          </w:tcPr>
          <w:p w14:paraId="00000053" w14:textId="14B94D4D" w:rsidR="005D5113" w:rsidRPr="0098598C" w:rsidRDefault="000316A4" w:rsidP="0074642E">
            <w:pPr>
              <w:jc w:val="left"/>
            </w:pPr>
            <w:r>
              <w:t>Kommissionen, 24/2/2026</w:t>
            </w:r>
          </w:p>
        </w:tc>
      </w:tr>
      <w:tr w:rsidR="005D5113" w:rsidRPr="0098598C" w14:paraId="41B42DAE" w14:textId="77777777">
        <w:tc>
          <w:tcPr>
            <w:tcW w:w="3055" w:type="dxa"/>
          </w:tcPr>
          <w:p w14:paraId="00000054" w14:textId="77777777" w:rsidR="005D5113" w:rsidRPr="0098598C" w:rsidRDefault="002776C5" w:rsidP="0074642E">
            <w:pPr>
              <w:jc w:val="left"/>
            </w:pPr>
            <w:r>
              <w:t>Retsgrundlag</w:t>
            </w:r>
          </w:p>
        </w:tc>
        <w:tc>
          <w:tcPr>
            <w:tcW w:w="6018" w:type="dxa"/>
          </w:tcPr>
          <w:p w14:paraId="00000055" w14:textId="77777777" w:rsidR="005D5113" w:rsidRPr="0098598C" w:rsidRDefault="002776C5" w:rsidP="0074642E">
            <w:pPr>
              <w:jc w:val="left"/>
            </w:pPr>
            <w:r>
              <w:t>Artikel 304 i traktaten om Den Europæiske Unions funktionsmåde</w:t>
            </w:r>
          </w:p>
        </w:tc>
      </w:tr>
      <w:tr w:rsidR="005D5113" w:rsidRPr="0098598C" w14:paraId="384945E7" w14:textId="77777777">
        <w:tc>
          <w:tcPr>
            <w:tcW w:w="3055" w:type="dxa"/>
          </w:tcPr>
          <w:p w14:paraId="00000056" w14:textId="77777777" w:rsidR="005D5113" w:rsidRPr="0098598C" w:rsidRDefault="002776C5" w:rsidP="0074642E">
            <w:pPr>
              <w:jc w:val="left"/>
            </w:pPr>
            <w:r>
              <w:t>Kompetence</w:t>
            </w:r>
          </w:p>
        </w:tc>
        <w:tc>
          <w:tcPr>
            <w:tcW w:w="6018" w:type="dxa"/>
          </w:tcPr>
          <w:p w14:paraId="00000057" w14:textId="77777777" w:rsidR="005D5113" w:rsidRPr="0098598C" w:rsidRDefault="002776C5" w:rsidP="0074642E">
            <w:pPr>
              <w:jc w:val="left"/>
            </w:pPr>
            <w:r>
              <w:t>Den Rådgivende Kommission for Industrielle Ændringer</w:t>
            </w:r>
          </w:p>
        </w:tc>
      </w:tr>
      <w:tr w:rsidR="005D5113" w:rsidRPr="0098598C" w14:paraId="6E0B72A7" w14:textId="77777777">
        <w:tc>
          <w:tcPr>
            <w:tcW w:w="3055" w:type="dxa"/>
          </w:tcPr>
          <w:p w14:paraId="00000058" w14:textId="77777777" w:rsidR="005D5113" w:rsidRPr="0098598C" w:rsidRDefault="002776C5" w:rsidP="0074642E">
            <w:pPr>
              <w:jc w:val="left"/>
            </w:pPr>
            <w:r>
              <w:t>Vedtaget i sektionen</w:t>
            </w:r>
          </w:p>
        </w:tc>
        <w:tc>
          <w:tcPr>
            <w:tcW w:w="6018" w:type="dxa"/>
          </w:tcPr>
          <w:p w14:paraId="00000059" w14:textId="38F06EBD" w:rsidR="005D5113" w:rsidRPr="0098598C" w:rsidRDefault="000316A4" w:rsidP="0074642E">
            <w:pPr>
              <w:jc w:val="left"/>
            </w:pPr>
            <w:r>
              <w:t>20/5/2026</w:t>
            </w:r>
          </w:p>
        </w:tc>
      </w:tr>
      <w:tr w:rsidR="005D5113" w:rsidRPr="0098598C" w14:paraId="483A524D" w14:textId="77777777">
        <w:tc>
          <w:tcPr>
            <w:tcW w:w="3055" w:type="dxa"/>
          </w:tcPr>
          <w:p w14:paraId="0000005A" w14:textId="77777777" w:rsidR="005D5113" w:rsidRPr="0098598C" w:rsidRDefault="002776C5" w:rsidP="00FE5404">
            <w:pPr>
              <w:ind w:right="-147"/>
              <w:jc w:val="left"/>
            </w:pPr>
            <w:r>
              <w:t>Resultat af afstemningen</w:t>
            </w:r>
            <w:r>
              <w:br/>
              <w:t>(for/imod/hverken for eller imod)</w:t>
            </w:r>
          </w:p>
        </w:tc>
        <w:tc>
          <w:tcPr>
            <w:tcW w:w="6018" w:type="dxa"/>
            <w:vAlign w:val="bottom"/>
          </w:tcPr>
          <w:p w14:paraId="0000005B" w14:textId="1E50CE87" w:rsidR="005D5113" w:rsidRPr="0098598C" w:rsidRDefault="000316A4" w:rsidP="0074642E">
            <w:pPr>
              <w:jc w:val="left"/>
            </w:pPr>
            <w:r>
              <w:t>22/0/0</w:t>
            </w:r>
          </w:p>
        </w:tc>
      </w:tr>
      <w:tr w:rsidR="005D5113" w:rsidRPr="0098598C" w14:paraId="00742187" w14:textId="77777777">
        <w:tc>
          <w:tcPr>
            <w:tcW w:w="3055" w:type="dxa"/>
          </w:tcPr>
          <w:p w14:paraId="0000005C" w14:textId="77777777" w:rsidR="005D5113" w:rsidRPr="0098598C" w:rsidRDefault="002776C5" w:rsidP="00FE5404">
            <w:pPr>
              <w:ind w:right="-147"/>
              <w:jc w:val="left"/>
            </w:pPr>
            <w:r>
              <w:t>Vedtaget på plenarforsamlingen</w:t>
            </w:r>
          </w:p>
        </w:tc>
        <w:tc>
          <w:tcPr>
            <w:tcW w:w="6018" w:type="dxa"/>
          </w:tcPr>
          <w:p w14:paraId="0000005D" w14:textId="77777777" w:rsidR="005D5113" w:rsidRPr="0098598C" w:rsidRDefault="002776C5" w:rsidP="0074642E">
            <w:pPr>
              <w:jc w:val="left"/>
            </w:pPr>
            <w:r>
              <w:t>D/M/</w:t>
            </w:r>
            <w:proofErr w:type="spellStart"/>
            <w:r>
              <w:t>YYYY</w:t>
            </w:r>
            <w:proofErr w:type="spellEnd"/>
          </w:p>
        </w:tc>
      </w:tr>
      <w:tr w:rsidR="005D5113" w:rsidRPr="0098598C" w14:paraId="0236EB73" w14:textId="77777777">
        <w:tc>
          <w:tcPr>
            <w:tcW w:w="3055" w:type="dxa"/>
          </w:tcPr>
          <w:p w14:paraId="0000005E" w14:textId="77777777" w:rsidR="005D5113" w:rsidRPr="0098598C" w:rsidRDefault="002776C5" w:rsidP="00FE5404">
            <w:pPr>
              <w:ind w:right="-147"/>
              <w:jc w:val="left"/>
            </w:pPr>
            <w:r>
              <w:t>Plenarforsamling nr.</w:t>
            </w:r>
          </w:p>
        </w:tc>
        <w:tc>
          <w:tcPr>
            <w:tcW w:w="6018" w:type="dxa"/>
          </w:tcPr>
          <w:p w14:paraId="0000005F" w14:textId="1D0FC725" w:rsidR="005D5113" w:rsidRPr="0098598C" w:rsidRDefault="000316A4" w:rsidP="0074642E">
            <w:pPr>
              <w:jc w:val="left"/>
            </w:pPr>
            <w:r>
              <w:t>606</w:t>
            </w:r>
          </w:p>
        </w:tc>
      </w:tr>
      <w:tr w:rsidR="005D5113" w:rsidRPr="0098598C" w14:paraId="0FF33F1F" w14:textId="77777777">
        <w:tc>
          <w:tcPr>
            <w:tcW w:w="3055" w:type="dxa"/>
          </w:tcPr>
          <w:p w14:paraId="00000060" w14:textId="77777777" w:rsidR="005D5113" w:rsidRPr="0098598C" w:rsidRDefault="002776C5" w:rsidP="00FE5404">
            <w:pPr>
              <w:ind w:right="-147"/>
              <w:jc w:val="left"/>
            </w:pPr>
            <w:r>
              <w:t>Resultat af afstemningen</w:t>
            </w:r>
            <w:r>
              <w:br/>
              <w:t>(for/imod/hverken for eller imod)</w:t>
            </w:r>
          </w:p>
        </w:tc>
        <w:tc>
          <w:tcPr>
            <w:tcW w:w="6018" w:type="dxa"/>
            <w:vAlign w:val="bottom"/>
          </w:tcPr>
          <w:p w14:paraId="00000061" w14:textId="77777777" w:rsidR="005D5113" w:rsidRPr="0098598C" w:rsidRDefault="002776C5" w:rsidP="0074642E">
            <w:pPr>
              <w:jc w:val="left"/>
            </w:pPr>
            <w:r>
              <w:t>…/…/…</w:t>
            </w:r>
          </w:p>
        </w:tc>
      </w:tr>
    </w:tbl>
    <w:p w14:paraId="00000062" w14:textId="77777777" w:rsidR="005D5113" w:rsidRPr="0098598C" w:rsidRDefault="002776C5" w:rsidP="0074642E">
      <w:r>
        <w:br w:type="page"/>
      </w:r>
    </w:p>
    <w:p w14:paraId="60367ABB" w14:textId="4C0AF94D" w:rsidR="00220241" w:rsidRPr="00FE5404" w:rsidRDefault="00220241" w:rsidP="00FE5404">
      <w:pPr>
        <w:pStyle w:val="Heading1"/>
        <w:numPr>
          <w:ilvl w:val="0"/>
          <w:numId w:val="1"/>
        </w:numPr>
        <w:ind w:left="567" w:hanging="567"/>
        <w:rPr>
          <w:b/>
          <w:bCs/>
        </w:rPr>
      </w:pPr>
      <w:r w:rsidRPr="00FE5404">
        <w:rPr>
          <w:b/>
        </w:rPr>
        <w:lastRenderedPageBreak/>
        <w:t>Konklusioner og anbefalinger</w:t>
      </w:r>
    </w:p>
    <w:p w14:paraId="1A622280" w14:textId="77777777" w:rsidR="00220241" w:rsidRPr="00FE5404" w:rsidRDefault="00220241" w:rsidP="00FE5404"/>
    <w:p w14:paraId="00000063" w14:textId="148C0A19" w:rsidR="005D5113" w:rsidRPr="00FE5404" w:rsidRDefault="002776C5" w:rsidP="00FE5404">
      <w:pPr>
        <w:ind w:left="567"/>
      </w:pPr>
      <w:proofErr w:type="spellStart"/>
      <w:r w:rsidRPr="00FE5404">
        <w:t>EØSU</w:t>
      </w:r>
      <w:proofErr w:type="spellEnd"/>
      <w:r w:rsidRPr="00FE5404">
        <w:t xml:space="preserve"> opfatter </w:t>
      </w:r>
      <w:proofErr w:type="spellStart"/>
      <w:r w:rsidRPr="00FE5404">
        <w:t>RESourceEU</w:t>
      </w:r>
      <w:proofErr w:type="spellEnd"/>
      <w:r w:rsidRPr="00FE5404">
        <w:t xml:space="preserve">-handlingsplanen som et vigtigt skridt i retning af at styrke modstandsdygtigheden i EU's værdikæder for kritiske råstoffer og mindske den strategiske afhængighed. Hvis dette mål skal opfyldes, kræver det imidlertid en tilgang, hvor der findes en balance mellem større europæisk produktionskapacitet, cirkularitet og ansvarlige internationale partnerskaber på den ene side og konkurrencedygtige energipriser, realistiske lovgivningsmæssige rammer og solide miljømæssige og sociale sikkerhedsforanstaltninger på den anden side. </w:t>
      </w:r>
      <w:proofErr w:type="spellStart"/>
      <w:r w:rsidRPr="00FE5404">
        <w:t>EØSU</w:t>
      </w:r>
      <w:proofErr w:type="spellEnd"/>
      <w:r w:rsidRPr="00FE5404">
        <w:t xml:space="preserve"> fremhæver derfor følgende prioriteter:</w:t>
      </w:r>
    </w:p>
    <w:p w14:paraId="00000064" w14:textId="77777777" w:rsidR="005D5113" w:rsidRPr="00FE5404" w:rsidRDefault="005D5113" w:rsidP="00FE5404"/>
    <w:p w14:paraId="00000065" w14:textId="7E88C469" w:rsidR="005D5113" w:rsidRPr="00FE5404" w:rsidRDefault="005B7F88" w:rsidP="00FE5404">
      <w:pPr>
        <w:pStyle w:val="Heading2"/>
        <w:numPr>
          <w:ilvl w:val="1"/>
          <w:numId w:val="1"/>
        </w:numPr>
        <w:ind w:left="567" w:hanging="567"/>
      </w:pPr>
      <w:r w:rsidRPr="00FE5404">
        <w:rPr>
          <w:b/>
        </w:rPr>
        <w:t>Lettere betingelser for strategiske europæiske projekter og hurtigere udstedelse af tilladelser:</w:t>
      </w:r>
      <w:r w:rsidRPr="00FE5404">
        <w:t xml:space="preserve"> De strukturelt høje industrielle energipriser bør bringes ned, og det bør gøres lettere at indgå langsigtede VE-</w:t>
      </w:r>
      <w:proofErr w:type="spellStart"/>
      <w:r w:rsidRPr="00FE5404">
        <w:t>elkøbsaftaler</w:t>
      </w:r>
      <w:proofErr w:type="spellEnd"/>
      <w:r w:rsidRPr="00FE5404">
        <w:t>. Inden for rammebestemmelserne for statsstøtte i forbindelse med aftalen om ren industri bør der være elektrificeringsstøtte til energiintensive industrier, herunder fra Innovationsfonden, og samtidig bør det sikres, at EU's emissionshandelssystem fungerer effektivt, og at initiativer som EU-klassificeringssystemet gør adgangen til finansiering af strategiske projekter lettere.</w:t>
      </w:r>
    </w:p>
    <w:p w14:paraId="00000066" w14:textId="1727847A" w:rsidR="005D5113" w:rsidRPr="00FE5404" w:rsidRDefault="005D5113" w:rsidP="00FE5404"/>
    <w:p w14:paraId="00000067" w14:textId="3E3973F8" w:rsidR="005D5113" w:rsidRPr="00FE5404" w:rsidRDefault="005B7F88" w:rsidP="00FE5404">
      <w:pPr>
        <w:pStyle w:val="Heading2"/>
        <w:numPr>
          <w:ilvl w:val="1"/>
          <w:numId w:val="1"/>
        </w:numPr>
        <w:ind w:left="567" w:hanging="567"/>
      </w:pPr>
      <w:proofErr w:type="spellStart"/>
      <w:r w:rsidRPr="00FE5404">
        <w:t>EØSU</w:t>
      </w:r>
      <w:proofErr w:type="spellEnd"/>
      <w:r w:rsidRPr="00FE5404">
        <w:t xml:space="preserve"> er bekendt med den kommende revision af vandrammedirektivet og understreger, at denne proces ikke må føre til, at miljøstandarder sænkes.</w:t>
      </w:r>
    </w:p>
    <w:p w14:paraId="6A2D5E95" w14:textId="77777777" w:rsidR="00220241" w:rsidRPr="00FE5404" w:rsidRDefault="00220241" w:rsidP="00FE5404"/>
    <w:p w14:paraId="00000069" w14:textId="6B97DEF3" w:rsidR="005D5113" w:rsidRPr="00FE5404" w:rsidRDefault="005B7F88" w:rsidP="00FE5404">
      <w:pPr>
        <w:pStyle w:val="Heading2"/>
        <w:numPr>
          <w:ilvl w:val="1"/>
          <w:numId w:val="1"/>
        </w:numPr>
        <w:ind w:left="567" w:hanging="567"/>
        <w:rPr>
          <w:color w:val="000000"/>
        </w:rPr>
      </w:pPr>
      <w:r w:rsidRPr="00FE5404">
        <w:rPr>
          <w:b/>
        </w:rPr>
        <w:t>Bedre genanvendelse og genbrug af kritiske råstoffer:</w:t>
      </w:r>
      <w:r w:rsidRPr="00FE5404">
        <w:t xml:space="preserve"> Der bør indføres en ensartet eksportafgift på aluminiumskrot for at bevare værdien i EU, og for at gøre genanvendelse og nyttiggørelse lettere bør cirkulationen af affald af kritiske råstoffer forbedres ved hjælp af forenklede og digitaliserede procedurer i henhold til forordningen om overførsel af affald med klare definitioner af affald og sekundære materialer.</w:t>
      </w:r>
      <w:r w:rsidRPr="00FE5404">
        <w:rPr>
          <w:color w:val="000000"/>
        </w:rPr>
        <w:t xml:space="preserve"> Politikkohærens bør omfatte mål for afbødning af materialefodaftryk og sektorplaner for at mindske materialeintensiteten og afhjælpe kritiske situationer i </w:t>
      </w:r>
      <w:proofErr w:type="spellStart"/>
      <w:r w:rsidRPr="00FE5404">
        <w:rPr>
          <w:color w:val="000000"/>
        </w:rPr>
        <w:t>downstreamsektorer</w:t>
      </w:r>
      <w:proofErr w:type="spellEnd"/>
      <w:r w:rsidRPr="00FE5404">
        <w:rPr>
          <w:color w:val="000000"/>
        </w:rPr>
        <w:t>.</w:t>
      </w:r>
    </w:p>
    <w:p w14:paraId="385CEC43" w14:textId="77777777" w:rsidR="00220241" w:rsidRPr="00FE5404" w:rsidRDefault="00220241" w:rsidP="00FE5404">
      <w:pPr>
        <w:pBdr>
          <w:top w:val="nil"/>
          <w:left w:val="nil"/>
          <w:bottom w:val="nil"/>
          <w:right w:val="nil"/>
          <w:between w:val="nil"/>
        </w:pBdr>
        <w:ind w:left="720"/>
        <w:rPr>
          <w:b/>
          <w:bCs/>
          <w:color w:val="000000"/>
        </w:rPr>
      </w:pPr>
    </w:p>
    <w:p w14:paraId="0000006B" w14:textId="2B93D763" w:rsidR="005D5113" w:rsidRPr="00FE5404" w:rsidRDefault="005B7F88" w:rsidP="00FE5404">
      <w:pPr>
        <w:pStyle w:val="Heading2"/>
        <w:numPr>
          <w:ilvl w:val="1"/>
          <w:numId w:val="1"/>
        </w:numPr>
        <w:ind w:left="567" w:hanging="567"/>
      </w:pPr>
      <w:r w:rsidRPr="00FE5404">
        <w:rPr>
          <w:b/>
        </w:rPr>
        <w:t>Støtte til investeringer og markedsudvikling:</w:t>
      </w:r>
      <w:r w:rsidRPr="00FE5404">
        <w:t xml:space="preserve"> Modstandsdygtigheden i EU's værdikæder for råstoffer bør styrkes ved at kombinere større indenlandsk produktion med foranstaltninger på efterspørgselssiden såsom materialeeffektivitet, produktdesign og højere genanvendelsesprocenter.</w:t>
      </w:r>
      <w:r w:rsidRPr="00FE5404">
        <w:rPr>
          <w:color w:val="000000"/>
        </w:rPr>
        <w:t xml:space="preserve"> Lageropbygning bør supplere snarere end erstatte EU's indenlandske produktion, forarbejdning og genanvendelse. Gennemsigtigheden i forvaltningen af råstoffer bør forbedres gennem bedre data om materialestrømme, lagerbeholdninger og tildelingsbeslutninger.</w:t>
      </w:r>
    </w:p>
    <w:p w14:paraId="6F33E14A" w14:textId="77777777" w:rsidR="00220241" w:rsidRPr="00FE5404" w:rsidRDefault="00220241" w:rsidP="00FE5404">
      <w:pPr>
        <w:pBdr>
          <w:top w:val="nil"/>
          <w:left w:val="nil"/>
          <w:bottom w:val="nil"/>
          <w:right w:val="nil"/>
          <w:between w:val="nil"/>
        </w:pBdr>
        <w:ind w:left="720"/>
      </w:pPr>
    </w:p>
    <w:p w14:paraId="0000006D" w14:textId="70F29B32" w:rsidR="005D5113" w:rsidRPr="00FE5404" w:rsidRDefault="005B7F88" w:rsidP="00FE5404">
      <w:pPr>
        <w:pStyle w:val="Heading2"/>
        <w:numPr>
          <w:ilvl w:val="1"/>
          <w:numId w:val="1"/>
        </w:numPr>
        <w:ind w:left="567" w:hanging="567"/>
      </w:pPr>
      <w:r w:rsidRPr="00FE5404">
        <w:rPr>
          <w:b/>
          <w:color w:val="000000"/>
        </w:rPr>
        <w:t>Opbygning af afbalancerede internationale partnerskaber:</w:t>
      </w:r>
      <w:r w:rsidRPr="00FE5404">
        <w:rPr>
          <w:color w:val="000000"/>
        </w:rPr>
        <w:t xml:space="preserve"> Forsyningen bør diversificeres gennem strategiske partnerskaber, og samtidig bør EU's udvindings-, forarbejdnings-, raffinerings- og genanvendelseskapacitet styrkes. I den nuværende geopolitiske situation er der ingen garanti for, at partnere, man tidligere har haft tillid til, også fremover vil være stabile og pålidelige leverandører af strategiske råstoffer. Unionen bør derfor mindske sin alt for store afhængighed af enkelte partnere og forfølge en strategi for diversificerede partnerskaber baseret på gensidige fordele, gennemsigtighed og solide miljø- og arbejdsstandarder.</w:t>
      </w:r>
    </w:p>
    <w:p w14:paraId="0000006E" w14:textId="77777777" w:rsidR="005D5113" w:rsidRPr="00FE5404" w:rsidRDefault="005D5113" w:rsidP="00FE5404"/>
    <w:p w14:paraId="0000006F" w14:textId="77777777" w:rsidR="005D5113" w:rsidRPr="00FE5404" w:rsidRDefault="002776C5" w:rsidP="00FE5404">
      <w:pPr>
        <w:pStyle w:val="Heading1"/>
        <w:keepNext/>
        <w:keepLines/>
        <w:numPr>
          <w:ilvl w:val="0"/>
          <w:numId w:val="1"/>
        </w:numPr>
        <w:ind w:left="567" w:hanging="567"/>
        <w:rPr>
          <w:b/>
          <w:bCs/>
        </w:rPr>
      </w:pPr>
      <w:r w:rsidRPr="00FE5404">
        <w:rPr>
          <w:b/>
        </w:rPr>
        <w:lastRenderedPageBreak/>
        <w:t>Generelle bemærkninger</w:t>
      </w:r>
    </w:p>
    <w:p w14:paraId="00000070" w14:textId="77777777" w:rsidR="005D5113" w:rsidRPr="00FE5404" w:rsidRDefault="005D5113" w:rsidP="00FE5404">
      <w:pPr>
        <w:keepNext/>
        <w:keepLines/>
      </w:pPr>
    </w:p>
    <w:p w14:paraId="00000071" w14:textId="6338DB56" w:rsidR="005D5113" w:rsidRPr="00FE5404" w:rsidRDefault="002776C5" w:rsidP="00FE5404">
      <w:pPr>
        <w:pStyle w:val="Heading2"/>
        <w:numPr>
          <w:ilvl w:val="1"/>
          <w:numId w:val="1"/>
        </w:numPr>
        <w:ind w:left="567" w:hanging="567"/>
      </w:pPr>
      <w:r w:rsidRPr="00FE5404">
        <w:t xml:space="preserve">Europa er ved at tage hul på en ny fase af sin råstofpolitik, hvor hastighed, sikkerhed og industriel skalering er de vigtigste retningsgivende principper. </w:t>
      </w:r>
      <w:proofErr w:type="spellStart"/>
      <w:r w:rsidRPr="00FE5404">
        <w:t>EØSU</w:t>
      </w:r>
      <w:proofErr w:type="spellEnd"/>
      <w:r w:rsidRPr="00FE5404">
        <w:t xml:space="preserve"> anerkender, at det haster med at mindske afhængigheden af usikre kilder og opbygge modstandsdygtige værdikæder. Nylige initiativer såsom den foreslåede retsakt om industriel fremskyndelse retter lyset mod behovet for at styrke Europas industrielle kapacitet og mindske afhængigheder. En "Made in the EU"-tilgang og bevarelse af den teknologiske førerposition inden for omstilling til ren energi kræver, at råstoffer og deres anvendelse i senere led udvikles i Europa.</w:t>
      </w:r>
    </w:p>
    <w:p w14:paraId="00000072" w14:textId="77777777" w:rsidR="005D5113" w:rsidRPr="00FE5404" w:rsidRDefault="005D5113" w:rsidP="00FE5404"/>
    <w:p w14:paraId="00000073" w14:textId="0E37775F" w:rsidR="005D5113" w:rsidRPr="00FE5404" w:rsidRDefault="002776C5" w:rsidP="00FE5404">
      <w:pPr>
        <w:pStyle w:val="Heading2"/>
        <w:numPr>
          <w:ilvl w:val="1"/>
          <w:numId w:val="1"/>
        </w:numPr>
        <w:ind w:left="567" w:hanging="567"/>
      </w:pPr>
      <w:r w:rsidRPr="00FE5404">
        <w:t xml:space="preserve">Samtidig er det vigtigt, at denne presserende situation ikke bruges som en undskyldning for at omgå demokratiske processer. En troværdig strategi skal respektere bindende miljølovgivning, arbejdstagerrettigheder og offentlig deltagelse for at undgå projektforsinkelser som følge af konflikter, retssager og skade på omdømme. </w:t>
      </w:r>
      <w:proofErr w:type="spellStart"/>
      <w:r w:rsidRPr="00FE5404">
        <w:t>RESourceEU</w:t>
      </w:r>
      <w:proofErr w:type="spellEnd"/>
      <w:r w:rsidRPr="00FE5404">
        <w:t xml:space="preserve"> bør derfor også vurderes som et forvaltningsskift. Redskaber som fælles indkøb, lageropbygning og strategisk prioritering kræver klarhed om ansvar, gennemsigtighed og tilsyn, herunder fra arbejdsmarkedets parter og civilsamfundet. Dagsordenen for konkurrenceevne skal være i overensstemmelse med strenge miljømæssige og sociale forpligtelser samt demokratiske standarder, herunder adgang til klage og domstolsprøvelse.</w:t>
      </w:r>
    </w:p>
    <w:p w14:paraId="00000074" w14:textId="77777777" w:rsidR="005D5113" w:rsidRPr="00FE5404" w:rsidRDefault="005D5113" w:rsidP="00FE5404"/>
    <w:p w14:paraId="00000075" w14:textId="77777777" w:rsidR="005D5113" w:rsidRPr="00FE5404" w:rsidRDefault="002776C5" w:rsidP="00FE5404">
      <w:pPr>
        <w:pStyle w:val="Heading2"/>
        <w:numPr>
          <w:ilvl w:val="1"/>
          <w:numId w:val="1"/>
        </w:numPr>
        <w:ind w:left="567" w:hanging="567"/>
      </w:pPr>
      <w:proofErr w:type="spellStart"/>
      <w:r w:rsidRPr="00FE5404">
        <w:t>EØSU</w:t>
      </w:r>
      <w:proofErr w:type="spellEnd"/>
      <w:r w:rsidRPr="00FE5404">
        <w:t xml:space="preserve"> glæder sig over </w:t>
      </w:r>
      <w:proofErr w:type="spellStart"/>
      <w:r w:rsidRPr="00FE5404">
        <w:t>RESourceEU</w:t>
      </w:r>
      <w:proofErr w:type="spellEnd"/>
      <w:r w:rsidRPr="00FE5404">
        <w:t>-strategien, som bygger på forordningen om kritiske råstoffer, aftalen om ren industri og handlingsplanen for stål og metal og har til formål at styrke EU's modstandsdygtighed over for forsyningsafbrydelser. Politikkohærens bør omfatte mål for afbødning af materialefodaftryk og sektorplaner for at mindske materialeintensiteten og afhjælpe kritiske situationer – navnlig inden for mobilitet, energisystemer, byggeri og digitale produkter – og tillige stærkt miljøvenligt design, genbrug, reparation og længere produktlevetid. Samtidig skal de europæiske forsyningskæder støttes for at imødekomme den stigende efterspørgsel efter strategiske og kritiske råstoffer.</w:t>
      </w:r>
    </w:p>
    <w:p w14:paraId="00000076" w14:textId="77777777" w:rsidR="005D5113" w:rsidRPr="00FE5404" w:rsidRDefault="005D5113" w:rsidP="00FE5404">
      <w:pPr>
        <w:rPr>
          <w:b/>
          <w:bCs/>
        </w:rPr>
      </w:pPr>
    </w:p>
    <w:p w14:paraId="00000077" w14:textId="77777777" w:rsidR="005D5113" w:rsidRPr="00FE5404" w:rsidRDefault="002776C5" w:rsidP="00FE5404">
      <w:pPr>
        <w:pStyle w:val="Heading1"/>
        <w:keepNext/>
        <w:keepLines/>
        <w:numPr>
          <w:ilvl w:val="0"/>
          <w:numId w:val="1"/>
        </w:numPr>
        <w:ind w:left="567" w:hanging="567"/>
      </w:pPr>
      <w:r w:rsidRPr="00FE5404">
        <w:rPr>
          <w:b/>
        </w:rPr>
        <w:t>Fremme og fremskyndelse af prioriterede projekter</w:t>
      </w:r>
    </w:p>
    <w:p w14:paraId="00000078" w14:textId="77777777" w:rsidR="005D5113" w:rsidRPr="00FE5404" w:rsidRDefault="005D5113" w:rsidP="00FE5404">
      <w:pPr>
        <w:pStyle w:val="Heading2"/>
        <w:keepNext/>
        <w:keepLines/>
        <w:numPr>
          <w:ilvl w:val="0"/>
          <w:numId w:val="0"/>
        </w:numPr>
        <w:ind w:left="567"/>
      </w:pPr>
    </w:p>
    <w:p w14:paraId="00000079" w14:textId="74174FB3" w:rsidR="005D5113" w:rsidRPr="00FE5404" w:rsidRDefault="002776C5" w:rsidP="00FE5404">
      <w:pPr>
        <w:pStyle w:val="Heading2"/>
        <w:numPr>
          <w:ilvl w:val="1"/>
          <w:numId w:val="1"/>
        </w:numPr>
        <w:ind w:left="567" w:hanging="567"/>
      </w:pPr>
      <w:proofErr w:type="spellStart"/>
      <w:r w:rsidRPr="00FE5404">
        <w:t>EØSU</w:t>
      </w:r>
      <w:proofErr w:type="spellEnd"/>
      <w:r w:rsidRPr="00FE5404">
        <w:t xml:space="preserve"> understreger, at der findes lovrammer til beskyttelse af offentlighedens interesser, miljøets integritet og arbejdstagernes rettigheder, og at disse derfor bør forbedres. Der er nogle flaskehalse for gennemførelsen af den nuværende ramme, navnlig på grund af administrative kapacitetsbegrænsninger, udsving i energipriserne og fragmenteret koordinering mellem medlemsstaterne. Social accept er en afgørende forudsætning for projekters levedygtighed og legitimitet og kræver meningsfuld inddragelse af lokalsamfundene og en stærk social dialog fra de tidligste faser, også hvad angår udstedelse af tilladelser, finansiering og partnerskaber. Ud over virksomheders projektudvikling bør der også afsættes offentlige midler til de lokale myndigheders kapacitet, uafhængig ekspertise i lokalsamfundene samt overvågning og håndhævelse.</w:t>
      </w:r>
    </w:p>
    <w:p w14:paraId="0000007A" w14:textId="77777777" w:rsidR="005D5113" w:rsidRPr="00FE5404" w:rsidRDefault="005D5113" w:rsidP="00FE5404"/>
    <w:p w14:paraId="48C7F0FD" w14:textId="215464FC" w:rsidR="008F5E24" w:rsidRPr="00FE5404" w:rsidRDefault="000647C4" w:rsidP="00FE5404">
      <w:pPr>
        <w:pStyle w:val="Heading2"/>
        <w:numPr>
          <w:ilvl w:val="1"/>
          <w:numId w:val="1"/>
        </w:numPr>
        <w:ind w:left="567" w:hanging="567"/>
      </w:pPr>
      <w:r w:rsidRPr="00FE5404">
        <w:t xml:space="preserve">EU lider fortsat under strukturelt høje energipriser sammenlignet med store konkurrenter. Den energiintensive karakter af mange aktiviteter inden for kritiske råstoffer (hvor energien i nogle tilfælde tegner sig for 50 % af driftsomkostningerne) betyder derfor, at energiomkostningerne er en afgørende faktor for, hvorvidt projekterne er levedygtige. Aftalen om ren industri er et skridt </w:t>
      </w:r>
      <w:r w:rsidRPr="00FE5404">
        <w:lastRenderedPageBreak/>
        <w:t>i den rigtige retning, men den har ikke haft nogen indvirkning på energipriserne på den korte bane.</w:t>
      </w:r>
    </w:p>
    <w:p w14:paraId="3E6BA6E0" w14:textId="77777777" w:rsidR="008F5E24" w:rsidRPr="00FE5404" w:rsidRDefault="008F5E24" w:rsidP="00FE5404"/>
    <w:p w14:paraId="0000007D" w14:textId="70EF394A" w:rsidR="005D5113" w:rsidRPr="00FE5404" w:rsidRDefault="00D16F2F" w:rsidP="00FE5404">
      <w:pPr>
        <w:pStyle w:val="Heading2"/>
        <w:numPr>
          <w:ilvl w:val="1"/>
          <w:numId w:val="1"/>
        </w:numPr>
        <w:ind w:left="567" w:hanging="567"/>
      </w:pPr>
      <w:r w:rsidRPr="00FE5404">
        <w:t>Rammebestemmelserne for statsstøtte i forbindelse med aftalen om ren industri åbner mulighed for prisstøtte til industrielle forbrugere, men de er for restriktive til at have en meningsfuld indvirkning på aktørerne inden for kritiske råstoffer</w:t>
      </w:r>
      <w:r w:rsidR="002776C5" w:rsidRPr="00ED6DE2">
        <w:rPr>
          <w:sz w:val="24"/>
          <w:vertAlign w:val="superscript"/>
        </w:rPr>
        <w:footnoteReference w:id="1"/>
      </w:r>
      <w:r w:rsidRPr="00FE5404">
        <w:t xml:space="preserve">. Der er en risiko for, at energiintensive industrier ikke kan få adgang til elektrificeringsstøtten på grund af de krav vedrørende </w:t>
      </w:r>
      <w:proofErr w:type="spellStart"/>
      <w:r w:rsidRPr="00FE5404">
        <w:t>additionalitet</w:t>
      </w:r>
      <w:proofErr w:type="spellEnd"/>
      <w:r w:rsidRPr="00FE5404">
        <w:t xml:space="preserve"> og indkøb, der knytter sig dertil, og som sædvanligvis spejler de krav, der gælder for vedvarende brint, eller forudsætter overensstemmelse med økonomisk eller teknologisk uigennemførlige løsninger. Dette er især tilfældet i regioner, hvor </w:t>
      </w:r>
      <w:proofErr w:type="spellStart"/>
      <w:r w:rsidRPr="00FE5404">
        <w:t>elsystemerne</w:t>
      </w:r>
      <w:proofErr w:type="spellEnd"/>
      <w:r w:rsidRPr="00FE5404">
        <w:t xml:space="preserve"> stadig er ved at blive omstillet, også selv om elektrificeringen allerede har ført til betydelige emissionsreduktioner.</w:t>
      </w:r>
    </w:p>
    <w:p w14:paraId="0000007E" w14:textId="77777777" w:rsidR="005D5113" w:rsidRPr="00FE5404" w:rsidRDefault="005D5113" w:rsidP="00FE5404">
      <w:pPr>
        <w:ind w:left="567"/>
      </w:pPr>
    </w:p>
    <w:p w14:paraId="0000007F" w14:textId="41C3E51F" w:rsidR="005D5113" w:rsidRPr="00FE5404" w:rsidRDefault="002776C5" w:rsidP="00FE5404">
      <w:pPr>
        <w:pStyle w:val="Heading2"/>
        <w:numPr>
          <w:ilvl w:val="1"/>
          <w:numId w:val="1"/>
        </w:numPr>
        <w:ind w:left="567" w:hanging="567"/>
      </w:pPr>
      <w:r w:rsidRPr="00FE5404">
        <w:t xml:space="preserve">Der er også fortsat hindringer for gennemførelsen af målrettede foranstaltninger som f.eks. langfristede </w:t>
      </w:r>
      <w:proofErr w:type="spellStart"/>
      <w:r w:rsidRPr="00FE5404">
        <w:t>elkøbsaftaler</w:t>
      </w:r>
      <w:proofErr w:type="spellEnd"/>
      <w:r w:rsidRPr="00FE5404">
        <w:t xml:space="preserve"> med henblik på at reducere energiomkostningerne. En central hindring er den manglende støtte til omkostninger til matchning/udformning af profiler og forsyningssikkerhed, som fremhævet i </w:t>
      </w:r>
      <w:proofErr w:type="spellStart"/>
      <w:r w:rsidRPr="00FE5404">
        <w:t>Draghirapporten</w:t>
      </w:r>
      <w:proofErr w:type="spellEnd"/>
      <w:r w:rsidRPr="00FE5404">
        <w:t xml:space="preserve">, hvilket har bremset markedet for </w:t>
      </w:r>
      <w:proofErr w:type="spellStart"/>
      <w:r w:rsidRPr="00FE5404">
        <w:t>elkøbsaftaler</w:t>
      </w:r>
      <w:proofErr w:type="spellEnd"/>
      <w:r w:rsidRPr="00FE5404">
        <w:t xml:space="preserve"> betydeligt. Andre ordninger såsom Italiens "Energy Release 2.0" bør undersøges nærmere og tilpasses til forholdene i andre medlemsstater.</w:t>
      </w:r>
    </w:p>
    <w:p w14:paraId="00000080" w14:textId="77777777" w:rsidR="005D5113" w:rsidRPr="00FE5404" w:rsidRDefault="005D5113" w:rsidP="00FE5404">
      <w:pPr>
        <w:ind w:left="567"/>
      </w:pPr>
    </w:p>
    <w:p w14:paraId="00000081" w14:textId="501E68C7" w:rsidR="005D5113" w:rsidRPr="00FE5404" w:rsidRDefault="002776C5" w:rsidP="00FE5404">
      <w:pPr>
        <w:pStyle w:val="Heading2"/>
        <w:numPr>
          <w:ilvl w:val="1"/>
          <w:numId w:val="1"/>
        </w:numPr>
        <w:ind w:left="567" w:hanging="567"/>
      </w:pPr>
      <w:proofErr w:type="spellStart"/>
      <w:r w:rsidRPr="00FE5404">
        <w:t>EØSU</w:t>
      </w:r>
      <w:proofErr w:type="spellEnd"/>
      <w:r w:rsidRPr="00FE5404">
        <w:t xml:space="preserve"> anbefaler derfor, at Kommissionen gør det nemmere for energiintensive brugere at anvende langfristede </w:t>
      </w:r>
      <w:proofErr w:type="spellStart"/>
      <w:r w:rsidRPr="00FE5404">
        <w:t>elkøbsaftaler</w:t>
      </w:r>
      <w:proofErr w:type="spellEnd"/>
      <w:r w:rsidRPr="00FE5404">
        <w:t xml:space="preserve"> og reviderer rammebestemmelserne for statsstøtte i forbindelse med aftalen om ren industri for at sikre, at industrien kan anvende elektrificeringsstøtten effektivt og dermed bidrage til EU's mål om </w:t>
      </w:r>
      <w:proofErr w:type="spellStart"/>
      <w:r w:rsidRPr="00FE5404">
        <w:t>dekarbonisering</w:t>
      </w:r>
      <w:proofErr w:type="spellEnd"/>
      <w:r w:rsidRPr="00FE5404">
        <w:t xml:space="preserve"> og konkurrenceevne uden at forvride konkurrencen. Den slags ordninger bør omfatte strenge betingelser vedrørende offentlighedens interesse, herunder rapportering, og udtrykkelige krav om sundhed og sikkerhed på arbejdspladsen, uddannelse og kvalitetsjob.</w:t>
      </w:r>
    </w:p>
    <w:p w14:paraId="00000082" w14:textId="77777777" w:rsidR="005D5113" w:rsidRPr="00FE5404" w:rsidRDefault="005D5113" w:rsidP="00FE5404">
      <w:pPr>
        <w:ind w:left="567"/>
      </w:pPr>
    </w:p>
    <w:p w14:paraId="00000083" w14:textId="77777777" w:rsidR="005D5113" w:rsidRPr="00FE5404" w:rsidRDefault="002776C5" w:rsidP="00FE5404">
      <w:pPr>
        <w:pStyle w:val="Heading2"/>
        <w:numPr>
          <w:ilvl w:val="1"/>
          <w:numId w:val="1"/>
        </w:numPr>
        <w:ind w:left="567" w:hanging="567"/>
      </w:pPr>
      <w:r w:rsidRPr="00FE5404">
        <w:t>Desuden skal enhver kortsigtet støtte af den art ledsages af klare betingelser, herunder om beskyttelse af arbejdstagerne, inddragelse af lokalsamfundet, gennemsigtighed omkring støttemodtagerne og sikkerhedsforanstaltninger mod ekstraordinære indtægter. Samtidig skal målrettede foranstaltninger, der strukturelt sænker energiomkostningerne gennem nettene, fleksibilitet og effektivitet, prioriteres.</w:t>
      </w:r>
    </w:p>
    <w:p w14:paraId="00000084" w14:textId="77777777" w:rsidR="005D5113" w:rsidRPr="00FE5404" w:rsidRDefault="005D5113" w:rsidP="00FE5404">
      <w:pPr>
        <w:ind w:left="567"/>
      </w:pPr>
    </w:p>
    <w:p w14:paraId="00000085" w14:textId="4667BD2F" w:rsidR="005D5113" w:rsidRPr="00FE5404" w:rsidRDefault="002776C5" w:rsidP="00FE5404">
      <w:pPr>
        <w:pStyle w:val="Heading2"/>
        <w:numPr>
          <w:ilvl w:val="1"/>
          <w:numId w:val="1"/>
        </w:numPr>
        <w:ind w:left="567" w:hanging="567"/>
      </w:pPr>
      <w:r w:rsidRPr="00FE5404">
        <w:t xml:space="preserve">En anden faktor, der øger omkostningspresset på aktører inden for kritiske råstoffer, er EU's emissionshandelssystem (ETS). Selv om ETS har bidraget til at </w:t>
      </w:r>
      <w:proofErr w:type="spellStart"/>
      <w:r w:rsidRPr="00FE5404">
        <w:t>dekarbonisere</w:t>
      </w:r>
      <w:proofErr w:type="spellEnd"/>
      <w:r w:rsidRPr="00FE5404">
        <w:t xml:space="preserve"> elektricitetsmikset, udgør systemet en stor omkostning for sektorer med begrænsede teknologiske alternativer, der kan reducere emissionerne. </w:t>
      </w:r>
      <w:proofErr w:type="spellStart"/>
      <w:r w:rsidRPr="00FE5404">
        <w:t>EØSU</w:t>
      </w:r>
      <w:proofErr w:type="spellEnd"/>
      <w:r w:rsidRPr="00FE5404">
        <w:t xml:space="preserve"> opfordrer derfor indtrængende Kommissionen til i tråd med konklusionerne fra EU-Rådet i marts at vurdere, hvordan ETS indvirker på økonomien, miljøet og kritiske råstoffers konkurrenceevne som led i revisionen af ETS. Samtidig er ETS fortsat en vigtig drivkraft for EU's </w:t>
      </w:r>
      <w:proofErr w:type="spellStart"/>
      <w:r w:rsidRPr="00FE5404">
        <w:t>dekarbonisering</w:t>
      </w:r>
      <w:proofErr w:type="spellEnd"/>
      <w:r w:rsidRPr="00FE5404">
        <w:t xml:space="preserve">, og systemets integritet skal bevares. Ved revisionen bør der ses på, hvordan ETS-relaterede omkostninger </w:t>
      </w:r>
      <w:r w:rsidRPr="00FE5404">
        <w:lastRenderedPageBreak/>
        <w:t>spiller sammen med materialeeffektivitetsforanstaltninger, substitutionsstrategier og cirkulær materialeanvendelse, og der må ikke foretages sektorspecifikke undtagelser, der svækker CO</w:t>
      </w:r>
      <w:r w:rsidRPr="00FE5404">
        <w:rPr>
          <w:vertAlign w:val="subscript"/>
        </w:rPr>
        <w:t>2</w:t>
      </w:r>
      <w:r w:rsidR="00ED6DE2">
        <w:noBreakHyphen/>
      </w:r>
      <w:r w:rsidRPr="00FE5404">
        <w:t xml:space="preserve">prissignalet eller flytter omkostningerne over på andre sektorer, ligesom det skal sikres, at der tages ordentligt hånd om risikoen for kulstoflækage og den internationale konkurrenceevne. Hvis produktionen af kritiske råstoffer støder på strukturelle hindringer for </w:t>
      </w:r>
      <w:proofErr w:type="spellStart"/>
      <w:r w:rsidRPr="00FE5404">
        <w:t>dekarbonisering</w:t>
      </w:r>
      <w:proofErr w:type="spellEnd"/>
      <w:r w:rsidRPr="00FE5404">
        <w:t>, bør innovationsstøtte, elektrificering, materialeeffektivitet, cirkularitet og målrettede finansieringsmekanismer prioriteres i de politiske løsninger.</w:t>
      </w:r>
    </w:p>
    <w:p w14:paraId="00000086" w14:textId="77777777" w:rsidR="005D5113" w:rsidRPr="00FE5404" w:rsidRDefault="005D5113" w:rsidP="00FE5404">
      <w:pPr>
        <w:ind w:left="567"/>
      </w:pPr>
    </w:p>
    <w:p w14:paraId="00000087" w14:textId="380E5FBD" w:rsidR="005D5113" w:rsidRPr="00FE5404" w:rsidRDefault="002776C5" w:rsidP="00FE5404">
      <w:pPr>
        <w:pStyle w:val="Heading2"/>
        <w:numPr>
          <w:ilvl w:val="1"/>
          <w:numId w:val="1"/>
        </w:numPr>
        <w:ind w:left="567" w:hanging="567"/>
      </w:pPr>
      <w:r w:rsidRPr="00FE5404">
        <w:t>Endelig påvirkes aftagningsaftaler for kritiske råstoffer af EU-klassificeringssystemet</w:t>
      </w:r>
      <w:r w:rsidRPr="00ED6DE2">
        <w:rPr>
          <w:sz w:val="24"/>
          <w:vertAlign w:val="superscript"/>
        </w:rPr>
        <w:footnoteReference w:id="2"/>
      </w:r>
      <w:r w:rsidRPr="00FE5404">
        <w:t xml:space="preserve"> og princippet om "ikke at gøre væsentlig skade". Disse aftaler blev indgået for at sikre, at offentlige og private midler ikke går til at støtte aktiviteter, der skader integriteten af EU's miljø eller investorernes tillid til grønne klassificeringssystemer. For flere aktiviteter, der involverer kritiske råstoffer, er det imidlertid endnu ikke muligt fuldt ud at opfylde de nuværende kriterier og overholde tærsklerne i klassificeringssystemet med de eksisterende teknologier, hvilket betyder, at nogle strategiske EU-projekter er i fare for ikke at kunne få adgang til finansiering, selv om de opfylder højere miljø-, arbejds- og gennemsigtighedsstandarder end tredjelande. Tærsklerne bør regelmæssigt revideres og justeres i takt med de teknologiske fremskridt. Følgevirkningerne af princippet om "ikke at gøre væsentlig skade" i EU's finansieringsprogrammer og -rammer skal justeres, så man ikke utilsigtet blokerer for, at projekter kan få adgang til finansiering.</w:t>
      </w:r>
      <w:sdt>
        <w:sdtPr>
          <w:tag w:val="goog_rdk_72"/>
          <w:id w:val="-470122961"/>
          <w:showingPlcHdr/>
        </w:sdtPr>
        <w:sdtEndPr/>
        <w:sdtContent>
          <w:r w:rsidRPr="00FE5404">
            <w:t xml:space="preserve">     </w:t>
          </w:r>
        </w:sdtContent>
      </w:sdt>
    </w:p>
    <w:p w14:paraId="00000088" w14:textId="77777777" w:rsidR="005D5113" w:rsidRPr="00FE5404" w:rsidRDefault="005D5113" w:rsidP="00FE5404">
      <w:pPr>
        <w:pStyle w:val="Heading2"/>
        <w:numPr>
          <w:ilvl w:val="0"/>
          <w:numId w:val="0"/>
        </w:numPr>
        <w:ind w:left="567"/>
      </w:pPr>
    </w:p>
    <w:p w14:paraId="00000089" w14:textId="77777777" w:rsidR="005D5113" w:rsidRPr="00FE5404" w:rsidRDefault="002776C5" w:rsidP="00FE5404">
      <w:pPr>
        <w:pStyle w:val="Heading2"/>
        <w:numPr>
          <w:ilvl w:val="1"/>
          <w:numId w:val="1"/>
        </w:numPr>
        <w:ind w:left="567" w:hanging="567"/>
      </w:pPr>
      <w:r w:rsidRPr="00FE5404">
        <w:t>Når der er tale om projekter vedrørende kritiske råstoffer, der anses for at være strategiske for EU, bør der i vurderingsrammerne skelnes mellem uundgåelige virkninger, der er uløseligt forbundet med primær udvinding, og undgåelige skader som følge af suboptimal praksis. Der må ikke være nogen indskrænkninger i miljøbeskyttelsen, når det gælder vandressourcer, biodiversitet, forureningsforebyggelse, menneskers sundhed og indvirkning på lokalsamfundene. Projekter med betydeligt lavere livscyklusemissioner end globale konkurrenter bør ikke klassificeres som projekter, der "gør væsentlig skade", og dette bør afspejles i vurderingsmetoderne. Der er behov for en mere holistisk evalueringsramme, hvor der både ses på resultater på klimaområdet og hensyn til biodiversitet, vand og forurening.</w:t>
      </w:r>
    </w:p>
    <w:p w14:paraId="0000008A" w14:textId="77777777" w:rsidR="005D5113" w:rsidRPr="00FE5404" w:rsidRDefault="005D5113" w:rsidP="00FE5404">
      <w:pPr>
        <w:ind w:left="567"/>
      </w:pPr>
    </w:p>
    <w:p w14:paraId="0000008C" w14:textId="221437AB" w:rsidR="005D5113" w:rsidRPr="00FE5404" w:rsidRDefault="002776C5" w:rsidP="00FE5404">
      <w:pPr>
        <w:pStyle w:val="Heading2"/>
        <w:numPr>
          <w:ilvl w:val="1"/>
          <w:numId w:val="1"/>
        </w:numPr>
        <w:ind w:left="567" w:hanging="567"/>
      </w:pPr>
      <w:proofErr w:type="spellStart"/>
      <w:r w:rsidRPr="00FE5404">
        <w:t>EØSU</w:t>
      </w:r>
      <w:proofErr w:type="spellEnd"/>
      <w:r w:rsidRPr="00FE5404">
        <w:t xml:space="preserve"> bemærker, at forslag om prisgulve eller garanterede mindstepriser for visse kritiske råstoffer udgør en særlig risiko. Selv om den slags mekanismer har til formål at skabe investeringssikkerhed, kan de udsætte de offentlige finanser for en betydelig finanspolitisk risiko, hvis råvarepriserne falder kraftigt, og dermed overfører </w:t>
      </w:r>
      <w:proofErr w:type="spellStart"/>
      <w:r w:rsidRPr="00FE5404">
        <w:t>markedsvolatiliteten</w:t>
      </w:r>
      <w:proofErr w:type="spellEnd"/>
      <w:r w:rsidRPr="00FE5404">
        <w:t xml:space="preserve"> til skatteyderne. Samtidig kan høj </w:t>
      </w:r>
      <w:proofErr w:type="spellStart"/>
      <w:r w:rsidRPr="00FE5404">
        <w:t>prisvolatilitet</w:t>
      </w:r>
      <w:proofErr w:type="spellEnd"/>
      <w:r w:rsidRPr="00FE5404">
        <w:t xml:space="preserve"> og lange investeringscyklusser, der er kendetegnende for projekter vedrørende kritiske råstoffer, udgøre store hindringer for investeringer i EU, og dette bør der tages hånd om.</w:t>
      </w:r>
    </w:p>
    <w:p w14:paraId="4A9109E3" w14:textId="77777777" w:rsidR="00735155" w:rsidRPr="00FE5404" w:rsidRDefault="00735155" w:rsidP="00FE5404"/>
    <w:p w14:paraId="0000008D" w14:textId="0717E820" w:rsidR="005D5113" w:rsidRPr="00FE5404" w:rsidRDefault="002776C5" w:rsidP="00FE5404">
      <w:pPr>
        <w:pStyle w:val="Heading2"/>
        <w:numPr>
          <w:ilvl w:val="1"/>
          <w:numId w:val="1"/>
        </w:numPr>
        <w:ind w:left="567" w:hanging="567"/>
      </w:pPr>
      <w:proofErr w:type="spellStart"/>
      <w:r w:rsidRPr="00FE5404">
        <w:t>EØSU</w:t>
      </w:r>
      <w:proofErr w:type="spellEnd"/>
      <w:r w:rsidRPr="00FE5404">
        <w:t xml:space="preserve"> glæder sig over Kommissionens planer om at mobilisere 3 mia. </w:t>
      </w:r>
      <w:proofErr w:type="spellStart"/>
      <w:r w:rsidRPr="00FE5404">
        <w:t>EUR</w:t>
      </w:r>
      <w:proofErr w:type="spellEnd"/>
      <w:r w:rsidRPr="00FE5404">
        <w:t xml:space="preserve"> til støtte for kritiske råstoffer. Finansieringsbehovet er dog langt større og bør afspejles i den næste </w:t>
      </w:r>
      <w:proofErr w:type="spellStart"/>
      <w:r w:rsidRPr="00FE5404">
        <w:t>FFR</w:t>
      </w:r>
      <w:proofErr w:type="spellEnd"/>
      <w:r w:rsidRPr="00FE5404">
        <w:t xml:space="preserve">. Selv om det er positivt, at der i 2025 blev øremærket 1 mia. </w:t>
      </w:r>
      <w:proofErr w:type="spellStart"/>
      <w:r w:rsidRPr="00FE5404">
        <w:t>EUR</w:t>
      </w:r>
      <w:proofErr w:type="spellEnd"/>
      <w:r w:rsidRPr="00FE5404">
        <w:t xml:space="preserve"> under Innovationsfondens indkaldelse af projekter til fremstilling af ren teknologi med fokus på værdikæder for kritiske råstoffer, er der </w:t>
      </w:r>
      <w:r w:rsidRPr="00FE5404">
        <w:lastRenderedPageBreak/>
        <w:t>en risiko for, at Innovationsfondens nuværende evalueringskriterier vil begrænse effektiviteten i forhold til strategiske råstofprojekter. Navnlig den store vægt, der lægges på en kvantificerbar grad af emissionsreduktioner, udgør en ulempe for projekter, hvis primære formål er forsyningssikkerhed, selvforsyning, modstandsdygtighed og industriel kapacitet.</w:t>
      </w:r>
    </w:p>
    <w:p w14:paraId="0000008E" w14:textId="77777777" w:rsidR="005D5113" w:rsidRPr="00FE5404" w:rsidRDefault="005D5113" w:rsidP="00FE5404">
      <w:pPr>
        <w:ind w:left="567"/>
      </w:pPr>
    </w:p>
    <w:p w14:paraId="0000008F" w14:textId="58E5C708" w:rsidR="005D5113" w:rsidRPr="00FE5404" w:rsidRDefault="002776C5" w:rsidP="00FE5404">
      <w:pPr>
        <w:pStyle w:val="Heading2"/>
        <w:numPr>
          <w:ilvl w:val="1"/>
          <w:numId w:val="1"/>
        </w:numPr>
        <w:ind w:left="567" w:hanging="567"/>
      </w:pPr>
      <w:proofErr w:type="spellStart"/>
      <w:r w:rsidRPr="00FE5404">
        <w:t>EØSU</w:t>
      </w:r>
      <w:proofErr w:type="spellEnd"/>
      <w:r w:rsidRPr="00FE5404">
        <w:t xml:space="preserve"> hilser Kommissionens plan om at fremskynde udstedelsen af miljøtilladelser velkommen. Hurtigere procedurer skal dog ledsages af tilstrækkelige investeringer i offentlige myndigheder samt støtte til konsekvensanalyser af høj kvalitet, overvågning og håndhævelseskapacitet. En fremskyndelse af processen må ikke forringe kvaliteten af konsekvensanalyser, den offentlige deltagelse, adgangen til klage og domstolsprøvelse, naturbeskyttelsesforpligtelserne eller vandbeskyttelseskravene, og enhver forenkling skal være strengt administrativ og ikke materiel.</w:t>
      </w:r>
    </w:p>
    <w:p w14:paraId="00000090" w14:textId="77777777" w:rsidR="005D5113" w:rsidRPr="00FE5404" w:rsidRDefault="005D5113" w:rsidP="00FE5404">
      <w:pPr>
        <w:ind w:left="567"/>
      </w:pPr>
    </w:p>
    <w:p w14:paraId="00000091" w14:textId="6EC78766" w:rsidR="005D5113" w:rsidRPr="00FE5404" w:rsidRDefault="001B0A92" w:rsidP="00FE5404">
      <w:pPr>
        <w:pStyle w:val="Heading2"/>
        <w:numPr>
          <w:ilvl w:val="1"/>
          <w:numId w:val="1"/>
        </w:numPr>
        <w:ind w:left="567" w:hanging="567"/>
      </w:pPr>
      <w:proofErr w:type="spellStart"/>
      <w:r w:rsidRPr="00FE5404">
        <w:t>EØSU</w:t>
      </w:r>
      <w:proofErr w:type="spellEnd"/>
      <w:r w:rsidRPr="00FE5404">
        <w:t xml:space="preserve"> er bekendt med den kommende revision af vandrammedirektivet og understreger, at denne proces ikke må føre til, at miljøstandarder sænkes. Den bør også tackle gennemførelsesudfordringerne, herunder procedurerne for udstedelse af tilladelser, og understøtte EU's strategiske autonomi gennem sikker adgang til kritiske råstoffer. </w:t>
      </w:r>
    </w:p>
    <w:p w14:paraId="00000092" w14:textId="77777777" w:rsidR="005D5113" w:rsidRPr="00FE5404" w:rsidRDefault="005D5113" w:rsidP="00FE5404">
      <w:pPr>
        <w:ind w:left="567"/>
        <w:rPr>
          <w:b/>
          <w:bCs/>
        </w:rPr>
      </w:pPr>
    </w:p>
    <w:p w14:paraId="00000093" w14:textId="77777777" w:rsidR="005D5113" w:rsidRPr="00FE5404" w:rsidRDefault="002776C5" w:rsidP="00FE5404">
      <w:pPr>
        <w:pStyle w:val="Heading1"/>
        <w:keepNext/>
        <w:keepLines/>
        <w:numPr>
          <w:ilvl w:val="0"/>
          <w:numId w:val="1"/>
        </w:numPr>
        <w:ind w:left="567" w:hanging="567"/>
      </w:pPr>
      <w:r w:rsidRPr="00FE5404">
        <w:rPr>
          <w:b/>
        </w:rPr>
        <w:t>Cirkularitet og innovation</w:t>
      </w:r>
    </w:p>
    <w:p w14:paraId="00000094" w14:textId="77777777" w:rsidR="005D5113" w:rsidRPr="00FE5404" w:rsidRDefault="005D5113" w:rsidP="00FE5404">
      <w:pPr>
        <w:keepNext/>
        <w:keepLines/>
        <w:ind w:left="567"/>
      </w:pPr>
    </w:p>
    <w:p w14:paraId="00000095" w14:textId="7C3B8C49" w:rsidR="005D5113" w:rsidRPr="00FE5404" w:rsidRDefault="002776C5" w:rsidP="00FE5404">
      <w:pPr>
        <w:pStyle w:val="Heading2"/>
        <w:numPr>
          <w:ilvl w:val="1"/>
          <w:numId w:val="1"/>
        </w:numPr>
        <w:ind w:left="567" w:hanging="567"/>
      </w:pPr>
      <w:r w:rsidRPr="00FE5404">
        <w:t xml:space="preserve">Maksimering af nyttiggørelse og genbrug af materialer, der allerede er bragt i omsætning på EU-markedet, skal være en central søjle i EU's råstof- og industristrategi ved siden af primær udvinding og diversificering af forsyningen. </w:t>
      </w:r>
      <w:proofErr w:type="spellStart"/>
      <w:r w:rsidRPr="00FE5404">
        <w:t>EØSU</w:t>
      </w:r>
      <w:proofErr w:type="spellEnd"/>
      <w:r w:rsidRPr="00FE5404">
        <w:t xml:space="preserve"> bakker op om, at der er fokus på genanvendelse af kritiske råstoffer og bedre udnyttelse af de eksisterende affaldsstrømme. Styrkelse af cirkulariteten er afgørende for at mindske afhængigheden, reducere emissionerne og styrke Europas modstandsdygtighed. Cirkularitet handler ikke blot om genanvendelse, men også om at forlænge produkters levetid og forbedre mulighederne for reparation, </w:t>
      </w:r>
      <w:proofErr w:type="spellStart"/>
      <w:r w:rsidRPr="00FE5404">
        <w:t>modulariteten</w:t>
      </w:r>
      <w:proofErr w:type="spellEnd"/>
      <w:r w:rsidRPr="00FE5404">
        <w:t xml:space="preserve"> og genanvendeligheden. Derudover bør fokus flyttes fra affaldshåndtering til ressourceforvaltning.</w:t>
      </w:r>
    </w:p>
    <w:p w14:paraId="00000096" w14:textId="77777777" w:rsidR="005D5113" w:rsidRPr="00FE5404" w:rsidRDefault="005D5113" w:rsidP="00FE5404">
      <w:pPr>
        <w:ind w:left="567"/>
      </w:pPr>
    </w:p>
    <w:p w14:paraId="00000097" w14:textId="0BF46887" w:rsidR="005D5113" w:rsidRPr="00FE5404" w:rsidRDefault="002776C5" w:rsidP="00FE5404">
      <w:pPr>
        <w:pStyle w:val="Heading2"/>
        <w:numPr>
          <w:ilvl w:val="1"/>
          <w:numId w:val="1"/>
        </w:numPr>
        <w:ind w:left="567" w:hanging="567"/>
      </w:pPr>
      <w:r w:rsidRPr="00FE5404">
        <w:t xml:space="preserve">Kommissionens meddelelse om målrettede foranstaltninger vedrørende aluminiumskrot hilses derfor velkommen, og foranstaltningerne skal iværksættes straks for at sikre, at skrot af kritiske råstoffer, der genereres i EU, overvejende bidrager til den europæiske genanvendelses- og fremstillingskapacitet. Der kan være tale om hensigtsmæssige eksportforanstaltninger såsom en ensartet eksportafgift for at afhjælpe ubalancer på markedet og forebygge kulstof- og værdilækage, og de skal være forenelige med EU's internationale forpligtelser. Foranstaltningerne bør være forholdsmæssige, gennemsigtige og tidsbegrænsede med sikkerhedsforanstaltninger, der forhindrer </w:t>
      </w:r>
      <w:proofErr w:type="spellStart"/>
      <w:r w:rsidRPr="00FE5404">
        <w:t>eksternalisering</w:t>
      </w:r>
      <w:proofErr w:type="spellEnd"/>
      <w:r w:rsidRPr="00FE5404">
        <w:t xml:space="preserve"> af miljøskader (herunder skader som følge af usikker genanvendelsespraksis, forurening og udnyttelse af arbejdskraft) og menneskerettighedsrisici og sikrer ansvarlig værdibevarelse i EU. </w:t>
      </w:r>
    </w:p>
    <w:p w14:paraId="00000098" w14:textId="77777777" w:rsidR="005D5113" w:rsidRPr="00FE5404" w:rsidRDefault="005D5113" w:rsidP="00FE5404">
      <w:pPr>
        <w:ind w:left="567"/>
      </w:pPr>
    </w:p>
    <w:p w14:paraId="00000099" w14:textId="77777777" w:rsidR="005D5113" w:rsidRPr="00FE5404" w:rsidRDefault="002776C5" w:rsidP="00FE5404">
      <w:pPr>
        <w:pStyle w:val="Heading2"/>
        <w:numPr>
          <w:ilvl w:val="1"/>
          <w:numId w:val="1"/>
        </w:numPr>
        <w:ind w:left="567" w:hanging="567"/>
      </w:pPr>
      <w:proofErr w:type="spellStart"/>
      <w:r w:rsidRPr="00FE5404">
        <w:t>EØSU</w:t>
      </w:r>
      <w:proofErr w:type="spellEnd"/>
      <w:r w:rsidRPr="00FE5404">
        <w:t xml:space="preserve"> støtter initiativer til at forbedre cirkulationen af affald af kritiske råstoffer i EU. Forenklingen og digitaliseringen af procedurerne i henhold til forordningen om overførsel af affald, herunder digital dokumentation og strømlinede administrative processer, er positive skridt. Udviklingen af et fælles digitalt system for overførsel af affald med elektronisk indsendelse og automatisk godkendelse inden for fastsatte frister vil bidrage til at mindske de </w:t>
      </w:r>
      <w:r w:rsidRPr="00FE5404">
        <w:lastRenderedPageBreak/>
        <w:t>administrative byrder. Det digitale produktpas vil forbedre sporbarheden yderligere og gøre genanvendelse af høj kvalitet lettere og dermed muliggøre bedre overvågning af miljøpræstationer, arbejdsforhold og overholdelse af due diligence-forpligtelser. Tydelig lovgivning er fortsat afgørende. Der er behov for klare og ensartede definitioner af, hvornår et materiale betragtes som affald, et produkt eller et stof – navnlig i grænseområdet mellem forordningen om overførsel af affald og kemikalielovgivningen – for at undgå forsinkelser i genanvendelse og nyttiggørelse.</w:t>
      </w:r>
    </w:p>
    <w:p w14:paraId="0000009A" w14:textId="77777777" w:rsidR="005D5113" w:rsidRPr="00FE5404" w:rsidRDefault="005D5113" w:rsidP="00FE5404">
      <w:pPr>
        <w:ind w:left="567"/>
      </w:pPr>
    </w:p>
    <w:p w14:paraId="0000009B" w14:textId="441354A4" w:rsidR="005D5113" w:rsidRPr="00FE5404" w:rsidRDefault="002776C5" w:rsidP="00FE5404">
      <w:pPr>
        <w:pStyle w:val="Heading2"/>
        <w:numPr>
          <w:ilvl w:val="1"/>
          <w:numId w:val="1"/>
        </w:numPr>
        <w:ind w:left="567" w:hanging="567"/>
      </w:pPr>
      <w:r w:rsidRPr="00FE5404">
        <w:t xml:space="preserve">Lovgivningsforanstaltninger skal desuden suppleres af rettidig finansiering og innovationsstøtte. </w:t>
      </w:r>
      <w:proofErr w:type="spellStart"/>
      <w:r w:rsidRPr="00FE5404">
        <w:t>EØSU</w:t>
      </w:r>
      <w:proofErr w:type="spellEnd"/>
      <w:r w:rsidRPr="00FE5404">
        <w:t xml:space="preserve"> understreger, at det er vigtigt, at </w:t>
      </w:r>
      <w:r w:rsidRPr="00FE5404">
        <w:rPr>
          <w:b/>
        </w:rPr>
        <w:t xml:space="preserve">de midler, der er bebudet i </w:t>
      </w:r>
      <w:proofErr w:type="spellStart"/>
      <w:r w:rsidRPr="00FE5404">
        <w:rPr>
          <w:b/>
        </w:rPr>
        <w:t>RESourceEU</w:t>
      </w:r>
      <w:proofErr w:type="spellEnd"/>
      <w:r w:rsidR="00ED6DE2">
        <w:rPr>
          <w:b/>
        </w:rPr>
        <w:noBreakHyphen/>
      </w:r>
      <w:r w:rsidRPr="00FE5404">
        <w:rPr>
          <w:b/>
        </w:rPr>
        <w:t>handlingsplanen, hurtigt bliver udnyttet</w:t>
      </w:r>
      <w:r w:rsidRPr="00FE5404">
        <w:t>, herunder til anvendelser af kritiske råstoffer på forsvarsområdet. Beslutninger om prioritering kræver imidlertid demokratisk ansvarlighed, gennemsigtighed og klare kriterier og må ikke undergrave klima- og energiomstillingsbehov eller offentlighedens interesse. Det bør sikres, at de unge deltager via rådgivende roller og struktureret høring i forvaltningsorganer og -programmer for kritiske råstoffer.</w:t>
      </w:r>
    </w:p>
    <w:p w14:paraId="0000009C" w14:textId="77777777" w:rsidR="005D5113" w:rsidRPr="00FE5404" w:rsidRDefault="005D5113" w:rsidP="00FE5404">
      <w:pPr>
        <w:ind w:left="567"/>
      </w:pPr>
    </w:p>
    <w:p w14:paraId="0000009D" w14:textId="77777777" w:rsidR="005D5113" w:rsidRPr="00FE5404" w:rsidRDefault="002776C5" w:rsidP="00FE5404">
      <w:pPr>
        <w:pStyle w:val="Heading1"/>
        <w:keepNext/>
        <w:keepLines/>
        <w:numPr>
          <w:ilvl w:val="0"/>
          <w:numId w:val="1"/>
        </w:numPr>
        <w:ind w:left="567" w:hanging="567"/>
        <w:rPr>
          <w:b/>
          <w:bCs/>
        </w:rPr>
      </w:pPr>
      <w:r w:rsidRPr="00FE5404">
        <w:rPr>
          <w:b/>
        </w:rPr>
        <w:t>Fremme af europæiske projekter og skabelse af et varigt marked</w:t>
      </w:r>
    </w:p>
    <w:p w14:paraId="0000009E" w14:textId="77777777" w:rsidR="005D5113" w:rsidRPr="00FE5404" w:rsidRDefault="005D5113" w:rsidP="00FE5404">
      <w:pPr>
        <w:keepNext/>
        <w:keepLines/>
        <w:ind w:left="567"/>
      </w:pPr>
    </w:p>
    <w:p w14:paraId="0000009F" w14:textId="54305915" w:rsidR="005D5113" w:rsidRPr="00FE5404" w:rsidRDefault="002776C5" w:rsidP="00FE5404">
      <w:pPr>
        <w:pStyle w:val="Heading2"/>
        <w:numPr>
          <w:ilvl w:val="1"/>
          <w:numId w:val="1"/>
        </w:numPr>
        <w:ind w:left="567" w:hanging="567"/>
      </w:pPr>
      <w:proofErr w:type="spellStart"/>
      <w:r w:rsidRPr="00FE5404">
        <w:t>EØSU</w:t>
      </w:r>
      <w:proofErr w:type="spellEnd"/>
      <w:r w:rsidRPr="00FE5404">
        <w:t xml:space="preserve"> støtter en styrkelse af modstandsdygtigheden i de europæiske værdikæder for kritiske råstoffer ved hjælp af markedsbaserede værktøjer, offentlig intervention og strategisk koordinering. Ud over at øge udbuddet bør der lægges større vægt på at styrke efterspørgslens kvalitet, forudsigelighed og modstandsdygtighed gennem materialeeffektivitet, bedre produktdesign, højere genanvendelsesprocenter, reduktion af affald og forlængelse af produkters levetid, og samtidig bør </w:t>
      </w:r>
      <w:proofErr w:type="spellStart"/>
      <w:r w:rsidRPr="00FE5404">
        <w:t>opskaleringen</w:t>
      </w:r>
      <w:proofErr w:type="spellEnd"/>
      <w:r w:rsidRPr="00FE5404">
        <w:t xml:space="preserve"> af bæredygtig europæisk produktion støttes. </w:t>
      </w:r>
    </w:p>
    <w:p w14:paraId="000000A0" w14:textId="77777777" w:rsidR="005D5113" w:rsidRPr="00FE5404" w:rsidRDefault="005D5113" w:rsidP="00FE5404">
      <w:pPr>
        <w:ind w:left="567"/>
      </w:pPr>
    </w:p>
    <w:p w14:paraId="000000A1" w14:textId="5DD66194" w:rsidR="005D5113" w:rsidRPr="00FE5404" w:rsidRDefault="002776C5" w:rsidP="00FE5404">
      <w:pPr>
        <w:pStyle w:val="Heading2"/>
        <w:numPr>
          <w:ilvl w:val="1"/>
          <w:numId w:val="1"/>
        </w:numPr>
        <w:ind w:left="567" w:hanging="567"/>
      </w:pPr>
      <w:r w:rsidRPr="00FE5404">
        <w:t>Lageropbygning kan bidrage til at håndtere forsyningschok på kort sigt, men kan ikke erstatte udviklingen af indenlandsk produktions- og forarbejdningskapacitet. Det er strategisk vigtigt, at EU-baserede projekter</w:t>
      </w:r>
      <w:r w:rsidRPr="00ED6DE2">
        <w:rPr>
          <w:sz w:val="24"/>
          <w:vertAlign w:val="superscript"/>
        </w:rPr>
        <w:footnoteReference w:id="3"/>
      </w:r>
      <w:r w:rsidRPr="00FE5404">
        <w:t xml:space="preserve"> styrkes for at mindske afhængigheder. Industriens bekymringer vedrørende ejerskabsmodeller, markedsforvridning og fortrængningseffekter skal afvejes i forhold til målene for modstandsdygtighed.</w:t>
      </w:r>
    </w:p>
    <w:p w14:paraId="000000A2" w14:textId="77777777" w:rsidR="005D5113" w:rsidRPr="00FE5404" w:rsidRDefault="005D5113" w:rsidP="00FE5404">
      <w:pPr>
        <w:ind w:left="567"/>
      </w:pPr>
    </w:p>
    <w:p w14:paraId="000000A3" w14:textId="046A5AA3" w:rsidR="005D5113" w:rsidRPr="00FE5404" w:rsidRDefault="002776C5" w:rsidP="00FE5404">
      <w:pPr>
        <w:pStyle w:val="Heading2"/>
        <w:numPr>
          <w:ilvl w:val="1"/>
          <w:numId w:val="1"/>
        </w:numPr>
        <w:ind w:left="567" w:hanging="567"/>
      </w:pPr>
      <w:r w:rsidRPr="00FE5404">
        <w:t xml:space="preserve">Hvad angår den foreslåede ændring af forordningen om kritiske råstoffer vedrørende diversificering af forsyningen, støtter </w:t>
      </w:r>
      <w:proofErr w:type="spellStart"/>
      <w:r w:rsidRPr="00FE5404">
        <w:t>EØSU</w:t>
      </w:r>
      <w:proofErr w:type="spellEnd"/>
      <w:r w:rsidRPr="00FE5404">
        <w:t xml:space="preserve"> risikovurderinger af forsyningskæden og større gennemsigtighed, men understreger, at diversificeringsforpligtelserne fortsat skal være forholdsmæssige og gennemførlige. Virksomhederne bør ikke være forpligtet til at diversificere, hvis der ikke findes levedygtige alternative kilder. Kommissionens indsats bør primært fokusere på understøttende foranstaltninger såsom støtte til EU's produktion, inden der overvejes obligatoriske diversificeringskrav. </w:t>
      </w:r>
      <w:proofErr w:type="spellStart"/>
      <w:r w:rsidRPr="00FE5404">
        <w:t>EØSU</w:t>
      </w:r>
      <w:proofErr w:type="spellEnd"/>
      <w:r w:rsidRPr="00FE5404">
        <w:t xml:space="preserve"> understreger også betydningen af gennemsigtighed med hensyn til data om materialestrømme, tildelingsbeslutninger, lagerbeholdninger og de offentlige finansers eksponering. Der bør oprettes en europæisk resultattavle for gennemsigtighed med hensyn til råstoffer for at muliggøre demokratisk kontrol og informeret offentlig debat. </w:t>
      </w:r>
    </w:p>
    <w:p w14:paraId="000000A4" w14:textId="77777777" w:rsidR="005D5113" w:rsidRPr="00FE5404" w:rsidRDefault="005D5113" w:rsidP="00FE5404">
      <w:pPr>
        <w:ind w:left="567"/>
      </w:pPr>
    </w:p>
    <w:p w14:paraId="000000A5" w14:textId="77777777" w:rsidR="005D5113" w:rsidRPr="00FE5404" w:rsidRDefault="002776C5" w:rsidP="00FE5404">
      <w:pPr>
        <w:pStyle w:val="Heading2"/>
        <w:numPr>
          <w:ilvl w:val="1"/>
          <w:numId w:val="1"/>
        </w:numPr>
        <w:ind w:left="567" w:hanging="567"/>
      </w:pPr>
      <w:proofErr w:type="spellStart"/>
      <w:r w:rsidRPr="00FE5404">
        <w:t>EØSU</w:t>
      </w:r>
      <w:proofErr w:type="spellEnd"/>
      <w:r w:rsidRPr="00FE5404">
        <w:t xml:space="preserve"> understreger, at diversificering ikke er et mål i sig selv. Målet skal være at mindske sårbarhed og sikre, at enhver vækst i udvindingsaktiviteter strengt overholder og forbedrer bæredygtighedsstandarderne og samtidig dæmper efterspørgslen. Partnerskaber bør derfor indgå i en bredere strategi, der omfatter såvel forsyningssikkerhed som miljømæssig integritet og global lighed.</w:t>
      </w:r>
    </w:p>
    <w:p w14:paraId="000000A6" w14:textId="77777777" w:rsidR="005D5113" w:rsidRPr="00FE5404" w:rsidRDefault="005D5113" w:rsidP="00FE5404">
      <w:pPr>
        <w:ind w:left="567"/>
      </w:pPr>
    </w:p>
    <w:p w14:paraId="000000A7" w14:textId="77777777" w:rsidR="005D5113" w:rsidRPr="00FE5404" w:rsidRDefault="002776C5" w:rsidP="00FE5404">
      <w:pPr>
        <w:pStyle w:val="Heading1"/>
        <w:keepNext/>
        <w:keepLines/>
        <w:numPr>
          <w:ilvl w:val="0"/>
          <w:numId w:val="1"/>
        </w:numPr>
        <w:ind w:left="567" w:hanging="567"/>
        <w:rPr>
          <w:b/>
          <w:bCs/>
        </w:rPr>
      </w:pPr>
      <w:r w:rsidRPr="00FE5404">
        <w:rPr>
          <w:b/>
        </w:rPr>
        <w:t>Samarbejde med tredjelande med henblik på diversificering</w:t>
      </w:r>
    </w:p>
    <w:p w14:paraId="000000A8" w14:textId="77777777" w:rsidR="005D5113" w:rsidRPr="00FE5404" w:rsidRDefault="005D5113" w:rsidP="00FE5404">
      <w:pPr>
        <w:keepNext/>
        <w:keepLines/>
        <w:ind w:left="567"/>
      </w:pPr>
    </w:p>
    <w:p w14:paraId="000000A9" w14:textId="5CF528E2" w:rsidR="005D5113" w:rsidRPr="00FE5404" w:rsidRDefault="007A59A1" w:rsidP="00FE5404">
      <w:pPr>
        <w:pStyle w:val="Heading2"/>
        <w:numPr>
          <w:ilvl w:val="1"/>
          <w:numId w:val="1"/>
        </w:numPr>
        <w:ind w:left="567" w:hanging="567"/>
      </w:pPr>
      <w:r w:rsidRPr="00FE5404">
        <w:t xml:space="preserve">Handelsdiversificering er en nødvendighed. </w:t>
      </w:r>
      <w:proofErr w:type="spellStart"/>
      <w:r w:rsidRPr="00FE5404">
        <w:t>EØSU</w:t>
      </w:r>
      <w:proofErr w:type="spellEnd"/>
      <w:r w:rsidRPr="00FE5404">
        <w:t xml:space="preserve"> bifalder Kommissionens planer om at indgå partnerskaber om kritiske råstoffer og integrere strategiske partnere i EU's værdikæde. Partnerskaber bør støtte tredjelande i at rykke op i værdikæden og udvikle deres egen industrielle kapacitet. </w:t>
      </w:r>
    </w:p>
    <w:p w14:paraId="000000AA" w14:textId="77777777" w:rsidR="005D5113" w:rsidRPr="00FE5404" w:rsidRDefault="005D5113" w:rsidP="00FE5404">
      <w:pPr>
        <w:ind w:left="567"/>
      </w:pPr>
    </w:p>
    <w:p w14:paraId="000000AB" w14:textId="409F2C76" w:rsidR="005D5113" w:rsidRPr="00FE5404" w:rsidRDefault="002776C5" w:rsidP="00FE5404">
      <w:pPr>
        <w:pStyle w:val="Heading2"/>
        <w:numPr>
          <w:ilvl w:val="1"/>
          <w:numId w:val="1"/>
        </w:numPr>
        <w:ind w:left="567" w:hanging="567"/>
      </w:pPr>
      <w:r w:rsidRPr="00FE5404">
        <w:t>Eksterne partnerskaber kan dog ikke sættes i stedet for en styrkelse af EU's interne kapacitet. I flere tilfælde har de globale konkurrenter handlet hurtigere for at sikre strategiske ressourcer, inden europæiske partnerskaber kunne blive til virkelighed</w:t>
      </w:r>
      <w:r w:rsidRPr="00ED6DE2">
        <w:rPr>
          <w:sz w:val="24"/>
          <w:vertAlign w:val="superscript"/>
        </w:rPr>
        <w:footnoteReference w:id="4"/>
      </w:r>
      <w:r w:rsidRPr="00FE5404">
        <w:t>, hvilket understreger betydningen af at udvikle kapacitet i EU.</w:t>
      </w:r>
    </w:p>
    <w:p w14:paraId="000000AC" w14:textId="77777777" w:rsidR="005D5113" w:rsidRPr="00FE5404" w:rsidRDefault="005D5113" w:rsidP="00FE5404">
      <w:pPr>
        <w:ind w:left="567"/>
      </w:pPr>
    </w:p>
    <w:p w14:paraId="000000AD" w14:textId="3579762C" w:rsidR="005D5113" w:rsidRPr="00FE5404" w:rsidRDefault="002776C5" w:rsidP="00FE5404">
      <w:pPr>
        <w:pStyle w:val="Heading2"/>
        <w:numPr>
          <w:ilvl w:val="1"/>
          <w:numId w:val="1"/>
        </w:numPr>
        <w:ind w:left="567" w:hanging="567"/>
      </w:pPr>
      <w:r w:rsidRPr="00FE5404">
        <w:t xml:space="preserve">Partnerskaberne skal omfatte stærke garantier i forhold til styring. Aftaler bør omfatte målbare </w:t>
      </w:r>
      <w:proofErr w:type="spellStart"/>
      <w:r w:rsidRPr="00FE5404">
        <w:t>benchmarks</w:t>
      </w:r>
      <w:proofErr w:type="spellEnd"/>
      <w:r w:rsidRPr="00FE5404">
        <w:t>, gennemsigtighedskrav og suspensionsklausuler i tilfælde af alvorlige miljøskader, finansiering af terrorisme, hvidvask af penge, korruption eller krænkelser af arbejdstagerrettigheder. Projekter, der udpeges som strategisk vigtige, må ikke være beskyttet mod ansvarlighedsmekanismer, og aftalememoranda og køreplaner bør være offentlige. Der bør også være opmærksomhed på korruptionsrisici, gennemsigtighed i forhold til indtægter, retfærdig fordeling af fordele, dokumentation og køreplaner, rapportering om reelt ejerskab og overensstemmelse med internationale initiativer for at forhindre, at indtægter fra ressourcer giver næring til ustabilitet eller kapres af eliten. EU's reaktion på geopolitisk konkurrence må ikke være en overførsel af magtpolitik til udvinding, da strategisk autonomi skal bygge på forudsigelige regler og retfærdige partnerskaber. Ved bl.a. at bygge på princippet om frit, forudgående og informeret samtykke (ILO 169) skal partnerskaberne derfor sikre, at berørte oprindelige folk i det relevante omfang har meningsfulde beslutningsbeføjelser over projekter, der påvirker deres områder.</w:t>
      </w:r>
    </w:p>
    <w:p w14:paraId="000000AE" w14:textId="77777777" w:rsidR="005D5113" w:rsidRPr="00FE5404" w:rsidRDefault="005D5113" w:rsidP="00FE5404">
      <w:pPr>
        <w:ind w:left="567"/>
      </w:pPr>
    </w:p>
    <w:p w14:paraId="000000AF" w14:textId="77777777" w:rsidR="005D5113" w:rsidRPr="00FE5404" w:rsidRDefault="002776C5" w:rsidP="00FE5404">
      <w:pPr>
        <w:pStyle w:val="Heading2"/>
        <w:numPr>
          <w:ilvl w:val="1"/>
          <w:numId w:val="1"/>
        </w:numPr>
        <w:ind w:left="567" w:hanging="567"/>
        <w:rPr>
          <w:b/>
          <w:bCs/>
        </w:rPr>
      </w:pPr>
      <w:r w:rsidRPr="00FE5404">
        <w:t>Der skal findes den rette balance mellem diversificering af forsyninger fra udlandet og styrkelse af indenlandsk opbygget kapacitet, når der undertegnes frihandelsaftaler. Præferencetoldbehandling af kritiske råstoffer, der produceres i stor skala i tredjelande (navnlig adgang til toldfrihed), bør vurderes omhyggeligt, hvis det indebærer en risiko for at svække incitamenterne til at investere i EU-baseret produktions- og genanvendelseskapacitet. Handelspolitikken bør derfor støtte diversificering uden at forværre kulstoflækage eller skabe yderligere afhængighed af eksterne leverandører.</w:t>
      </w:r>
    </w:p>
    <w:p w14:paraId="000000B0" w14:textId="77777777" w:rsidR="005D5113" w:rsidRPr="00FE5404" w:rsidRDefault="005D5113" w:rsidP="00FE5404">
      <w:pPr>
        <w:ind w:left="567"/>
      </w:pPr>
    </w:p>
    <w:p w14:paraId="000000B2" w14:textId="0ACA7637" w:rsidR="005D5113" w:rsidRPr="00FE5404" w:rsidRDefault="002776C5" w:rsidP="00FE5404">
      <w:pPr>
        <w:pStyle w:val="Heading2"/>
        <w:numPr>
          <w:ilvl w:val="1"/>
          <w:numId w:val="1"/>
        </w:numPr>
        <w:ind w:left="567" w:hanging="567"/>
      </w:pPr>
      <w:r w:rsidRPr="00FE5404">
        <w:lastRenderedPageBreak/>
        <w:t>Endelig bør partnerskaberne også afspejle partnerlandenes prioriteter og støtte lokal økonomisk udvikling gennem investeringer, overførsel af færdigheder og bæredygtig værdiskabelse med respekt for miljømæssige begrænsninger, sociale rettigheder og lokalsamfundets samtykke. De bør undgå at genskabe afhængighed af udvindingsindustrien eller eksternalisere miljømæssige og sociale omkostninger. Partnerskabsaftaler og de instrumenter, der knytter sig dertil, bør for at opnå troværdighed indeholde udtrykkelige bestemmelser om arbejdstagerrettigheder og håndhævelige due diligence-bestemmelser samt bestemmelser om overvågning, gennemsigtighed og retsmidler ved eventuelle skader frem for at basere sig på frivillige regler.</w:t>
      </w:r>
    </w:p>
    <w:p w14:paraId="76473B52" w14:textId="77777777" w:rsidR="00022E7C" w:rsidRPr="00FE5404" w:rsidRDefault="00022E7C" w:rsidP="00FE5404">
      <w:pPr>
        <w:ind w:left="567"/>
        <w:jc w:val="center"/>
      </w:pPr>
    </w:p>
    <w:p w14:paraId="18A2495D" w14:textId="11350EF8" w:rsidR="00287F85" w:rsidRPr="00FE5404" w:rsidRDefault="00287F85" w:rsidP="00FE5404">
      <w:pPr>
        <w:tabs>
          <w:tab w:val="left" w:pos="142"/>
        </w:tabs>
      </w:pPr>
      <w:r w:rsidRPr="00FE5404">
        <w:t>Bruxelles, den 20. maj 2026.</w:t>
      </w:r>
    </w:p>
    <w:p w14:paraId="24E543B0" w14:textId="77777777" w:rsidR="00287F85" w:rsidRPr="00FE5404" w:rsidRDefault="00287F85" w:rsidP="00FE5404"/>
    <w:p w14:paraId="0A6274AF" w14:textId="77777777" w:rsidR="00287F85" w:rsidRPr="00FE5404" w:rsidRDefault="00287F85" w:rsidP="00FE5404"/>
    <w:p w14:paraId="3C85203A" w14:textId="77777777" w:rsidR="00FE5404" w:rsidRDefault="00FE5404" w:rsidP="00FE5404">
      <w:pPr>
        <w:jc w:val="left"/>
      </w:pPr>
    </w:p>
    <w:p w14:paraId="4E3565E4" w14:textId="77777777" w:rsidR="00FE5404" w:rsidRDefault="00FE5404" w:rsidP="00FE5404">
      <w:pPr>
        <w:jc w:val="left"/>
      </w:pPr>
    </w:p>
    <w:p w14:paraId="5BB82CCC" w14:textId="5A3213FB" w:rsidR="00FE5404" w:rsidRPr="00FE5404" w:rsidRDefault="00FE5404" w:rsidP="00FE5404">
      <w:pPr>
        <w:jc w:val="left"/>
      </w:pPr>
      <w:r w:rsidRPr="00FE5404">
        <w:t xml:space="preserve">Alain </w:t>
      </w:r>
      <w:proofErr w:type="spellStart"/>
      <w:r w:rsidRPr="00FE5404">
        <w:t>Coheur</w:t>
      </w:r>
      <w:proofErr w:type="spellEnd"/>
    </w:p>
    <w:p w14:paraId="7E230475" w14:textId="0A61256C" w:rsidR="00287F85" w:rsidRPr="00FE5404" w:rsidRDefault="00287F85" w:rsidP="00FE5404">
      <w:pPr>
        <w:tabs>
          <w:tab w:val="left" w:pos="142"/>
        </w:tabs>
        <w:rPr>
          <w:i/>
          <w:iCs/>
        </w:rPr>
      </w:pPr>
      <w:r w:rsidRPr="00FE5404">
        <w:rPr>
          <w:i/>
        </w:rPr>
        <w:t>Formand for Den Rådgivende Kommission for Industrielle Ændringer</w:t>
      </w:r>
    </w:p>
    <w:p w14:paraId="7A53CE54" w14:textId="11ED6744" w:rsidR="00022E7C" w:rsidRPr="00FE5404" w:rsidRDefault="00022E7C" w:rsidP="00FE5404">
      <w:pPr>
        <w:overflowPunct w:val="0"/>
        <w:autoSpaceDE w:val="0"/>
        <w:autoSpaceDN w:val="0"/>
        <w:adjustRightInd w:val="0"/>
        <w:jc w:val="center"/>
        <w:textAlignment w:val="baseline"/>
      </w:pPr>
      <w:r w:rsidRPr="00FE5404">
        <w:t>_____________</w:t>
      </w:r>
    </w:p>
    <w:sectPr w:rsidR="00022E7C" w:rsidRPr="00FE5404" w:rsidSect="00131E9C">
      <w:headerReference w:type="even" r:id="rId19"/>
      <w:headerReference w:type="default" r:id="rId20"/>
      <w:footerReference w:type="even" r:id="rId21"/>
      <w:footerReference w:type="default" r:id="rId22"/>
      <w:headerReference w:type="first" r:id="rId23"/>
      <w:footerReference w:type="first" r:id="rId24"/>
      <w:pgSz w:w="11907" w:h="1683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0F2F9" w14:textId="77777777" w:rsidR="00E21C1D" w:rsidRDefault="00E21C1D">
      <w:pPr>
        <w:spacing w:line="240" w:lineRule="auto"/>
      </w:pPr>
      <w:r>
        <w:separator/>
      </w:r>
    </w:p>
  </w:endnote>
  <w:endnote w:type="continuationSeparator" w:id="0">
    <w:p w14:paraId="67B7964E" w14:textId="77777777" w:rsidR="00E21C1D" w:rsidRDefault="00E21C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92DE" w14:textId="77777777" w:rsidR="00535399" w:rsidRPr="00131E9C" w:rsidRDefault="00535399" w:rsidP="00131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F" w14:textId="10A477EA" w:rsidR="005D5113" w:rsidRPr="00131E9C" w:rsidRDefault="00131E9C" w:rsidP="00131E9C">
    <w:pPr>
      <w:pStyle w:val="Footer"/>
    </w:pPr>
    <w:proofErr w:type="spellStart"/>
    <w:r>
      <w:t>CCMI</w:t>
    </w:r>
    <w:proofErr w:type="spellEnd"/>
    <w:r>
      <w:t xml:space="preserve">/259 – </w:t>
    </w:r>
    <w:proofErr w:type="spellStart"/>
    <w:r>
      <w:t>EESC</w:t>
    </w:r>
    <w:proofErr w:type="spellEnd"/>
    <w:r>
      <w:t>-2026-00431-00-00-AS-</w:t>
    </w:r>
    <w:proofErr w:type="spellStart"/>
    <w:r>
      <w:t>TRA</w:t>
    </w:r>
    <w:proofErr w:type="spellEnd"/>
    <w:r>
      <w:t xml:space="preserve"> (EN) </w:t>
    </w:r>
    <w:r>
      <w:fldChar w:fldCharType="begin"/>
    </w:r>
    <w:r>
      <w:instrText xml:space="preserve"> PAGE  \* Arabic  \* MERGEFORMAT </w:instrText>
    </w:r>
    <w:r>
      <w:fldChar w:fldCharType="separate"/>
    </w:r>
    <w:r w:rsidR="00366DD9">
      <w:t>1</w:t>
    </w:r>
    <w:r>
      <w:fldChar w:fldCharType="end"/>
    </w:r>
    <w:r>
      <w:t>/</w:t>
    </w:r>
    <w:fldSimple w:instr=" NUMPAGES ">
      <w:r w:rsidR="00366DD9">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6B7F" w14:textId="77777777" w:rsidR="00535399" w:rsidRPr="00131E9C" w:rsidRDefault="00535399" w:rsidP="00131E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0" w14:textId="77777777" w:rsidR="005D5113" w:rsidRPr="00131E9C" w:rsidRDefault="005D5113" w:rsidP="00131E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1" w14:textId="38147BDB" w:rsidR="005D5113" w:rsidRPr="00131E9C" w:rsidRDefault="00131E9C" w:rsidP="00131E9C">
    <w:pPr>
      <w:pStyle w:val="Footer"/>
    </w:pPr>
    <w:proofErr w:type="spellStart"/>
    <w:r>
      <w:t>CCMI</w:t>
    </w:r>
    <w:proofErr w:type="spellEnd"/>
    <w:r>
      <w:t xml:space="preserve">/259 – </w:t>
    </w:r>
    <w:proofErr w:type="spellStart"/>
    <w:r>
      <w:t>EESC</w:t>
    </w:r>
    <w:proofErr w:type="spellEnd"/>
    <w:r>
      <w:t>-2026-00431-00-00-AS-</w:t>
    </w:r>
    <w:proofErr w:type="spellStart"/>
    <w:r>
      <w:t>TRA</w:t>
    </w:r>
    <w:proofErr w:type="spellEnd"/>
    <w:r>
      <w:t xml:space="preserve"> (EN) </w:t>
    </w:r>
    <w:r>
      <w:fldChar w:fldCharType="begin"/>
    </w:r>
    <w:r>
      <w:instrText xml:space="preserve"> PAGE  \* Arabic  \* MERGEFORMAT </w:instrText>
    </w:r>
    <w:r>
      <w:fldChar w:fldCharType="separate"/>
    </w:r>
    <w:r>
      <w:t>2</w:t>
    </w:r>
    <w:r>
      <w:fldChar w:fldCharType="end"/>
    </w:r>
    <w:r>
      <w:t>/</w:t>
    </w:r>
    <w:fldSimple w:instr=" NUMPAGES ">
      <w:r>
        <w:t>9</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2" w14:textId="77777777" w:rsidR="005D5113" w:rsidRPr="00131E9C" w:rsidRDefault="005D5113" w:rsidP="00131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F062" w14:textId="77777777" w:rsidR="00E21C1D" w:rsidRDefault="00E21C1D">
      <w:pPr>
        <w:spacing w:line="240" w:lineRule="auto"/>
      </w:pPr>
      <w:r>
        <w:separator/>
      </w:r>
    </w:p>
  </w:footnote>
  <w:footnote w:type="continuationSeparator" w:id="0">
    <w:p w14:paraId="3F5DAA07" w14:textId="77777777" w:rsidR="00E21C1D" w:rsidRDefault="00E21C1D">
      <w:pPr>
        <w:spacing w:line="240" w:lineRule="auto"/>
      </w:pPr>
      <w:r>
        <w:continuationSeparator/>
      </w:r>
    </w:p>
  </w:footnote>
  <w:footnote w:id="1">
    <w:p w14:paraId="000000B5" w14:textId="752FB8DA" w:rsidR="005D5113" w:rsidRPr="00ED6DE2" w:rsidRDefault="002776C5" w:rsidP="00ED6DE2">
      <w:pPr>
        <w:keepLines/>
        <w:spacing w:after="60" w:line="240" w:lineRule="auto"/>
        <w:ind w:left="567" w:hanging="567"/>
        <w:rPr>
          <w:color w:val="000000"/>
          <w:sz w:val="16"/>
          <w:szCs w:val="16"/>
        </w:rPr>
      </w:pPr>
      <w:r w:rsidRPr="00ED6DE2">
        <w:rPr>
          <w:rStyle w:val="FootnoteReference"/>
        </w:rPr>
        <w:footnoteRef/>
      </w:r>
      <w:r w:rsidRPr="00ED6DE2">
        <w:rPr>
          <w:sz w:val="16"/>
        </w:rPr>
        <w:tab/>
      </w:r>
      <w:r w:rsidRPr="00ED6DE2">
        <w:rPr>
          <w:color w:val="000000"/>
          <w:sz w:val="16"/>
        </w:rPr>
        <w:t>I praksis er den kumulative virkning af disse betingelser, at energiintensive industrier, der allerede modtager indirekte ETS</w:t>
      </w:r>
      <w:r w:rsidR="00ED6DE2">
        <w:rPr>
          <w:color w:val="000000"/>
          <w:sz w:val="16"/>
        </w:rPr>
        <w:noBreakHyphen/>
      </w:r>
      <w:r w:rsidRPr="00ED6DE2">
        <w:rPr>
          <w:color w:val="000000"/>
          <w:sz w:val="16"/>
        </w:rPr>
        <w:t>omkostningskompensation, reelt er udelukket fra at kunne få denne prislettelse på elektricitet. Loftet over det støtteberettigede forbrug og den støtteberettigede pris kombineret med strenge regler om øremærkning af investeringer og ikkekumulering betyder, at virksomheder, der får den maksimalt tilladte kompensation for indirekte omkostninger, ikke kan få adgang til yderligere lempelser.</w:t>
      </w:r>
    </w:p>
  </w:footnote>
  <w:footnote w:id="2">
    <w:p w14:paraId="000000B8" w14:textId="51A67E91" w:rsidR="005D5113" w:rsidRPr="00ED6DE2" w:rsidRDefault="002776C5" w:rsidP="00ED6DE2">
      <w:pPr>
        <w:keepLines/>
        <w:pBdr>
          <w:top w:val="nil"/>
          <w:left w:val="nil"/>
          <w:bottom w:val="nil"/>
          <w:right w:val="nil"/>
          <w:between w:val="nil"/>
        </w:pBdr>
        <w:spacing w:after="60" w:line="240" w:lineRule="auto"/>
        <w:ind w:left="567" w:hanging="567"/>
        <w:rPr>
          <w:color w:val="000000"/>
          <w:sz w:val="16"/>
          <w:szCs w:val="16"/>
        </w:rPr>
      </w:pPr>
      <w:r w:rsidRPr="00ED6DE2">
        <w:rPr>
          <w:rStyle w:val="FootnoteReference"/>
        </w:rPr>
        <w:footnoteRef/>
      </w:r>
      <w:r w:rsidRPr="00ED6DE2">
        <w:rPr>
          <w:sz w:val="16"/>
        </w:rPr>
        <w:tab/>
      </w:r>
      <w:r w:rsidRPr="00ED6DE2">
        <w:rPr>
          <w:color w:val="000000"/>
          <w:sz w:val="16"/>
        </w:rPr>
        <w:t>Selv EIB (kendt som Europas klimabank) oplyste i starten af 2025, at kun 1 % af dens aktiviteter lever op til EU's klassificeringssystem, og fremhævede, at systemet er alt for kompliceret og umuligt at anvende. (Kilde:</w:t>
      </w:r>
      <w:r w:rsidRPr="00ED6DE2">
        <w:rPr>
          <w:sz w:val="16"/>
        </w:rPr>
        <w:t xml:space="preserve"> </w:t>
      </w:r>
      <w:hyperlink r:id="rId1">
        <w:r w:rsidRPr="00ED6DE2">
          <w:rPr>
            <w:color w:val="0000FF"/>
            <w:sz w:val="16"/>
            <w:u w:val="single"/>
          </w:rPr>
          <w:t>Financial Times</w:t>
        </w:r>
      </w:hyperlink>
      <w:r w:rsidRPr="00ED6DE2">
        <w:rPr>
          <w:sz w:val="16"/>
        </w:rPr>
        <w:t>).</w:t>
      </w:r>
    </w:p>
  </w:footnote>
  <w:footnote w:id="3">
    <w:p w14:paraId="000000BA" w14:textId="68795A09" w:rsidR="005D5113" w:rsidRPr="00ED6DE2" w:rsidRDefault="002776C5" w:rsidP="00ED6DE2">
      <w:pPr>
        <w:keepLines/>
        <w:spacing w:after="60" w:line="240" w:lineRule="auto"/>
        <w:ind w:left="567" w:hanging="567"/>
        <w:rPr>
          <w:color w:val="000000"/>
          <w:sz w:val="16"/>
          <w:szCs w:val="16"/>
        </w:rPr>
      </w:pPr>
      <w:r w:rsidRPr="00ED6DE2">
        <w:rPr>
          <w:rStyle w:val="FootnoteReference"/>
        </w:rPr>
        <w:footnoteRef/>
      </w:r>
      <w:r w:rsidRPr="00ED6DE2">
        <w:rPr>
          <w:sz w:val="16"/>
        </w:rPr>
        <w:tab/>
      </w:r>
      <w:proofErr w:type="spellStart"/>
      <w:r w:rsidRPr="00ED6DE2">
        <w:rPr>
          <w:color w:val="000000"/>
          <w:sz w:val="16"/>
        </w:rPr>
        <w:t>EØSU</w:t>
      </w:r>
      <w:proofErr w:type="spellEnd"/>
      <w:r w:rsidRPr="00ED6DE2">
        <w:rPr>
          <w:color w:val="000000"/>
          <w:sz w:val="16"/>
        </w:rPr>
        <w:t xml:space="preserve"> bemærker, at et enkelt gallium-investeringsprojekt i EU, når det er fuldt gennemført, kan dække op til 100 % af EU</w:t>
      </w:r>
      <w:r w:rsidR="00ED6DE2">
        <w:rPr>
          <w:color w:val="000000"/>
          <w:sz w:val="16"/>
        </w:rPr>
        <w:noBreakHyphen/>
      </w:r>
      <w:r w:rsidRPr="00ED6DE2">
        <w:rPr>
          <w:color w:val="000000"/>
          <w:sz w:val="16"/>
        </w:rPr>
        <w:t>efterspørgslen og i væsentlig grad styrke forsyningssikkerheden for centrale industri- og forsvarsværdikæder.</w:t>
      </w:r>
    </w:p>
  </w:footnote>
  <w:footnote w:id="4">
    <w:p w14:paraId="000000BB" w14:textId="77777777" w:rsidR="005D5113" w:rsidRPr="00ED6DE2" w:rsidRDefault="002776C5" w:rsidP="00ED6DE2">
      <w:pPr>
        <w:keepLines/>
        <w:spacing w:after="60" w:line="240" w:lineRule="auto"/>
        <w:ind w:left="567" w:hanging="567"/>
        <w:rPr>
          <w:color w:val="000000"/>
          <w:sz w:val="16"/>
          <w:szCs w:val="16"/>
        </w:rPr>
      </w:pPr>
      <w:r w:rsidRPr="00ED6DE2">
        <w:rPr>
          <w:rStyle w:val="FootnoteReference"/>
        </w:rPr>
        <w:footnoteRef/>
      </w:r>
      <w:r w:rsidRPr="00ED6DE2">
        <w:rPr>
          <w:sz w:val="16"/>
        </w:rPr>
        <w:tab/>
      </w:r>
      <w:r w:rsidRPr="00ED6DE2">
        <w:rPr>
          <w:color w:val="000000"/>
          <w:sz w:val="16"/>
        </w:rPr>
        <w:t xml:space="preserve">Ved udgangen af 2025 gav USA's Development Finance Corporation tilsagn om op til 465 mio. USD i støtte til udvidelsen af et brasiliansk projekt om sjældne jordarter. Dette skete blot få dage før, EU-repræsentanter skulle forhandle om samme forsyningsmulighed. (Kilde: </w:t>
      </w:r>
      <w:hyperlink r:id="rId2">
        <w:r w:rsidRPr="00ED6DE2">
          <w:rPr>
            <w:color w:val="0000FF"/>
            <w:sz w:val="16"/>
            <w:u w:val="single"/>
          </w:rPr>
          <w:t>link</w:t>
        </w:r>
      </w:hyperlink>
      <w:r w:rsidRPr="00ED6DE2">
        <w:rPr>
          <w:color w:val="000000"/>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4569" w14:textId="77777777" w:rsidR="00535399" w:rsidRPr="00131E9C" w:rsidRDefault="00535399" w:rsidP="00131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152E" w14:textId="34BF055F" w:rsidR="00535399" w:rsidRPr="00131E9C" w:rsidRDefault="00535399" w:rsidP="00131E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13EF" w14:textId="77777777" w:rsidR="00535399" w:rsidRPr="00131E9C" w:rsidRDefault="00535399" w:rsidP="00131E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C" w14:textId="77777777" w:rsidR="005D5113" w:rsidRPr="00131E9C" w:rsidRDefault="005D5113" w:rsidP="00131E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D" w14:textId="2254B6BA" w:rsidR="005D5113" w:rsidRPr="00131E9C" w:rsidRDefault="005D5113" w:rsidP="00131E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E" w14:textId="77777777" w:rsidR="005D5113" w:rsidRPr="00131E9C" w:rsidRDefault="005D5113" w:rsidP="00131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B463893"/>
    <w:multiLevelType w:val="multilevel"/>
    <w:tmpl w:val="1FBEF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F1127A"/>
    <w:multiLevelType w:val="multilevel"/>
    <w:tmpl w:val="B1269CF4"/>
    <w:lvl w:ilvl="0">
      <w:start w:val="1"/>
      <w:numFmt w:val="decimal"/>
      <w:lvlText w:val="%1."/>
      <w:lvlJc w:val="left"/>
      <w:pPr>
        <w:ind w:left="0" w:firstLine="0"/>
      </w:pPr>
      <w:rPr>
        <w:b w:val="0"/>
        <w:bCs w:val="0"/>
      </w:rPr>
    </w:lvl>
    <w:lvl w:ilvl="1">
      <w:start w:val="1"/>
      <w:numFmt w:val="decimal"/>
      <w:lvlText w:val="%1.%2"/>
      <w:lvlJc w:val="left"/>
      <w:pPr>
        <w:ind w:left="0" w:firstLine="0"/>
      </w:pPr>
      <w:rPr>
        <w:b w:val="0"/>
        <w:bCs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E3F2D66"/>
    <w:multiLevelType w:val="hybridMultilevel"/>
    <w:tmpl w:val="B0D208D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912233099">
    <w:abstractNumId w:val="2"/>
  </w:num>
  <w:num w:numId="2" w16cid:durableId="2123919584">
    <w:abstractNumId w:val="1"/>
  </w:num>
  <w:num w:numId="3" w16cid:durableId="1642416387">
    <w:abstractNumId w:val="3"/>
  </w:num>
  <w:num w:numId="4" w16cid:durableId="1199199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113"/>
    <w:rsid w:val="00022E7C"/>
    <w:rsid w:val="000234EF"/>
    <w:rsid w:val="000316A4"/>
    <w:rsid w:val="000647C4"/>
    <w:rsid w:val="00097868"/>
    <w:rsid w:val="000C6526"/>
    <w:rsid w:val="00114881"/>
    <w:rsid w:val="00131E9C"/>
    <w:rsid w:val="00154487"/>
    <w:rsid w:val="00163874"/>
    <w:rsid w:val="001A17E8"/>
    <w:rsid w:val="001B0A92"/>
    <w:rsid w:val="00203935"/>
    <w:rsid w:val="00207100"/>
    <w:rsid w:val="00220241"/>
    <w:rsid w:val="00222467"/>
    <w:rsid w:val="002531AC"/>
    <w:rsid w:val="00253A4D"/>
    <w:rsid w:val="002776C5"/>
    <w:rsid w:val="00287F85"/>
    <w:rsid w:val="002C60A9"/>
    <w:rsid w:val="002F4D01"/>
    <w:rsid w:val="0033606E"/>
    <w:rsid w:val="00352E92"/>
    <w:rsid w:val="00366DD9"/>
    <w:rsid w:val="003A32D1"/>
    <w:rsid w:val="003A4D7D"/>
    <w:rsid w:val="003F7699"/>
    <w:rsid w:val="004622F2"/>
    <w:rsid w:val="00470E7F"/>
    <w:rsid w:val="004C6AC5"/>
    <w:rsid w:val="004F29A3"/>
    <w:rsid w:val="005131E9"/>
    <w:rsid w:val="00535399"/>
    <w:rsid w:val="00555C14"/>
    <w:rsid w:val="005820C5"/>
    <w:rsid w:val="005910E7"/>
    <w:rsid w:val="005B7F88"/>
    <w:rsid w:val="005C5236"/>
    <w:rsid w:val="005D5113"/>
    <w:rsid w:val="005F01A8"/>
    <w:rsid w:val="00665A23"/>
    <w:rsid w:val="00690D95"/>
    <w:rsid w:val="006D2380"/>
    <w:rsid w:val="00735155"/>
    <w:rsid w:val="0074642E"/>
    <w:rsid w:val="00775540"/>
    <w:rsid w:val="00781846"/>
    <w:rsid w:val="007A59A1"/>
    <w:rsid w:val="007F41E4"/>
    <w:rsid w:val="0080201E"/>
    <w:rsid w:val="00844C36"/>
    <w:rsid w:val="00867044"/>
    <w:rsid w:val="008A514E"/>
    <w:rsid w:val="008B332C"/>
    <w:rsid w:val="008D59E9"/>
    <w:rsid w:val="008E13D6"/>
    <w:rsid w:val="008F35A8"/>
    <w:rsid w:val="008F44C4"/>
    <w:rsid w:val="008F5E24"/>
    <w:rsid w:val="00924D4D"/>
    <w:rsid w:val="00925C2A"/>
    <w:rsid w:val="00940078"/>
    <w:rsid w:val="0098598C"/>
    <w:rsid w:val="00997578"/>
    <w:rsid w:val="009A5A03"/>
    <w:rsid w:val="009D1717"/>
    <w:rsid w:val="009E397D"/>
    <w:rsid w:val="009E6B47"/>
    <w:rsid w:val="00AB0B7A"/>
    <w:rsid w:val="00AE4411"/>
    <w:rsid w:val="00AE506F"/>
    <w:rsid w:val="00B03123"/>
    <w:rsid w:val="00B25572"/>
    <w:rsid w:val="00BB11DC"/>
    <w:rsid w:val="00BC6555"/>
    <w:rsid w:val="00C67C89"/>
    <w:rsid w:val="00CE47A1"/>
    <w:rsid w:val="00D13955"/>
    <w:rsid w:val="00D16F2F"/>
    <w:rsid w:val="00D303ED"/>
    <w:rsid w:val="00D31B1D"/>
    <w:rsid w:val="00D75726"/>
    <w:rsid w:val="00E03EDC"/>
    <w:rsid w:val="00E11CF5"/>
    <w:rsid w:val="00E21C1D"/>
    <w:rsid w:val="00E23B84"/>
    <w:rsid w:val="00E42876"/>
    <w:rsid w:val="00E55978"/>
    <w:rsid w:val="00EC3DED"/>
    <w:rsid w:val="00ED6DE2"/>
    <w:rsid w:val="00F05972"/>
    <w:rsid w:val="00F107F5"/>
    <w:rsid w:val="00F34E97"/>
    <w:rsid w:val="00F61A6D"/>
    <w:rsid w:val="00F816E9"/>
    <w:rsid w:val="00F90D13"/>
    <w:rsid w:val="00FD016F"/>
    <w:rsid w:val="00FD0BC5"/>
    <w:rsid w:val="00FE5404"/>
    <w:rsid w:val="00FE64D3"/>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fr-BE"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A6D"/>
    <w:rPr>
      <w:lang w:eastAsia="en-US"/>
    </w:rPr>
  </w:style>
  <w:style w:type="paragraph" w:styleId="Heading1">
    <w:name w:val="heading 1"/>
    <w:basedOn w:val="Normal"/>
    <w:next w:val="Normal"/>
    <w:link w:val="Heading1Char"/>
    <w:qFormat/>
    <w:rsid w:val="00F61A6D"/>
    <w:pPr>
      <w:numPr>
        <w:numId w:val="4"/>
      </w:numPr>
      <w:ind w:left="567" w:hanging="567"/>
      <w:outlineLvl w:val="0"/>
    </w:pPr>
    <w:rPr>
      <w:kern w:val="28"/>
    </w:rPr>
  </w:style>
  <w:style w:type="paragraph" w:styleId="Heading2">
    <w:name w:val="heading 2"/>
    <w:basedOn w:val="Normal"/>
    <w:next w:val="Normal"/>
    <w:link w:val="Heading2Char"/>
    <w:qFormat/>
    <w:rsid w:val="00F61A6D"/>
    <w:pPr>
      <w:numPr>
        <w:ilvl w:val="1"/>
        <w:numId w:val="4"/>
      </w:numPr>
      <w:ind w:left="567" w:hanging="567"/>
      <w:outlineLvl w:val="1"/>
    </w:pPr>
  </w:style>
  <w:style w:type="paragraph" w:styleId="Heading3">
    <w:name w:val="heading 3"/>
    <w:basedOn w:val="Normal"/>
    <w:next w:val="Normal"/>
    <w:link w:val="Heading3Char"/>
    <w:qFormat/>
    <w:rsid w:val="00F61A6D"/>
    <w:pPr>
      <w:numPr>
        <w:ilvl w:val="2"/>
        <w:numId w:val="4"/>
      </w:numPr>
      <w:ind w:left="567" w:hanging="567"/>
      <w:outlineLvl w:val="2"/>
    </w:pPr>
  </w:style>
  <w:style w:type="paragraph" w:styleId="Heading4">
    <w:name w:val="heading 4"/>
    <w:basedOn w:val="Normal"/>
    <w:next w:val="Normal"/>
    <w:link w:val="Heading4Char"/>
    <w:qFormat/>
    <w:rsid w:val="00F61A6D"/>
    <w:pPr>
      <w:numPr>
        <w:ilvl w:val="3"/>
        <w:numId w:val="4"/>
      </w:numPr>
      <w:ind w:left="567" w:hanging="567"/>
      <w:outlineLvl w:val="3"/>
    </w:pPr>
  </w:style>
  <w:style w:type="paragraph" w:styleId="Heading5">
    <w:name w:val="heading 5"/>
    <w:basedOn w:val="Normal"/>
    <w:next w:val="Normal"/>
    <w:link w:val="Heading5Char"/>
    <w:qFormat/>
    <w:rsid w:val="00F61A6D"/>
    <w:pPr>
      <w:numPr>
        <w:ilvl w:val="4"/>
        <w:numId w:val="4"/>
      </w:numPr>
      <w:ind w:left="567" w:hanging="567"/>
      <w:outlineLvl w:val="4"/>
    </w:pPr>
  </w:style>
  <w:style w:type="paragraph" w:styleId="Heading6">
    <w:name w:val="heading 6"/>
    <w:basedOn w:val="Normal"/>
    <w:next w:val="Normal"/>
    <w:link w:val="Heading6Char"/>
    <w:qFormat/>
    <w:rsid w:val="00F61A6D"/>
    <w:pPr>
      <w:numPr>
        <w:ilvl w:val="5"/>
        <w:numId w:val="4"/>
      </w:numPr>
      <w:ind w:left="567" w:hanging="567"/>
      <w:outlineLvl w:val="5"/>
    </w:pPr>
  </w:style>
  <w:style w:type="paragraph" w:styleId="Heading7">
    <w:name w:val="heading 7"/>
    <w:basedOn w:val="Normal"/>
    <w:next w:val="Normal"/>
    <w:link w:val="Heading7Char"/>
    <w:qFormat/>
    <w:rsid w:val="00F61A6D"/>
    <w:pPr>
      <w:numPr>
        <w:ilvl w:val="6"/>
        <w:numId w:val="4"/>
      </w:numPr>
      <w:ind w:left="567" w:hanging="567"/>
      <w:outlineLvl w:val="6"/>
    </w:pPr>
  </w:style>
  <w:style w:type="paragraph" w:styleId="Heading8">
    <w:name w:val="heading 8"/>
    <w:basedOn w:val="Normal"/>
    <w:next w:val="Normal"/>
    <w:link w:val="Heading8Char"/>
    <w:qFormat/>
    <w:rsid w:val="00F61A6D"/>
    <w:pPr>
      <w:numPr>
        <w:ilvl w:val="7"/>
        <w:numId w:val="4"/>
      </w:numPr>
      <w:ind w:left="567" w:hanging="567"/>
      <w:outlineLvl w:val="7"/>
    </w:pPr>
  </w:style>
  <w:style w:type="paragraph" w:styleId="Heading9">
    <w:name w:val="heading 9"/>
    <w:basedOn w:val="Normal"/>
    <w:next w:val="Normal"/>
    <w:link w:val="Heading9Char"/>
    <w:qFormat/>
    <w:rsid w:val="00F61A6D"/>
    <w:pPr>
      <w:numPr>
        <w:ilvl w:val="8"/>
        <w:numId w:val="4"/>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da-DK" w:eastAsia="en-US"/>
    </w:rPr>
  </w:style>
  <w:style w:type="character" w:customStyle="1" w:styleId="Heading2Char">
    <w:name w:val="Heading 2 Char"/>
    <w:basedOn w:val="DefaultParagraphFont"/>
    <w:link w:val="Heading2"/>
    <w:locked/>
    <w:rsid w:val="00CB1536"/>
    <w:rPr>
      <w:lang w:val="da-DK" w:eastAsia="en-US"/>
    </w:rPr>
  </w:style>
  <w:style w:type="character" w:customStyle="1" w:styleId="Heading3Char">
    <w:name w:val="Heading 3 Char"/>
    <w:basedOn w:val="DefaultParagraphFont"/>
    <w:link w:val="Heading3"/>
    <w:locked/>
    <w:rsid w:val="00CB1536"/>
    <w:rPr>
      <w:lang w:val="da-DK" w:eastAsia="en-US"/>
    </w:rPr>
  </w:style>
  <w:style w:type="character" w:customStyle="1" w:styleId="Heading4Char">
    <w:name w:val="Heading 4 Char"/>
    <w:basedOn w:val="DefaultParagraphFont"/>
    <w:link w:val="Heading4"/>
    <w:locked/>
    <w:rsid w:val="00CB1536"/>
    <w:rPr>
      <w:lang w:val="da-DK" w:eastAsia="en-US"/>
    </w:rPr>
  </w:style>
  <w:style w:type="character" w:customStyle="1" w:styleId="Heading5Char">
    <w:name w:val="Heading 5 Char"/>
    <w:basedOn w:val="DefaultParagraphFont"/>
    <w:link w:val="Heading5"/>
    <w:locked/>
    <w:rsid w:val="00CB1536"/>
    <w:rPr>
      <w:lang w:val="da-DK" w:eastAsia="en-US"/>
    </w:rPr>
  </w:style>
  <w:style w:type="character" w:customStyle="1" w:styleId="Heading6Char">
    <w:name w:val="Heading 6 Char"/>
    <w:basedOn w:val="DefaultParagraphFont"/>
    <w:link w:val="Heading6"/>
    <w:locked/>
    <w:rsid w:val="00CB1536"/>
    <w:rPr>
      <w:lang w:val="da-DK" w:eastAsia="en-US"/>
    </w:rPr>
  </w:style>
  <w:style w:type="character" w:customStyle="1" w:styleId="Heading7Char">
    <w:name w:val="Heading 7 Char"/>
    <w:basedOn w:val="DefaultParagraphFont"/>
    <w:link w:val="Heading7"/>
    <w:locked/>
    <w:rsid w:val="00CB1536"/>
    <w:rPr>
      <w:lang w:val="da-DK" w:eastAsia="en-US"/>
    </w:rPr>
  </w:style>
  <w:style w:type="character" w:customStyle="1" w:styleId="Heading8Char">
    <w:name w:val="Heading 8 Char"/>
    <w:basedOn w:val="DefaultParagraphFont"/>
    <w:link w:val="Heading8"/>
    <w:locked/>
    <w:rsid w:val="00CB1536"/>
    <w:rPr>
      <w:lang w:val="da-DK" w:eastAsia="en-US"/>
    </w:rPr>
  </w:style>
  <w:style w:type="character" w:customStyle="1" w:styleId="Heading9Char">
    <w:name w:val="Heading 9 Char"/>
    <w:basedOn w:val="DefaultParagraphFont"/>
    <w:link w:val="Heading9"/>
    <w:locked/>
    <w:rsid w:val="00CB1536"/>
    <w:rPr>
      <w:lang w:val="da-DK" w:eastAsia="en-US"/>
    </w:rPr>
  </w:style>
  <w:style w:type="paragraph" w:styleId="Footer">
    <w:name w:val="footer"/>
    <w:basedOn w:val="Normal"/>
    <w:link w:val="FooterChar"/>
    <w:qFormat/>
    <w:rsid w:val="00F61A6D"/>
  </w:style>
  <w:style w:type="character" w:customStyle="1" w:styleId="FooterChar">
    <w:name w:val="Footer Char"/>
    <w:basedOn w:val="DefaultParagraphFont"/>
    <w:link w:val="Footer"/>
    <w:locked/>
    <w:rsid w:val="00CB1536"/>
    <w:rPr>
      <w:lang w:val="da-DK" w:eastAsia="en-US"/>
    </w:rPr>
  </w:style>
  <w:style w:type="paragraph" w:styleId="FootnoteText">
    <w:name w:val="footnote text"/>
    <w:basedOn w:val="Normal"/>
    <w:link w:val="FootnoteTextChar"/>
    <w:qFormat/>
    <w:rsid w:val="00F61A6D"/>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eastAsia="en-US"/>
    </w:rPr>
  </w:style>
  <w:style w:type="paragraph" w:styleId="Header">
    <w:name w:val="header"/>
    <w:basedOn w:val="Normal"/>
    <w:link w:val="HeaderChar"/>
    <w:qFormat/>
    <w:rsid w:val="00F61A6D"/>
  </w:style>
  <w:style w:type="character" w:customStyle="1" w:styleId="HeaderChar">
    <w:name w:val="Header Char"/>
    <w:basedOn w:val="DefaultParagraphFont"/>
    <w:link w:val="Header"/>
    <w:locked/>
    <w:rsid w:val="00CB1536"/>
    <w:rPr>
      <w:lang w:val="da-DK" w:eastAsia="en-US"/>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F61A6D"/>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F61A6D"/>
    <w:pPr>
      <w:ind w:left="720"/>
    </w:pPr>
    <w:rPr>
      <w:i/>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459A6"/>
    <w:pPr>
      <w:ind w:left="720"/>
      <w:contextualSpacing/>
    </w:p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Adam.Dorywalski@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thedeepdive.ca/us-beats-eu-to-brazilian-rare-earth-deal-with-465-million-commitment/" TargetMode="External"/><Relationship Id="rId1" Type="http://schemas.openxmlformats.org/officeDocument/2006/relationships/hyperlink" Target="https://www.ft.com/content/12399810-a782-465b-8378-5099252306a5?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VP3JK3XSEPRV-2087481956-9323</_dlc_DocId>
    <_dlc_DocIdUrl xmlns="7d640e6d-779c-472f-a269-6b546787f1c9">
      <Url>http://dm/eesc/2026/_layouts/15/DocIdRedir.aspx?ID=VP3JK3XSEPRV-2087481956-9323</Url>
      <Description>VP3JK3XSEPRV-2087481956-9323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2026-05-27T12:00:00+00:00</ProductionDate>
    <DocumentNumber xmlns="a95533f8-59af-4217-bc7a-c1167744adb0">431</DocumentNumber>
    <FicheYear xmlns="7d640e6d-779c-472f-a269-6b546787f1c9" xsi:nil="true"/>
    <DossierNumber xmlns="7d640e6d-779c-472f-a269-6b546787f1c9">259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2026-06-17T12:00:00+00:00</MeetingDate>
    <TaxCatchAll xmlns="7d640e6d-779c-472f-a269-6b546787f1c9">
      <Value>43</Value>
      <Value>66</Value>
      <Value>60</Value>
      <Value>59</Value>
      <Value>55</Value>
      <Value>53</Value>
      <Value>51</Value>
      <Value>47</Value>
      <Value>46</Value>
      <Value>45</Value>
      <Value>44</Value>
      <Value>132</Value>
      <Value>37</Value>
      <Value>36</Value>
      <Value>34</Value>
      <Value>32</Value>
      <Value>31</Value>
      <Value>30</Value>
      <Value>29</Value>
      <Value>28</Value>
      <Value>27</Value>
      <Value>25</Value>
      <Value>23</Value>
      <Value>19</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Rapporteur xmlns="7d640e6d-779c-472f-a269-6b546787f1c9">DIAMANTOUROS &amp; MEYSNER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303588</FicheNumber>
    <OriginalSender xmlns="7d640e6d-779c-472f-a269-6b546787f1c9">
      <UserInfo>
        <DisplayName>Rossen Jette</DisplayName>
        <AccountId>1060</AccountId>
        <AccountType/>
      </UserInfo>
    </OriginalSender>
    <DocumentPart xmlns="7d640e6d-779c-472f-a269-6b546787f1c9">0</DocumentPart>
    <AdoptionDate xmlns="7d640e6d-779c-472f-a269-6b546787f1c9" xsi:nil="true"/>
    <RequestingService xmlns="7d640e6d-779c-472f-a269-6b546787f1c9">Commission consultative des mutations industrielles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CCMI</TermName>
          <TermId xmlns="http://schemas.microsoft.com/office/infopath/2007/PartnerControls">3451ec22-e6ff-42b3-8610-379fec773b3a</TermId>
        </TermInfo>
      </Terms>
    </DossierName_0>
    <DocumentVersion xmlns="7d640e6d-779c-472f-a269-6b546787f1c9">0</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EC1048-45B7-44AA-AC69-0D40B9DBE0C2}"/>
</file>

<file path=customXml/itemProps2.xml><?xml version="1.0" encoding="utf-8"?>
<ds:datastoreItem xmlns:ds="http://schemas.openxmlformats.org/officeDocument/2006/customXml" ds:itemID="{F3F457AB-1AFD-49D4-AA71-DF0CCACFA9D9}">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a95533f8-59af-4217-bc7a-c1167744adb0"/>
  </ds:schemaRefs>
</ds:datastoreItem>
</file>

<file path=customXml/itemProps3.xml><?xml version="1.0" encoding="utf-8"?>
<ds:datastoreItem xmlns:ds="http://schemas.openxmlformats.org/officeDocument/2006/customXml" ds:itemID="{FC6AE3F6-A2F7-42F6-AB00-0CD22F4042E8}">
  <ds:schemaRefs>
    <ds:schemaRef ds:uri="http://schemas.microsoft.com/sharepoint/v3/contenttype/forms"/>
  </ds:schemaRefs>
</ds:datastoreItem>
</file>

<file path=customXml/itemProps4.xml><?xml version="1.0" encoding="utf-8"?>
<ds:datastoreItem xmlns:ds="http://schemas.openxmlformats.org/officeDocument/2006/customXml" ds:itemID="{8647AC21-5F14-4D64-8BE7-6E3E946FB4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3094</Words>
  <Characters>21353</Characters>
  <Application>Microsoft Office Word</Application>
  <DocSecurity>0</DocSecurity>
  <Lines>381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RESourceEU-handlingsplanen</dc:title>
  <dc:subject>Draft opinion</dc:subject>
  <dc:creator/>
  <cp:keywords>EESC-2026-00431-00-00-PA-TRA-EN</cp:keywords>
  <dc:description>Rapporteur: - DIAMANTOUROS &amp; MEYSNER Original language: - EN Date of document: - 04/05/2026 Date of meeting: - 20/05/2026 External documents: - COM(2025)945- final Administrator responsible: -  DORYWALSKI ADAM</dc:description>
  <cp:lastModifiedBy/>
  <cp:revision>8</cp:revision>
  <dcterms:created xsi:type="dcterms:W3CDTF">2026-05-22T13:56:00Z</dcterms:created>
  <dcterms:modified xsi:type="dcterms:W3CDTF">2026-05-27T11:58:00Z</dcterms:modified>
  <cp:category>CCMI/259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22/05/2026, 04/05/2026, 13/02/2026, 12/04/2024, 17/05/2022, 04/11/2015, 27/10/2015, 19/10/2015, 09/10/2015, 05/10/2015, 05/10/2015, 26/08/2015, 26/08/2015, 25/08/2015</vt:lpwstr>
  </property>
  <property fmtid="{D5CDD505-2E9C-101B-9397-08002B2CF9AE}" pid="4" name="Pref_Time">
    <vt:lpwstr>15:54:44, 15:16:52, 10:10:24, 12:08:09, 12:59:17, 12/10/07, 14:44:02, 16/04/16, 14:09:30, 16:24:55, 16:04:02, 08:56:14, 07:27:56, 17:31:53</vt:lpwstr>
  </property>
  <property fmtid="{D5CDD505-2E9C-101B-9397-08002B2CF9AE}" pid="5" name="Pref_User">
    <vt:lpwstr>amett, amett, nnas, enied, enied, ssex, enied, amett, tvoc, mreg, mreg, amett, enied, ssex</vt:lpwstr>
  </property>
  <property fmtid="{D5CDD505-2E9C-101B-9397-08002B2CF9AE}" pid="6" name="Pref_FileName">
    <vt:lpwstr>EESC-2026-00431-00-00-AS-TRA-EN-CRR.docx, EESC-2026-00431-00-00-PA-ORI.docx, EESC-2026-00431-00-00-DT-ORI.docx, COR-EESC-2024-01326-00-00-ADMIN-ORI.docx, COR-EESC-2022-02586-00-00-ADMIN-ORI.docx, EESC-2015-05408-00-00-PA-CRR-EN.docx, EESC-2015-05408-00-01</vt:lpwstr>
  </property>
  <property fmtid="{D5CDD505-2E9C-101B-9397-08002B2CF9AE}" pid="7" name="ContentTypeId">
    <vt:lpwstr>0x010100EA97B91038054C99906057A708A1480A0042CFDF3EA65A64469BBC042F89C9AB74</vt:lpwstr>
  </property>
  <property fmtid="{D5CDD505-2E9C-101B-9397-08002B2CF9AE}" pid="8" name="_dlc_DocIdItemGuid">
    <vt:lpwstr>9388f623-6b42-4f60-a4b7-39ff568c9de4</vt:lpwstr>
  </property>
  <property fmtid="{D5CDD505-2E9C-101B-9397-08002B2CF9AE}" pid="9" name="AvailableTranslations">
    <vt:lpwstr>25;#FI|87606a43-d45f-42d6-b8c9-e1a3457db5b7;#34;#HR|2f555653-ed1a-4fe6-8362-9082d95989e5;#32;#PL|1e03da61-4678-4e07-b136-b5024ca9197b;#4;#EN|f2175f21-25d7-44a3-96da-d6a61b075e1b;#51;#LV|46f7e311-5d9f-4663-b433-18aeccb7ace7;#45;#SV|c2ed69e7-a339-43d7-8f22-d93680a92aa0;#12;#ES|e7a6b05b-ae16-40c8-add9-68b64b03aeba;#66;#GA|762d2456-c427-4ecb-b312-af3dad8e258c;#29;#CS|72f9705b-0217-4fd3-bea2-cbc7ed80e26e;#60;#EL|6d4f4d51-af9b-4650-94b4-4276bee85c91;#37;#HU|6b229040-c589-4408-b4c1-4285663d20a8;#46;#DA|5d49c027-8956-412b-aa16-e85a0f96ad0e;#28;#PT|50ccc04a-eadd-42ae-a0cb-acaf45f812ba;#36;#NL|55c6556c-b4f4-441d-9acf-c498d4f838bd;#23;#FR|d2afafd3-4c81-4f60-8f52-ee33f2f54ff3;#13;#IT|0774613c-01ed-4e5d-a25d-11d2388de825;#53;#MT|7df99101-6854-4a26-b53a-b88c0da02c26;#30;#SK|46d9fce0-ef79-4f71-b89b-cd6aa82426b8;#55;#RO|feb747a2-64cd-4299-af12-4833ddc30497;#44;#LT|a7ff5ce7-6123-4f68-865a-a57c31810414;#31;#SL|98a412ae-eb01-49e9-ae3d-585a81724cfc;#27;#ET|ff6c3f4c-b02c-4c3c-ab07-2c37995a7a0a;#43;#BG|1a1b3951-7821-4e6a-85f5-5673fc08bd2c;#11;#DE|f6b31e5a-26fa-4935-b661-318e46daf27e</vt:lpwstr>
  </property>
  <property fmtid="{D5CDD505-2E9C-101B-9397-08002B2CF9AE}" pid="10" name="DocumentType_0">
    <vt:lpwstr>AS|c7a748eb-f6f2-4d9d-8b5a-af0cafebc224</vt:lpwstr>
  </property>
  <property fmtid="{D5CDD505-2E9C-101B-9397-08002B2CF9AE}" pid="11" name="DossierName_0">
    <vt:lpwstr>CCMI|3451ec22-e6ff-42b3-8610-379fec773b3a</vt:lpwstr>
  </property>
  <property fmtid="{D5CDD505-2E9C-101B-9397-08002B2CF9AE}" pid="12" name="DocumentSource_0">
    <vt:lpwstr>EESC|422833ec-8d7e-4e65-8e4e-8bed07ffb729</vt:lpwstr>
  </property>
  <property fmtid="{D5CDD505-2E9C-101B-9397-08002B2CF9AE}" pid="13" name="DocumentNumber">
    <vt:i4>431</vt:i4>
  </property>
  <property fmtid="{D5CDD505-2E9C-101B-9397-08002B2CF9AE}" pid="14" name="FicheYear">
    <vt:i4>2026</vt:i4>
  </property>
  <property fmtid="{D5CDD505-2E9C-101B-9397-08002B2CF9AE}" pid="15" name="DocumentVersion">
    <vt:i4>0</vt:i4>
  </property>
  <property fmtid="{D5CDD505-2E9C-101B-9397-08002B2CF9AE}" pid="16" name="DossierNumber">
    <vt:i4>259</vt:i4>
  </property>
  <property fmtid="{D5CDD505-2E9C-101B-9397-08002B2CF9AE}" pid="17" name="DocumentStatus">
    <vt:lpwstr>9;#TRA|150d2a88-1431-44e6-a8ca-0bb753ab8672</vt:lpwstr>
  </property>
  <property fmtid="{D5CDD505-2E9C-101B-9397-08002B2CF9AE}" pid="18" name="DossierName">
    <vt:lpwstr>47;#CCMI|3451ec22-e6ff-42b3-8610-379fec773b3a</vt:lpwstr>
  </property>
  <property fmtid="{D5CDD505-2E9C-101B-9397-08002B2CF9AE}" pid="19" name="RequestingService">
    <vt:lpwstr>Commission consultative des mutations industrielles</vt:lpwstr>
  </property>
  <property fmtid="{D5CDD505-2E9C-101B-9397-08002B2CF9AE}" pid="20" name="Confidentiality">
    <vt:lpwstr>19;#Unrestricted|826e22d7-d029-4ec0-a450-0c28ff673572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59;#SPL-CES|32d8cb1f-c9ec-4365-95c7-8385a18618ac</vt:lpwstr>
  </property>
  <property fmtid="{D5CDD505-2E9C-101B-9397-08002B2CF9AE}" pid="25" name="MeetingDate">
    <vt:filetime>2026-06-17T12:00:00Z</vt:filetime>
  </property>
  <property fmtid="{D5CDD505-2E9C-101B-9397-08002B2CF9AE}" pid="26" name="AvailableTranslations_0">
    <vt:lpwstr>FI|87606a43-d45f-42d6-b8c9-e1a3457db5b7;HR|2f555653-ed1a-4fe6-8362-9082d95989e5;PL|1e03da61-4678-4e07-b136-b5024ca9197b;EN|f2175f21-25d7-44a3-96da-d6a61b075e1b;LV|46f7e311-5d9f-4663-b433-18aeccb7ace7;SV|c2ed69e7-a339-43d7-8f22-d93680a92aa0;GA|762d2456-c427-4ecb-b312-af3dad8e258c;CS|72f9705b-0217-4fd3-bea2-cbc7ed80e26e;EL|6d4f4d51-af9b-4650-94b4-4276bee85c91;HU|6b229040-c589-4408-b4c1-4285663d20a8;PT|50ccc04a-eadd-42ae-a0cb-acaf45f812ba;NL|55c6556c-b4f4-441d-9acf-c498d4f838bd;FR|d2afafd3-4c81-4f60-8f52-ee33f2f54ff3;IT|0774613c-01ed-4e5d-a25d-11d2388de825;MT|7df99101-6854-4a26-b53a-b88c0da02c26;SK|46d9fce0-ef79-4f71-b89b-cd6aa82426b8;LT|a7ff5ce7-6123-4f68-865a-a57c31810414;SL|98a412ae-eb01-49e9-ae3d-585a81724cfc;BG|1a1b3951-7821-4e6a-85f5-5673fc08bd2c;DE|f6b31e5a-26fa-4935-b661-318e46daf27e</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132;#AS|c7a748eb-f6f2-4d9d-8b5a-af0cafebc224;#66;#GA|762d2456-c427-4ecb-b312-af3dad8e258c;#60;#EL|6d4f4d51-af9b-4650-94b4-4276bee85c91;#59;#SPL-CES|32d8cb1f-c9ec-4365-95c7-8385a18618ac;#53;#MT|7df99101-6854-4a26-b53a-b88c0da02c26;#51;#LV|46f7e311-5d9f-4663-b433-18aeccb7ace7;#47;#CCMI|3451ec22-e6ff-42b3-8610-379fec773b3a;#45;#SV|c2ed69e7-a339-43d7-8f22-d93680a92aa0;#44;#LT|a7ff5ce7-6123-4f68-865a-a57c31810414;#43;#BG|1a1b3951-7821-4e6a-85f5-5673fc08bd2c;#37;#HU|6b229040-c589-4408-b4c1-4285663d20a8;#36;#NL|55c6556c-b4f4-441d-9acf-c498d4f838bd;#34;#HR|2f555653-ed1a-4fe6-8362-9082d95989e5;#32;#PL|1e03da61-4678-4e07-b136-b5024ca9197b;#31;#SL|98a412ae-eb01-49e9-ae3d-585a81724cfc;#30;#SK|46d9fce0-ef79-4f71-b89b-cd6aa82426b8;#29;#CS|72f9705b-0217-4fd3-bea2-cbc7ed80e26e;#28;#PT|50ccc04a-eadd-42ae-a0cb-acaf45f812ba;#25;#FI|87606a43-d45f-42d6-b8c9-e1a3457db5b7;#23;#FR|d2afafd3-4c81-4f60-8f52-ee33f2f54ff3;#19;#Unrestricted|826e22d7-d029-4ec0-a450-0c28ff673572;#13;#IT|0774613c-01ed-4e5d-a25d-11d2388de825;#11;#DE|f6b31e5a-26fa-4935-b661-318e46daf27e;#9;#TRA|150d2a88-1431-44e6-a8ca-0bb753ab8672;#7;#Final|ea5e6674-7b27-4bac-b091-73adbb394efe;#4;#EN|f2175f21-25d7-44a3-96da-d6a61b075e1b;#1;#EESC|422833ec-8d7e-4e65-8e4e-8bed07ffb729</vt:lpwstr>
  </property>
  <property fmtid="{D5CDD505-2E9C-101B-9397-08002B2CF9AE}" pid="30" name="Rapporteur">
    <vt:lpwstr>DIAMANTOUROS &amp; MEYSNER</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303588</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8" name="DocumentType">
    <vt:lpwstr>132;#AS|c7a748eb-f6f2-4d9d-8b5a-af0cafebc224</vt:lpwstr>
  </property>
  <property fmtid="{D5CDD505-2E9C-101B-9397-08002B2CF9AE}" pid="39" name="DocumentLanguage">
    <vt:lpwstr>46;#DA|5d49c027-8956-412b-aa16-e85a0f96ad0e</vt:lpwstr>
  </property>
  <property fmtid="{D5CDD505-2E9C-101B-9397-08002B2CF9AE}" pid="40" name="_docset_NoMedatataSyncRequired">
    <vt:lpwstr>False</vt:lpwstr>
  </property>
  <property fmtid="{D5CDD505-2E9C-101B-9397-08002B2CF9AE}" pid="41" name="MeetingNumber">
    <vt:i4>606</vt:i4>
  </property>
  <property fmtid="{D5CDD505-2E9C-101B-9397-08002B2CF9AE}" pid="42" name="DocumentLanguage_0">
    <vt:lpwstr>EN|f2175f21-25d7-44a3-96da-d6a61b075e1b</vt:lpwstr>
  </property>
</Properties>
</file>