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547F" w14:textId="74A95BB1" w:rsidR="00646AC2" w:rsidRPr="00BF727A" w:rsidRDefault="009F6F02" w:rsidP="00B73B37">
      <w:pPr>
        <w:overflowPunct/>
        <w:adjustRightInd/>
        <w:jc w:val="center"/>
        <w:textAlignment w:val="auto"/>
        <w:rPr>
          <w:szCs w:val="22"/>
        </w:rPr>
      </w:pPr>
      <w:r>
        <w:rPr>
          <w:noProof/>
        </w:rPr>
        <w:drawing>
          <wp:inline distT="0" distB="0" distL="0" distR="0" wp14:anchorId="3697995F" wp14:editId="1D919261">
            <wp:extent cx="1792605" cy="1239520"/>
            <wp:effectExtent l="0" t="0" r="0" b="0"/>
            <wp:docPr id="3" name="Picture 3" title="EESCLogo_SL"/>
            <wp:cNvGraphicFramePr/>
            <a:graphic xmlns:a="http://schemas.openxmlformats.org/drawingml/2006/main">
              <a:graphicData uri="http://schemas.openxmlformats.org/drawingml/2006/picture">
                <pic:pic xmlns:pic="http://schemas.openxmlformats.org/drawingml/2006/picture">
                  <pic:nvPicPr>
                    <pic:cNvPr id="3" name="Picture 3" title="EESCLogo_SL"/>
                    <pic:cNvPicPr/>
                  </pic:nvPicPr>
                  <pic:blipFill>
                    <a:blip r:embed="rId11"/>
                    <a:stretch>
                      <a:fillRect/>
                    </a:stretch>
                  </pic:blipFill>
                  <pic:spPr>
                    <a:xfrm>
                      <a:off x="0" y="0"/>
                      <a:ext cx="1792605" cy="1239520"/>
                    </a:xfrm>
                    <a:prstGeom prst="rect">
                      <a:avLst/>
                    </a:prstGeom>
                  </pic:spPr>
                </pic:pic>
              </a:graphicData>
            </a:graphic>
          </wp:inline>
        </w:drawing>
      </w:r>
      <w:r w:rsidR="0073318F">
        <w:rPr>
          <w:noProof/>
        </w:rPr>
        <mc:AlternateContent>
          <mc:Choice Requires="wps">
            <w:drawing>
              <wp:anchor distT="0" distB="0" distL="114300" distR="114300" simplePos="0" relativeHeight="251657728" behindDoc="1" locked="0" layoutInCell="0" allowOverlap="1" wp14:anchorId="729ADD32" wp14:editId="202F87F1">
                <wp:simplePos x="0" y="0"/>
                <wp:positionH relativeFrom="page">
                  <wp:posOffset>6769100</wp:posOffset>
                </wp:positionH>
                <wp:positionV relativeFrom="page">
                  <wp:posOffset>10081260</wp:posOffset>
                </wp:positionV>
                <wp:extent cx="647700" cy="396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wps:spPr>
                      <wps:txbx>
                        <w:txbxContent>
                          <w:p w14:paraId="79610E7F" w14:textId="77777777" w:rsidR="00DB53C1" w:rsidRPr="00260E65" w:rsidRDefault="00DB53C1">
                            <w:pPr>
                              <w:jc w:val="center"/>
                              <w:rPr>
                                <w:rFonts w:ascii="Arial" w:hAnsi="Arial" w:cs="Arial"/>
                                <w:b/>
                                <w:bCs/>
                                <w:sz w:val="48"/>
                              </w:rPr>
                            </w:pPr>
                            <w:r>
                              <w:rPr>
                                <w:rFonts w:ascii="Arial" w:hAnsi="Arial"/>
                                <w:b/>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ADD32" id="_x0000_t202" coordsize="21600,21600" o:spt="202" path="m,l,21600r21600,l21600,xe">
                <v:stroke joinstyle="miter"/>
                <v:path gradientshapeok="t" o:connecttype="rect"/>
              </v:shapetype>
              <v:shape id="Text Box 2" o:spid="_x0000_s1026" type="#_x0000_t202" style="position:absolute;left:0;text-align:left;margin-left:533pt;margin-top:793.8pt;width:51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" o:allowincell="f" filled="f" stroked="f">
                <v:textbox>
                  <w:txbxContent>
                    <w:p w14:paraId="79610E7F" w14:textId="77777777" w:rsidR="00DB53C1" w:rsidRPr="00260E65" w:rsidRDefault="00DB53C1">
                      <w:pPr>
                        <w:jc w:val="center"/>
                        <w:rPr>
                          <w:rFonts w:ascii="Arial" w:hAnsi="Arial" w:cs="Arial"/>
                          <w:b/>
                          <w:bCs/>
                          <w:sz w:val="48"/>
                        </w:rPr>
                      </w:pPr>
                      <w:r>
                        <w:rPr>
                          <w:rFonts w:ascii="Arial" w:hAnsi="Arial"/>
                          <w:b/>
                          <w:sz w:val="48"/>
                        </w:rPr>
                        <w:t>SL</w:t>
                      </w:r>
                    </w:p>
                  </w:txbxContent>
                </v:textbox>
                <w10:wrap anchorx="page" anchory="page"/>
              </v:shape>
            </w:pict>
          </mc:Fallback>
        </mc:AlternateContent>
      </w:r>
    </w:p>
    <w:p w14:paraId="2F2F423C" w14:textId="77777777" w:rsidR="003E0EB4" w:rsidRPr="00BF727A" w:rsidRDefault="003E0EB4" w:rsidP="00B73B37">
      <w:pPr>
        <w:overflowPunct/>
        <w:adjustRightInd/>
        <w:jc w:val="left"/>
        <w:textAlignment w:val="auto"/>
        <w:rPr>
          <w:szCs w:val="22"/>
        </w:rPr>
      </w:pPr>
    </w:p>
    <w:p w14:paraId="430CD72E" w14:textId="078BAB7F" w:rsidR="00646AC2" w:rsidRPr="00BF727A" w:rsidRDefault="00306551" w:rsidP="00B73B37">
      <w:pPr>
        <w:overflowPunct/>
        <w:adjustRightInd/>
        <w:jc w:val="right"/>
        <w:textAlignment w:val="auto"/>
        <w:rPr>
          <w:b/>
          <w:szCs w:val="22"/>
        </w:rPr>
      </w:pPr>
      <w:r>
        <w:rPr>
          <w:b/>
        </w:rPr>
        <w:t>ECO/691</w:t>
      </w:r>
    </w:p>
    <w:p w14:paraId="69A218C3" w14:textId="596171D6" w:rsidR="001960C6" w:rsidRPr="00BF727A" w:rsidRDefault="00306551" w:rsidP="00B73B37">
      <w:pPr>
        <w:overflowPunct/>
        <w:adjustRightInd/>
        <w:jc w:val="right"/>
        <w:textAlignment w:val="auto"/>
        <w:rPr>
          <w:szCs w:val="22"/>
        </w:rPr>
      </w:pPr>
      <w:r>
        <w:rPr>
          <w:b/>
        </w:rPr>
        <w:t>Nacionalni predlogi za reforme in naložbe ter njihovo izvajanje (cikel evropskega semestra 2025–2026)</w:t>
      </w:r>
    </w:p>
    <w:p w14:paraId="0A9CDACB" w14:textId="77777777" w:rsidR="009B30AA" w:rsidRPr="00BF727A" w:rsidRDefault="009B30AA" w:rsidP="00B73B37">
      <w:pPr>
        <w:overflowPunct/>
        <w:adjustRightInd/>
        <w:textAlignment w:val="auto"/>
        <w:rPr>
          <w:szCs w:val="22"/>
        </w:rPr>
      </w:pPr>
    </w:p>
    <w:p w14:paraId="3E824B14" w14:textId="77777777" w:rsidR="009B30AA" w:rsidRPr="00BF727A" w:rsidRDefault="009B30AA" w:rsidP="00B73B37">
      <w:pPr>
        <w:overflowPunct/>
        <w:adjustRightInd/>
        <w:textAlignment w:val="auto"/>
        <w:rPr>
          <w:szCs w:val="22"/>
        </w:rPr>
      </w:pPr>
    </w:p>
    <w:p w14:paraId="278713FC" w14:textId="0A469A4A" w:rsidR="00357217" w:rsidRPr="00BF727A" w:rsidRDefault="008709FB" w:rsidP="00B73B37">
      <w:pPr>
        <w:overflowPunct/>
        <w:adjustRightInd/>
        <w:jc w:val="center"/>
        <w:textAlignment w:val="auto"/>
        <w:rPr>
          <w:b/>
          <w:szCs w:val="22"/>
        </w:rPr>
      </w:pPr>
      <w:r>
        <w:rPr>
          <w:b/>
          <w:sz w:val="28"/>
        </w:rPr>
        <w:t>INFORMATIVNO POROČILO</w:t>
      </w:r>
    </w:p>
    <w:p w14:paraId="04167C99" w14:textId="77777777" w:rsidR="00357217" w:rsidRPr="00BF727A" w:rsidRDefault="00357217" w:rsidP="00B73B37">
      <w:pPr>
        <w:overflowPunct/>
        <w:adjustRightInd/>
        <w:jc w:val="center"/>
        <w:textAlignment w:val="auto"/>
        <w:rPr>
          <w:b/>
          <w:szCs w:val="22"/>
        </w:rPr>
      </w:pPr>
    </w:p>
    <w:p w14:paraId="6DB6A916" w14:textId="77777777" w:rsidR="00357217" w:rsidRPr="00BF727A" w:rsidRDefault="00306551" w:rsidP="00B73B37">
      <w:pPr>
        <w:overflowPunct/>
        <w:adjustRightInd/>
        <w:jc w:val="center"/>
        <w:textAlignment w:val="auto"/>
        <w:rPr>
          <w:szCs w:val="22"/>
        </w:rPr>
      </w:pPr>
      <w:r>
        <w:t>Strokovna skupina za ekonomsko in monetarno unijo ter ekonomsko in socialno kohezijo</w:t>
      </w:r>
    </w:p>
    <w:p w14:paraId="138190FA" w14:textId="77777777" w:rsidR="00357217" w:rsidRPr="00BF727A" w:rsidRDefault="00357217" w:rsidP="00B73B37">
      <w:pPr>
        <w:overflowPunct/>
        <w:adjustRightInd/>
        <w:jc w:val="center"/>
        <w:textAlignment w:val="auto"/>
        <w:rPr>
          <w:b/>
          <w:szCs w:val="22"/>
        </w:rPr>
      </w:pPr>
    </w:p>
    <w:p w14:paraId="5A859A04" w14:textId="1DA719C0" w:rsidR="00357217" w:rsidRPr="00BF727A" w:rsidRDefault="00A51541" w:rsidP="00B73B37">
      <w:pPr>
        <w:overflowPunct/>
        <w:adjustRightInd/>
        <w:jc w:val="center"/>
        <w:textAlignment w:val="auto"/>
        <w:rPr>
          <w:b/>
          <w:szCs w:val="22"/>
        </w:rPr>
      </w:pPr>
      <w:r>
        <w:rPr>
          <w:b/>
        </w:rPr>
        <w:t>Stališče organizirane civilne družbe v državah članicah EU o nacionalnih predlogih za reforme in naložbe ter njihovem izvajanju (cikel evropskega semestra 2025–2026)</w:t>
      </w:r>
    </w:p>
    <w:p w14:paraId="52727447" w14:textId="77777777" w:rsidR="009B30AA" w:rsidRPr="00BF727A" w:rsidRDefault="009B30AA" w:rsidP="00B73B37">
      <w:pPr>
        <w:overflowPunct/>
        <w:adjustRightInd/>
        <w:jc w:val="center"/>
        <w:textAlignment w:val="auto"/>
        <w:rPr>
          <w:szCs w:val="22"/>
        </w:r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D44B2B" w:rsidRPr="00BF727A" w14:paraId="329C3F91" w14:textId="77777777" w:rsidTr="00DA02D5">
        <w:tc>
          <w:tcPr>
            <w:tcW w:w="3085" w:type="dxa"/>
          </w:tcPr>
          <w:p w14:paraId="7EA71BF0" w14:textId="3B052E84" w:rsidR="00D44B2B" w:rsidRPr="00BF727A" w:rsidRDefault="00D44B2B" w:rsidP="00B73B37">
            <w:pPr>
              <w:overflowPunct/>
              <w:adjustRightInd/>
              <w:jc w:val="left"/>
              <w:textAlignment w:val="auto"/>
              <w:rPr>
                <w:szCs w:val="22"/>
              </w:rPr>
            </w:pPr>
            <w:r>
              <w:t>Kontakt</w:t>
            </w:r>
          </w:p>
        </w:tc>
        <w:tc>
          <w:tcPr>
            <w:tcW w:w="6204" w:type="dxa"/>
          </w:tcPr>
          <w:p w14:paraId="6BE7B1C8" w14:textId="6E2974E1" w:rsidR="00D44B2B" w:rsidRPr="00BF727A" w:rsidRDefault="00615CF3" w:rsidP="00B73B37">
            <w:pPr>
              <w:overflowPunct/>
              <w:adjustRightInd/>
              <w:jc w:val="left"/>
              <w:textAlignment w:val="auto"/>
              <w:rPr>
                <w:szCs w:val="22"/>
              </w:rPr>
            </w:pPr>
            <w:hyperlink r:id="rId12" w:history="1">
              <w:r w:rsidR="009F6F02">
                <w:rPr>
                  <w:rStyle w:val="Hyperlink"/>
                </w:rPr>
                <w:t>eco@eesc.europa.eu</w:t>
              </w:r>
            </w:hyperlink>
          </w:p>
        </w:tc>
      </w:tr>
      <w:tr w:rsidR="00D44B2B" w:rsidRPr="00BF727A" w14:paraId="275E91C2" w14:textId="77777777" w:rsidTr="00DA02D5">
        <w:tc>
          <w:tcPr>
            <w:tcW w:w="3085" w:type="dxa"/>
          </w:tcPr>
          <w:p w14:paraId="2F3F6589" w14:textId="77777777" w:rsidR="00D44B2B" w:rsidRPr="00BF727A" w:rsidRDefault="00D44B2B" w:rsidP="00B73B37">
            <w:pPr>
              <w:overflowPunct/>
              <w:adjustRightInd/>
              <w:jc w:val="left"/>
              <w:textAlignment w:val="auto"/>
              <w:rPr>
                <w:szCs w:val="22"/>
              </w:rPr>
            </w:pPr>
            <w:r>
              <w:t>Administratorka</w:t>
            </w:r>
          </w:p>
        </w:tc>
        <w:tc>
          <w:tcPr>
            <w:tcW w:w="6204" w:type="dxa"/>
          </w:tcPr>
          <w:p w14:paraId="2E26F3AA" w14:textId="77777777" w:rsidR="00D44B2B" w:rsidRPr="00BF727A" w:rsidRDefault="00D44B2B" w:rsidP="00B73B37">
            <w:pPr>
              <w:overflowPunct/>
              <w:adjustRightInd/>
              <w:jc w:val="left"/>
              <w:textAlignment w:val="auto"/>
              <w:rPr>
                <w:szCs w:val="22"/>
              </w:rPr>
            </w:pPr>
            <w:r>
              <w:t>Colombe GREGOIRE</w:t>
            </w:r>
          </w:p>
        </w:tc>
      </w:tr>
      <w:tr w:rsidR="00D44B2B" w:rsidRPr="00BF727A" w14:paraId="16BBD0BD" w14:textId="77777777" w:rsidTr="00DA02D5">
        <w:tc>
          <w:tcPr>
            <w:tcW w:w="3085" w:type="dxa"/>
          </w:tcPr>
          <w:p w14:paraId="720A8083" w14:textId="77777777" w:rsidR="00D44B2B" w:rsidRPr="00BF727A" w:rsidRDefault="00D44B2B" w:rsidP="00B73B37">
            <w:pPr>
              <w:overflowPunct/>
              <w:adjustRightInd/>
              <w:jc w:val="left"/>
              <w:textAlignment w:val="auto"/>
              <w:rPr>
                <w:szCs w:val="22"/>
              </w:rPr>
            </w:pPr>
            <w:r>
              <w:t>Datum dokumenta</w:t>
            </w:r>
          </w:p>
        </w:tc>
        <w:tc>
          <w:tcPr>
            <w:tcW w:w="6204" w:type="dxa"/>
          </w:tcPr>
          <w:p w14:paraId="17F114E8" w14:textId="57E3FD32" w:rsidR="00D44B2B" w:rsidRPr="00BF727A" w:rsidRDefault="003216CC" w:rsidP="00B73B37">
            <w:pPr>
              <w:overflowPunct/>
              <w:adjustRightInd/>
              <w:jc w:val="left"/>
              <w:textAlignment w:val="auto"/>
              <w:rPr>
                <w:szCs w:val="22"/>
              </w:rPr>
            </w:pPr>
            <w:r>
              <w:t>9. 6. 2026</w:t>
            </w:r>
          </w:p>
        </w:tc>
      </w:tr>
    </w:tbl>
    <w:p w14:paraId="3E43AEF0" w14:textId="44684F07" w:rsidR="00306551" w:rsidRPr="00BF727A" w:rsidRDefault="007F5E0D" w:rsidP="00B73B37">
      <w:pPr>
        <w:tabs>
          <w:tab w:val="center" w:pos="4536"/>
          <w:tab w:val="left" w:pos="6795"/>
        </w:tabs>
        <w:overflowPunct/>
        <w:adjustRightInd/>
        <w:jc w:val="center"/>
        <w:textAlignment w:val="auto"/>
        <w:rPr>
          <w:b/>
          <w:szCs w:val="22"/>
        </w:rPr>
      </w:pPr>
      <w:r>
        <w:t xml:space="preserve">Poročevalci: </w:t>
      </w:r>
      <w:r>
        <w:rPr>
          <w:b/>
        </w:rPr>
        <w:t>Gonçalo LOBO XAVIER</w:t>
      </w:r>
    </w:p>
    <w:p w14:paraId="459B0394" w14:textId="7AD373E1" w:rsidR="00306551" w:rsidRPr="00BF727A" w:rsidRDefault="00761545" w:rsidP="00B73B37">
      <w:pPr>
        <w:overflowPunct/>
        <w:adjustRightInd/>
        <w:jc w:val="center"/>
        <w:textAlignment w:val="auto"/>
        <w:rPr>
          <w:b/>
          <w:szCs w:val="22"/>
        </w:rPr>
      </w:pPr>
      <w:r>
        <w:rPr>
          <w:b/>
        </w:rPr>
        <w:t>Andrea MONE</w:t>
      </w:r>
    </w:p>
    <w:p w14:paraId="66E52F29" w14:textId="77777777" w:rsidR="00704FBB" w:rsidRPr="00BF727A" w:rsidRDefault="00306551" w:rsidP="00B73B37">
      <w:pPr>
        <w:overflowPunct/>
        <w:adjustRightInd/>
        <w:jc w:val="center"/>
        <w:textAlignment w:val="auto"/>
        <w:rPr>
          <w:szCs w:val="22"/>
        </w:rPr>
      </w:pPr>
      <w:r>
        <w:rPr>
          <w:b/>
        </w:rPr>
        <w:t>Luca JAHIER</w:t>
      </w:r>
    </w:p>
    <w:p w14:paraId="014F3567" w14:textId="77777777" w:rsidR="002C29E6" w:rsidRPr="00BF727A" w:rsidRDefault="002C29E6" w:rsidP="00B73B37">
      <w:pPr>
        <w:overflowPunct/>
        <w:adjustRightInd/>
        <w:jc w:val="center"/>
        <w:textAlignment w:val="auto"/>
        <w:rPr>
          <w:szCs w:val="22"/>
        </w:rPr>
      </w:pPr>
    </w:p>
    <w:p w14:paraId="56C06D69" w14:textId="77777777" w:rsidR="00704FBB" w:rsidRPr="00BF727A" w:rsidRDefault="00704FBB" w:rsidP="00B73B37">
      <w:pPr>
        <w:overflowPunct/>
        <w:adjustRightInd/>
        <w:jc w:val="left"/>
        <w:textAlignment w:val="auto"/>
        <w:rPr>
          <w:szCs w:val="22"/>
        </w:rPr>
      </w:pPr>
    </w:p>
    <w:p w14:paraId="2F322971" w14:textId="77777777" w:rsidR="00646AC2" w:rsidRPr="00BF727A" w:rsidRDefault="00646AC2" w:rsidP="00B73B37">
      <w:pPr>
        <w:overflowPunct/>
        <w:adjustRightInd/>
        <w:textAlignment w:val="auto"/>
        <w:rPr>
          <w:szCs w:val="22"/>
        </w:rPr>
      </w:pPr>
    </w:p>
    <w:p w14:paraId="326CA041" w14:textId="77777777" w:rsidR="00646AC2" w:rsidRPr="00BF727A" w:rsidRDefault="00646AC2" w:rsidP="00B73B37">
      <w:pPr>
        <w:overflowPunct/>
        <w:adjustRightInd/>
        <w:textAlignment w:val="auto"/>
        <w:rPr>
          <w:szCs w:val="22"/>
        </w:rPr>
        <w:sectPr w:rsidR="00646AC2" w:rsidRPr="00BF727A" w:rsidSect="003216C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5"/>
        <w:gridCol w:w="6018"/>
      </w:tblGrid>
      <w:tr w:rsidR="003B363C" w:rsidRPr="003216CC" w14:paraId="556F1F29" w14:textId="77777777" w:rsidTr="00DA02D5">
        <w:trPr>
          <w:trHeight w:val="250"/>
        </w:trPr>
        <w:tc>
          <w:tcPr>
            <w:tcW w:w="3055" w:type="dxa"/>
          </w:tcPr>
          <w:p w14:paraId="4D371C23" w14:textId="397C74B4" w:rsidR="00CB5880" w:rsidRPr="00BF727A" w:rsidRDefault="00CB5880" w:rsidP="00B73B37">
            <w:pPr>
              <w:overflowPunct/>
              <w:adjustRightInd/>
              <w:jc w:val="left"/>
              <w:textAlignment w:val="auto"/>
              <w:rPr>
                <w:szCs w:val="22"/>
              </w:rPr>
            </w:pPr>
            <w:r>
              <w:lastRenderedPageBreak/>
              <w:t>Svetovalca</w:t>
            </w:r>
          </w:p>
        </w:tc>
        <w:tc>
          <w:tcPr>
            <w:tcW w:w="6018" w:type="dxa"/>
          </w:tcPr>
          <w:p w14:paraId="045835AB" w14:textId="6AA79793" w:rsidR="00CB5880" w:rsidRPr="00A74EAF" w:rsidRDefault="00167F6A" w:rsidP="00B73B37">
            <w:pPr>
              <w:overflowPunct/>
              <w:adjustRightInd/>
              <w:jc w:val="left"/>
              <w:textAlignment w:val="auto"/>
              <w:rPr>
                <w:szCs w:val="22"/>
              </w:rPr>
            </w:pPr>
            <w:r>
              <w:t>Anna COLOMBO (za poročevalca Luco JAHIERJA)</w:t>
            </w:r>
          </w:p>
          <w:p w14:paraId="563F4CB8" w14:textId="3A6ECD07" w:rsidR="00167F6A" w:rsidRPr="00D57DC2" w:rsidRDefault="00167F6A" w:rsidP="00B73B37">
            <w:pPr>
              <w:overflowPunct/>
              <w:adjustRightInd/>
              <w:jc w:val="left"/>
              <w:textAlignment w:val="auto"/>
              <w:rPr>
                <w:szCs w:val="22"/>
              </w:rPr>
            </w:pPr>
            <w:r>
              <w:t>Marco CILENTO (za poročevalca Andreo MONEJA)</w:t>
            </w:r>
          </w:p>
        </w:tc>
      </w:tr>
      <w:tr w:rsidR="003B363C" w:rsidRPr="003216CC" w14:paraId="79CC1BD8" w14:textId="77777777" w:rsidTr="00DA02D5">
        <w:trPr>
          <w:trHeight w:val="250"/>
        </w:trPr>
        <w:tc>
          <w:tcPr>
            <w:tcW w:w="3055" w:type="dxa"/>
          </w:tcPr>
          <w:p w14:paraId="230B4C73" w14:textId="77777777" w:rsidR="00CB5880" w:rsidRPr="00D57DC2" w:rsidRDefault="00CB5880" w:rsidP="00B73B37">
            <w:pPr>
              <w:overflowPunct/>
              <w:adjustRightInd/>
              <w:jc w:val="left"/>
              <w:textAlignment w:val="auto"/>
              <w:rPr>
                <w:szCs w:val="22"/>
                <w:lang w:val="it-IT"/>
              </w:rPr>
            </w:pPr>
          </w:p>
        </w:tc>
        <w:tc>
          <w:tcPr>
            <w:tcW w:w="6018" w:type="dxa"/>
          </w:tcPr>
          <w:p w14:paraId="0380A87B" w14:textId="77777777" w:rsidR="00CB5880" w:rsidRPr="00D57DC2" w:rsidRDefault="00CB5880" w:rsidP="00B73B37">
            <w:pPr>
              <w:overflowPunct/>
              <w:adjustRightInd/>
              <w:jc w:val="left"/>
              <w:textAlignment w:val="auto"/>
              <w:rPr>
                <w:szCs w:val="22"/>
                <w:lang w:val="it-IT"/>
              </w:rPr>
            </w:pPr>
          </w:p>
        </w:tc>
      </w:tr>
      <w:tr w:rsidR="003B363C" w:rsidRPr="00BF727A" w14:paraId="6DF81F8A" w14:textId="77777777" w:rsidTr="00DA02D5">
        <w:trPr>
          <w:trHeight w:val="250"/>
        </w:trPr>
        <w:tc>
          <w:tcPr>
            <w:tcW w:w="3055" w:type="dxa"/>
          </w:tcPr>
          <w:p w14:paraId="26553145" w14:textId="77777777" w:rsidR="002C1D46" w:rsidRPr="00BF727A" w:rsidRDefault="002C1D46" w:rsidP="00B73B37">
            <w:pPr>
              <w:overflowPunct/>
              <w:adjustRightInd/>
              <w:jc w:val="left"/>
              <w:textAlignment w:val="auto"/>
              <w:rPr>
                <w:szCs w:val="22"/>
              </w:rPr>
            </w:pPr>
            <w:r>
              <w:t>Sklep plenarne skupščine</w:t>
            </w:r>
          </w:p>
        </w:tc>
        <w:tc>
          <w:tcPr>
            <w:tcW w:w="6018" w:type="dxa"/>
          </w:tcPr>
          <w:p w14:paraId="2D4FEB06" w14:textId="54EEE48B" w:rsidR="002C1D46" w:rsidRPr="00BF727A" w:rsidRDefault="003C48E4" w:rsidP="00B73B37">
            <w:pPr>
              <w:overflowPunct/>
              <w:adjustRightInd/>
              <w:jc w:val="left"/>
              <w:textAlignment w:val="auto"/>
              <w:rPr>
                <w:szCs w:val="22"/>
              </w:rPr>
            </w:pPr>
            <w:r>
              <w:t>4. 12. 2025</w:t>
            </w:r>
          </w:p>
        </w:tc>
      </w:tr>
      <w:tr w:rsidR="003B363C" w:rsidRPr="00BF727A" w14:paraId="3879CFFD" w14:textId="77777777" w:rsidTr="00DA02D5">
        <w:tc>
          <w:tcPr>
            <w:tcW w:w="3055" w:type="dxa"/>
          </w:tcPr>
          <w:p w14:paraId="62DEF395" w14:textId="77777777" w:rsidR="00243E36" w:rsidRPr="00BF727A" w:rsidRDefault="00243E36" w:rsidP="00B73B37">
            <w:pPr>
              <w:overflowPunct/>
              <w:adjustRightInd/>
              <w:jc w:val="left"/>
              <w:textAlignment w:val="auto"/>
              <w:rPr>
                <w:szCs w:val="22"/>
              </w:rPr>
            </w:pPr>
            <w:r>
              <w:t>Pravna podlaga</w:t>
            </w:r>
          </w:p>
        </w:tc>
        <w:tc>
          <w:tcPr>
            <w:tcW w:w="6018" w:type="dxa"/>
          </w:tcPr>
          <w:p w14:paraId="1E337E1D" w14:textId="77777777" w:rsidR="00243E36" w:rsidRPr="00BF727A" w:rsidRDefault="00755426" w:rsidP="00B73B37">
            <w:pPr>
              <w:overflowPunct/>
              <w:adjustRightInd/>
              <w:jc w:val="left"/>
              <w:textAlignment w:val="auto"/>
              <w:rPr>
                <w:szCs w:val="22"/>
              </w:rPr>
            </w:pPr>
            <w:r>
              <w:t>člen 52(3) Poslovnika</w:t>
            </w:r>
          </w:p>
        </w:tc>
      </w:tr>
      <w:tr w:rsidR="003B363C" w:rsidRPr="00BF727A" w14:paraId="000D3830" w14:textId="77777777" w:rsidTr="00DA02D5">
        <w:tc>
          <w:tcPr>
            <w:tcW w:w="3055" w:type="dxa"/>
          </w:tcPr>
          <w:p w14:paraId="342CF241" w14:textId="77777777" w:rsidR="00DF5B64" w:rsidRPr="00BF727A" w:rsidRDefault="00AD4B4F" w:rsidP="00B73B37">
            <w:pPr>
              <w:overflowPunct/>
              <w:adjustRightInd/>
              <w:jc w:val="left"/>
              <w:textAlignment w:val="auto"/>
              <w:rPr>
                <w:szCs w:val="22"/>
              </w:rPr>
            </w:pPr>
            <w:r>
              <w:t>Pristojnost</w:t>
            </w:r>
          </w:p>
        </w:tc>
        <w:tc>
          <w:tcPr>
            <w:tcW w:w="6018" w:type="dxa"/>
          </w:tcPr>
          <w:p w14:paraId="3B567D2F" w14:textId="77777777" w:rsidR="00DF5B64" w:rsidRPr="00BF727A" w:rsidRDefault="00F86734" w:rsidP="00B73B37">
            <w:pPr>
              <w:overflowPunct/>
              <w:adjustRightInd/>
              <w:jc w:val="left"/>
              <w:textAlignment w:val="auto"/>
              <w:rPr>
                <w:szCs w:val="22"/>
              </w:rPr>
            </w:pPr>
            <w:r>
              <w:t>strokovna skupina za ekonomsko in monetarno unijo ter ekonomsko in socialno kohezijo</w:t>
            </w:r>
          </w:p>
        </w:tc>
      </w:tr>
      <w:tr w:rsidR="003B363C" w:rsidRPr="00BF727A" w14:paraId="2EB9C406" w14:textId="77777777" w:rsidTr="00DA02D5">
        <w:tc>
          <w:tcPr>
            <w:tcW w:w="3055" w:type="dxa"/>
          </w:tcPr>
          <w:p w14:paraId="16314130" w14:textId="77777777" w:rsidR="00A156E6" w:rsidRPr="00BF727A" w:rsidRDefault="003433F3" w:rsidP="00B73B37">
            <w:pPr>
              <w:overflowPunct/>
              <w:adjustRightInd/>
              <w:jc w:val="left"/>
              <w:textAlignment w:val="auto"/>
              <w:rPr>
                <w:szCs w:val="22"/>
              </w:rPr>
            </w:pPr>
            <w:r>
              <w:t>Datum sprejetja na seji strokovne skupine</w:t>
            </w:r>
          </w:p>
        </w:tc>
        <w:tc>
          <w:tcPr>
            <w:tcW w:w="6018" w:type="dxa"/>
          </w:tcPr>
          <w:p w14:paraId="7B3E9D4A" w14:textId="77777777" w:rsidR="007B0230" w:rsidRDefault="007B0230" w:rsidP="00B73B37">
            <w:pPr>
              <w:overflowPunct/>
              <w:adjustRightInd/>
              <w:jc w:val="left"/>
              <w:textAlignment w:val="auto"/>
            </w:pPr>
          </w:p>
          <w:p w14:paraId="7A9E874E" w14:textId="7F8DBAA7" w:rsidR="00A156E6" w:rsidRPr="00BF727A" w:rsidRDefault="00904F39" w:rsidP="00B73B37">
            <w:pPr>
              <w:overflowPunct/>
              <w:adjustRightInd/>
              <w:jc w:val="left"/>
              <w:textAlignment w:val="auto"/>
              <w:rPr>
                <w:szCs w:val="22"/>
              </w:rPr>
            </w:pPr>
            <w:r>
              <w:t>4. 6. 2026</w:t>
            </w:r>
          </w:p>
        </w:tc>
      </w:tr>
      <w:tr w:rsidR="003B363C" w:rsidRPr="00BF727A" w14:paraId="4D46FFAD" w14:textId="77777777" w:rsidTr="00DA02D5">
        <w:tc>
          <w:tcPr>
            <w:tcW w:w="3055" w:type="dxa"/>
          </w:tcPr>
          <w:p w14:paraId="27A1F837" w14:textId="77777777" w:rsidR="00D423D4" w:rsidRPr="00BF727A" w:rsidRDefault="0043024C" w:rsidP="00B73B37">
            <w:pPr>
              <w:overflowPunct/>
              <w:adjustRightInd/>
              <w:jc w:val="left"/>
              <w:rPr>
                <w:szCs w:val="22"/>
              </w:rPr>
            </w:pPr>
            <w:r>
              <w:t xml:space="preserve">Rezultat glasovanja </w:t>
            </w:r>
            <w:r>
              <w:br/>
              <w:t>(za/proti/vzdržani)</w:t>
            </w:r>
          </w:p>
        </w:tc>
        <w:tc>
          <w:tcPr>
            <w:tcW w:w="6018" w:type="dxa"/>
            <w:vAlign w:val="bottom"/>
          </w:tcPr>
          <w:p w14:paraId="0BBC2E40" w14:textId="286C2776" w:rsidR="00A156E6" w:rsidRPr="00BF727A" w:rsidRDefault="008E6F7D" w:rsidP="00B73B37">
            <w:pPr>
              <w:overflowPunct/>
              <w:adjustRightInd/>
              <w:jc w:val="left"/>
              <w:textAlignment w:val="auto"/>
              <w:rPr>
                <w:szCs w:val="22"/>
              </w:rPr>
            </w:pPr>
            <w:r>
              <w:t>42/1/1</w:t>
            </w:r>
          </w:p>
        </w:tc>
      </w:tr>
      <w:tr w:rsidR="003B363C" w:rsidRPr="00BF727A" w14:paraId="74432C64" w14:textId="77777777" w:rsidTr="00DA02D5">
        <w:tc>
          <w:tcPr>
            <w:tcW w:w="3055" w:type="dxa"/>
          </w:tcPr>
          <w:p w14:paraId="37CB730E" w14:textId="77777777" w:rsidR="006E64DF" w:rsidRPr="00BF727A" w:rsidRDefault="003433F3" w:rsidP="00B73B37">
            <w:pPr>
              <w:overflowPunct/>
              <w:adjustRightInd/>
              <w:jc w:val="left"/>
              <w:rPr>
                <w:szCs w:val="22"/>
              </w:rPr>
            </w:pPr>
            <w:r>
              <w:t>Datum sprejetja na plenarnem zasedanju</w:t>
            </w:r>
          </w:p>
        </w:tc>
        <w:tc>
          <w:tcPr>
            <w:tcW w:w="6018" w:type="dxa"/>
            <w:vAlign w:val="bottom"/>
          </w:tcPr>
          <w:p w14:paraId="1309A672" w14:textId="168920BF" w:rsidR="006E64DF" w:rsidRPr="00BF727A" w:rsidRDefault="007B0230" w:rsidP="00B73B37">
            <w:pPr>
              <w:overflowPunct/>
              <w:adjustRightInd/>
              <w:jc w:val="left"/>
              <w:textAlignment w:val="auto"/>
              <w:rPr>
                <w:szCs w:val="22"/>
              </w:rPr>
            </w:pPr>
            <w:r>
              <w:t>…</w:t>
            </w:r>
          </w:p>
        </w:tc>
      </w:tr>
      <w:tr w:rsidR="003B363C" w:rsidRPr="00BF727A" w14:paraId="45DB981E" w14:textId="77777777" w:rsidTr="00DA02D5">
        <w:tc>
          <w:tcPr>
            <w:tcW w:w="3055" w:type="dxa"/>
          </w:tcPr>
          <w:p w14:paraId="500AF562" w14:textId="77777777" w:rsidR="0067591A" w:rsidRPr="00BF727A" w:rsidRDefault="0067591A" w:rsidP="00B73B37">
            <w:pPr>
              <w:overflowPunct/>
              <w:adjustRightInd/>
              <w:jc w:val="left"/>
              <w:rPr>
                <w:szCs w:val="22"/>
              </w:rPr>
            </w:pPr>
            <w:r>
              <w:t>Plenarno zasedanje št.</w:t>
            </w:r>
          </w:p>
        </w:tc>
        <w:tc>
          <w:tcPr>
            <w:tcW w:w="6018" w:type="dxa"/>
            <w:vAlign w:val="bottom"/>
          </w:tcPr>
          <w:p w14:paraId="4F749096" w14:textId="77777777" w:rsidR="0067591A" w:rsidRPr="00BF727A" w:rsidRDefault="0067591A" w:rsidP="00B73B37">
            <w:pPr>
              <w:overflowPunct/>
              <w:adjustRightInd/>
              <w:jc w:val="left"/>
              <w:textAlignment w:val="auto"/>
              <w:rPr>
                <w:szCs w:val="22"/>
              </w:rPr>
            </w:pPr>
          </w:p>
        </w:tc>
      </w:tr>
      <w:tr w:rsidR="003433F3" w:rsidRPr="00BF727A" w14:paraId="2051C836" w14:textId="77777777" w:rsidTr="00DA02D5">
        <w:tc>
          <w:tcPr>
            <w:tcW w:w="3055" w:type="dxa"/>
          </w:tcPr>
          <w:p w14:paraId="146797A2" w14:textId="77777777" w:rsidR="003433F3" w:rsidRPr="00BF727A" w:rsidRDefault="003433F3" w:rsidP="00B73B37">
            <w:pPr>
              <w:overflowPunct/>
              <w:adjustRightInd/>
              <w:jc w:val="left"/>
              <w:rPr>
                <w:szCs w:val="22"/>
              </w:rPr>
            </w:pPr>
            <w:r>
              <w:t xml:space="preserve">Rezultat glasovanja </w:t>
            </w:r>
            <w:r>
              <w:br/>
              <w:t>(za/proti/vzdržani)</w:t>
            </w:r>
          </w:p>
        </w:tc>
        <w:tc>
          <w:tcPr>
            <w:tcW w:w="6018" w:type="dxa"/>
            <w:vAlign w:val="bottom"/>
          </w:tcPr>
          <w:p w14:paraId="6530E86F" w14:textId="77777777" w:rsidR="003433F3" w:rsidRPr="00BF727A" w:rsidRDefault="003433F3" w:rsidP="00B73B37">
            <w:pPr>
              <w:overflowPunct/>
              <w:adjustRightInd/>
              <w:jc w:val="left"/>
              <w:textAlignment w:val="auto"/>
              <w:rPr>
                <w:szCs w:val="22"/>
              </w:rPr>
            </w:pPr>
            <w:r>
              <w:t>…/…/…</w:t>
            </w:r>
          </w:p>
        </w:tc>
      </w:tr>
    </w:tbl>
    <w:p w14:paraId="7C7A89F1" w14:textId="77777777" w:rsidR="0090053A" w:rsidRPr="00BF727A" w:rsidRDefault="0090053A" w:rsidP="00B73B37">
      <w:pPr>
        <w:overflowPunct/>
        <w:adjustRightInd/>
        <w:textAlignment w:val="auto"/>
        <w:rPr>
          <w:szCs w:val="22"/>
        </w:rPr>
      </w:pPr>
    </w:p>
    <w:p w14:paraId="040AE9F3" w14:textId="77777777" w:rsidR="00646AC2" w:rsidRPr="00BF727A" w:rsidRDefault="00646AC2" w:rsidP="00B73B37">
      <w:pPr>
        <w:overflowPunct/>
        <w:adjustRightInd/>
        <w:textAlignment w:val="auto"/>
        <w:rPr>
          <w:szCs w:val="22"/>
        </w:rPr>
      </w:pPr>
      <w:r>
        <w:br w:type="page"/>
      </w:r>
    </w:p>
    <w:p w14:paraId="31BDCB72" w14:textId="77777777" w:rsidR="00A86BA8" w:rsidRPr="00BF727A" w:rsidRDefault="00A86BA8" w:rsidP="00B73B37">
      <w:pPr>
        <w:pStyle w:val="Heading1"/>
        <w:ind w:left="567" w:hanging="567"/>
        <w:rPr>
          <w:b/>
          <w:szCs w:val="22"/>
        </w:rPr>
      </w:pPr>
      <w:r>
        <w:rPr>
          <w:b/>
        </w:rPr>
        <w:lastRenderedPageBreak/>
        <w:t>Uvod</w:t>
      </w:r>
    </w:p>
    <w:p w14:paraId="45A175A8" w14:textId="77777777" w:rsidR="003C48E4" w:rsidRPr="00BF727A" w:rsidRDefault="003C48E4" w:rsidP="00B73B37"/>
    <w:p w14:paraId="0781EEBB" w14:textId="0C3C17DB" w:rsidR="00A86BA8" w:rsidRPr="00D57DC2" w:rsidRDefault="00650F0F" w:rsidP="00B73B37">
      <w:pPr>
        <w:pStyle w:val="Heading2"/>
        <w:ind w:left="567" w:hanging="567"/>
      </w:pPr>
      <w:r>
        <w:t>To informativno poročilo je del svežnja, ki vključuje tudi resolucijo</w:t>
      </w:r>
      <w:r w:rsidRPr="00BF727A">
        <w:rPr>
          <w:rStyle w:val="FootnoteReference"/>
          <w:sz w:val="22"/>
          <w:szCs w:val="22"/>
        </w:rPr>
        <w:footnoteReference w:id="2"/>
      </w:r>
      <w:r>
        <w:t xml:space="preserve"> in s katerim se nadaljuje delo skupine EESO za evropski semester, ki se je o ključnih temah evropskega semestra posvetovala z nacionalnimi ekonomsko-socialnimi sveti, socialnimi partnerji in organizacijami civilne družbe v državah članicah EU. V informativnem poročilu so zbrana stališča socialnih partnerjev in organizacij civilne družbe v državah članicah. Podrobni rezultati posvetovanja so v prilogi</w:t>
      </w:r>
      <w:r w:rsidR="00C30E75" w:rsidRPr="00BF727A">
        <w:rPr>
          <w:rStyle w:val="FootnoteReference"/>
          <w:sz w:val="22"/>
          <w:szCs w:val="22"/>
        </w:rPr>
        <w:footnoteReference w:id="3"/>
      </w:r>
      <w:r>
        <w:t>.</w:t>
      </w:r>
    </w:p>
    <w:p w14:paraId="1EB028E5" w14:textId="77777777" w:rsidR="00A86BA8" w:rsidRPr="00BF727A" w:rsidRDefault="00A86BA8" w:rsidP="00B73B37">
      <w:pPr>
        <w:rPr>
          <w:szCs w:val="22"/>
        </w:rPr>
      </w:pPr>
    </w:p>
    <w:p w14:paraId="671D8C11" w14:textId="28BA6CDB" w:rsidR="00EF3E11" w:rsidRPr="00BF727A" w:rsidRDefault="00A46347" w:rsidP="00B73B37">
      <w:pPr>
        <w:pStyle w:val="Heading1"/>
        <w:keepNext/>
        <w:ind w:left="567" w:hanging="567"/>
        <w:rPr>
          <w:b/>
          <w:szCs w:val="22"/>
        </w:rPr>
      </w:pPr>
      <w:r>
        <w:rPr>
          <w:b/>
        </w:rPr>
        <w:t>Ozadje</w:t>
      </w:r>
    </w:p>
    <w:p w14:paraId="12EED186" w14:textId="77777777" w:rsidR="00CB0192" w:rsidRPr="00BF727A" w:rsidRDefault="00CB0192" w:rsidP="00B73B37">
      <w:pPr>
        <w:keepNext/>
        <w:rPr>
          <w:szCs w:val="22"/>
        </w:rPr>
      </w:pPr>
    </w:p>
    <w:p w14:paraId="2517E89F" w14:textId="123DDCCA" w:rsidR="00D03363" w:rsidRPr="00BF727A" w:rsidRDefault="00650F0F" w:rsidP="00B73B37">
      <w:pPr>
        <w:pStyle w:val="Heading2"/>
        <w:ind w:left="567" w:hanging="567"/>
      </w:pPr>
      <w:r>
        <w:t>Glavna tema letošnjega posvetovanja so ukrepi za reforme in naložbe v državah članicah, zlasti na podlagi specifičnih priporočil za države za leto 2025</w:t>
      </w:r>
      <w:r w:rsidRPr="00BF727A">
        <w:rPr>
          <w:rStyle w:val="FootnoteReference"/>
          <w:sz w:val="22"/>
        </w:rPr>
        <w:footnoteReference w:id="4"/>
      </w:r>
      <w:r>
        <w:t>, ter njihovo izvajanje. Oceniti želimo učinkovitost ukrepov in preučiti, kako bi jih bilo mogoče bolj ciljno usmeriti, izboljšati izvajanje in okrepiti spremljanje z vključitvijo organizirane civilne družbe.</w:t>
      </w:r>
    </w:p>
    <w:p w14:paraId="3BB06423" w14:textId="77777777" w:rsidR="003C48E4" w:rsidRPr="00BF727A" w:rsidRDefault="003C48E4" w:rsidP="00B73B37"/>
    <w:p w14:paraId="2D1A3BBB" w14:textId="6A4BE23C" w:rsidR="00D03363" w:rsidRPr="00BF727A" w:rsidRDefault="00D03363" w:rsidP="00B73B37">
      <w:pPr>
        <w:pStyle w:val="Heading2"/>
        <w:ind w:left="567" w:hanging="567"/>
      </w:pPr>
      <w:r>
        <w:t>Na podlagi prejšnjih posvetovanj bodo preučeni napredek pri dokončanju in izvajanju reform in naložb iz nacionalnih načrtov za okrevanje in odpornost ter glavne pozitivne in negativne izkušnje, pridobljene v zvezi s tem instrumentom.</w:t>
      </w:r>
    </w:p>
    <w:p w14:paraId="7F0C0492" w14:textId="77777777" w:rsidR="00D03363" w:rsidRPr="00BF727A" w:rsidRDefault="00D03363" w:rsidP="00B73B37">
      <w:pPr>
        <w:pStyle w:val="Heading2"/>
        <w:numPr>
          <w:ilvl w:val="0"/>
          <w:numId w:val="0"/>
        </w:numPr>
        <w:ind w:left="567" w:hanging="567"/>
      </w:pPr>
    </w:p>
    <w:p w14:paraId="555A8211" w14:textId="7C33021E" w:rsidR="00A81FA0" w:rsidRPr="00BF727A" w:rsidRDefault="00D03363" w:rsidP="00B73B37">
      <w:pPr>
        <w:pStyle w:val="Heading2"/>
        <w:ind w:left="567" w:hanging="567"/>
      </w:pPr>
      <w:r>
        <w:t>Poleg tega bosta obravnavana izvajanje in spremljanje srednjeročnih fiskalno-strukturnih načrtov</w:t>
      </w:r>
      <w:r w:rsidR="00650F0F" w:rsidRPr="00244BD5">
        <w:rPr>
          <w:rStyle w:val="FootnoteReference"/>
          <w:sz w:val="22"/>
        </w:rPr>
        <w:footnoteReference w:id="5"/>
      </w:r>
      <w:r>
        <w:t>, ki so bili uvedeni po reviziji okvira ekonomskega upravljanja</w:t>
      </w:r>
      <w:r w:rsidR="00650F0F" w:rsidRPr="00244BD5">
        <w:rPr>
          <w:rStyle w:val="FootnoteReference"/>
          <w:sz w:val="22"/>
        </w:rPr>
        <w:footnoteReference w:id="6"/>
      </w:r>
      <w:r>
        <w:t>. Priprava, izvajanje in spremljanje teh načrtov so bili vključeni v evropski semester.</w:t>
      </w:r>
    </w:p>
    <w:p w14:paraId="28440128" w14:textId="77777777" w:rsidR="00A81FA0" w:rsidRPr="00BF727A" w:rsidRDefault="00A81FA0" w:rsidP="00B73B37">
      <w:pPr>
        <w:pStyle w:val="Heading2"/>
        <w:numPr>
          <w:ilvl w:val="0"/>
          <w:numId w:val="0"/>
        </w:numPr>
        <w:ind w:left="567"/>
      </w:pPr>
    </w:p>
    <w:p w14:paraId="73934ED3" w14:textId="20F3C1A7" w:rsidR="00650F0F" w:rsidRPr="00BF727A" w:rsidRDefault="00650F0F" w:rsidP="00B73B37">
      <w:pPr>
        <w:pStyle w:val="Heading2"/>
        <w:ind w:left="567" w:hanging="567"/>
      </w:pPr>
      <w:r>
        <w:t>Ovrednotena bodo tudi mnenja socialnih partnerjev in organizacij civilne družbe o povezavi med naslednjim večletnim finančnim okvirom in evropskim semestrom, vključno s tem, kako jih smiselno in učinkovito vključiti, ter preučitvijo morebitnih koristi, tveganj in ovir v zvezi s to povezavo.</w:t>
      </w:r>
    </w:p>
    <w:p w14:paraId="4A351164" w14:textId="77777777" w:rsidR="00EF3E11" w:rsidRPr="00BF727A" w:rsidRDefault="00EF3E11" w:rsidP="00B73B37">
      <w:pPr>
        <w:rPr>
          <w:szCs w:val="22"/>
        </w:rPr>
      </w:pPr>
    </w:p>
    <w:p w14:paraId="70E9184B" w14:textId="039E699F" w:rsidR="00EF3E11" w:rsidRPr="00BF727A" w:rsidRDefault="00A46347" w:rsidP="00B73B37">
      <w:pPr>
        <w:pStyle w:val="Heading1"/>
        <w:keepNext/>
        <w:ind w:left="567" w:hanging="567"/>
        <w:rPr>
          <w:b/>
          <w:szCs w:val="22"/>
        </w:rPr>
      </w:pPr>
      <w:r>
        <w:rPr>
          <w:b/>
        </w:rPr>
        <w:t>Metodologija</w:t>
      </w:r>
      <w:r w:rsidR="00F458A6" w:rsidRPr="00BF727A">
        <w:rPr>
          <w:rStyle w:val="FootnoteReference"/>
          <w:b/>
          <w:sz w:val="22"/>
          <w:szCs w:val="22"/>
        </w:rPr>
        <w:footnoteReference w:id="7"/>
      </w:r>
    </w:p>
    <w:p w14:paraId="2553BAE9" w14:textId="77777777" w:rsidR="00CB0192" w:rsidRPr="00BF727A" w:rsidRDefault="00CB0192" w:rsidP="00B73B37">
      <w:pPr>
        <w:keepNext/>
        <w:rPr>
          <w:szCs w:val="22"/>
        </w:rPr>
      </w:pPr>
    </w:p>
    <w:p w14:paraId="4E0D0C2E" w14:textId="1088B29F" w:rsidR="00A947A8" w:rsidRPr="00D57DC2" w:rsidRDefault="007F7B77" w:rsidP="00B73B37">
      <w:pPr>
        <w:pStyle w:val="Heading2"/>
        <w:ind w:left="567" w:hanging="567"/>
      </w:pPr>
      <w:r>
        <w:t>Podatki in informacije za to poročilo so se zbirali med januarjem in marcem 2026. Skupaj je bilo prejetih 27 nacionalnih prispevkov (22 pisnih odgovorov na vprašalnik</w:t>
      </w:r>
      <w:r w:rsidR="00005D99" w:rsidRPr="00D57DC2">
        <w:rPr>
          <w:rStyle w:val="FootnoteReference"/>
          <w:bCs/>
          <w:sz w:val="22"/>
          <w:szCs w:val="22"/>
        </w:rPr>
        <w:footnoteReference w:id="8"/>
      </w:r>
      <w:r>
        <w:t xml:space="preserve"> in 5 poročil o misijah za ugotavljanje dejstev v državah</w:t>
      </w:r>
      <w:r w:rsidR="00005D99" w:rsidRPr="00D57DC2">
        <w:rPr>
          <w:rStyle w:val="FootnoteReference"/>
          <w:bCs/>
          <w:sz w:val="22"/>
          <w:szCs w:val="22"/>
        </w:rPr>
        <w:footnoteReference w:id="9"/>
      </w:r>
      <w:r>
        <w:t>).</w:t>
      </w:r>
    </w:p>
    <w:p w14:paraId="32DEA238" w14:textId="77777777" w:rsidR="008C6CF8" w:rsidRPr="00BF727A" w:rsidRDefault="008C6CF8" w:rsidP="00B73B37">
      <w:pPr>
        <w:ind w:left="567" w:hanging="567"/>
      </w:pPr>
    </w:p>
    <w:p w14:paraId="61389A3E" w14:textId="49FBF326" w:rsidR="00A947A8" w:rsidRPr="00BF727A" w:rsidRDefault="00A46610" w:rsidP="00B73B37">
      <w:pPr>
        <w:pStyle w:val="Heading2"/>
        <w:ind w:left="567" w:hanging="567"/>
      </w:pPr>
      <w:r>
        <w:rPr>
          <w:color w:val="000000"/>
        </w:rPr>
        <w:t>Pisni prispevki vsake od 22 nacionalnih delegacij</w:t>
      </w:r>
      <w:r w:rsidRPr="00D57DC2">
        <w:rPr>
          <w:rStyle w:val="FootnoteReference"/>
          <w:color w:val="000000"/>
          <w:sz w:val="22"/>
          <w:szCs w:val="22"/>
        </w:rPr>
        <w:footnoteReference w:id="10"/>
      </w:r>
      <w:r>
        <w:rPr>
          <w:color w:val="000000"/>
        </w:rPr>
        <w:t xml:space="preserve"> temeljijo na znanju poročevalcev (po en poročevalec iz vsake od treh skupin) in/ali predhodnem posvetovanju z nacionalnimi socialnimi partnerji in organizacijami civilne družbe. Poročila o petih misijah za ugotavljanje dejstev vsebujejo ključne točke, navedene na sestankih z nacionalnimi socialnimi partnerji in organizacijami civilne družbe v teh državah. V nekaterih od teh držav so sodelovali tudi nacionalni ekonomsko-socialni sveti ali enakovredna telesa.</w:t>
      </w:r>
      <w:r>
        <w:t xml:space="preserve"> Poudarki, pomisleki in priporočila iz teh 27 prispevkov (pisnih odgovorov in poročil o državah) so zbrani, povzeti in predstavljeni v tem dokumentu. </w:t>
      </w:r>
    </w:p>
    <w:p w14:paraId="62986C6B" w14:textId="77777777" w:rsidR="00A947A8" w:rsidRPr="00BF727A" w:rsidRDefault="00A947A8" w:rsidP="00B73B37">
      <w:pPr>
        <w:pStyle w:val="Heading2"/>
        <w:numPr>
          <w:ilvl w:val="0"/>
          <w:numId w:val="0"/>
        </w:numPr>
        <w:ind w:left="567" w:hanging="567"/>
      </w:pPr>
    </w:p>
    <w:p w14:paraId="3955F5D3" w14:textId="250E804C" w:rsidR="00EF3E11" w:rsidRPr="00BF727A" w:rsidRDefault="00FD298F" w:rsidP="00B73B37">
      <w:pPr>
        <w:pStyle w:val="Heading2"/>
        <w:ind w:left="567" w:hanging="567"/>
      </w:pPr>
      <w:r>
        <w:t>Priloga k temu dokumentu vsebuje vse rezultate, zbrane za posamezno državo članico v odgovor na posamezno vprašanje. Predstavljeni so v preglednicah in grafih. Priloga vključuje tudi odgovore dveh članov povezovalne skupine EESO</w:t>
      </w:r>
      <w:r w:rsidR="003808E2" w:rsidRPr="00BF727A">
        <w:rPr>
          <w:rStyle w:val="FootnoteReference"/>
          <w:sz w:val="22"/>
          <w:szCs w:val="22"/>
        </w:rPr>
        <w:footnoteReference w:id="11"/>
      </w:r>
      <w:r>
        <w:t>.</w:t>
      </w:r>
    </w:p>
    <w:p w14:paraId="31C46DCE" w14:textId="77777777" w:rsidR="00EF3E11" w:rsidRPr="00BF727A" w:rsidRDefault="00EF3E11" w:rsidP="00B73B37">
      <w:pPr>
        <w:ind w:left="567"/>
        <w:rPr>
          <w:szCs w:val="22"/>
        </w:rPr>
      </w:pPr>
    </w:p>
    <w:p w14:paraId="57B53C9E" w14:textId="56D458E1" w:rsidR="00A46347" w:rsidRPr="00D57DC2" w:rsidRDefault="00A46347" w:rsidP="00B73B37">
      <w:pPr>
        <w:pStyle w:val="Heading1"/>
        <w:keepNext/>
        <w:ind w:left="567" w:hanging="567"/>
        <w:rPr>
          <w:b/>
          <w:szCs w:val="22"/>
        </w:rPr>
      </w:pPr>
      <w:r>
        <w:rPr>
          <w:b/>
        </w:rPr>
        <w:t>Ugotovitve na podlagi rezultatov posvetovanja</w:t>
      </w:r>
    </w:p>
    <w:p w14:paraId="5EE36FDC" w14:textId="77777777" w:rsidR="00A46347" w:rsidRPr="00BF727A" w:rsidRDefault="00A46347" w:rsidP="00B73B37">
      <w:pPr>
        <w:keepNext/>
        <w:rPr>
          <w:szCs w:val="22"/>
        </w:rPr>
      </w:pPr>
    </w:p>
    <w:p w14:paraId="56472B6E" w14:textId="45A33C18" w:rsidR="00650F0F" w:rsidRPr="00BF727A" w:rsidRDefault="00A46347" w:rsidP="00B73B37">
      <w:pPr>
        <w:pStyle w:val="Heading2"/>
        <w:ind w:left="567" w:hanging="567"/>
      </w:pPr>
      <w:r>
        <w:rPr>
          <w:i/>
        </w:rPr>
        <w:t>I. sklop: Ukrepi za reforme in naložbe v državah članicah, zlasti na podlagi specifičnih priporočil za države za leto 2025, in njihovo izvajanje</w:t>
      </w:r>
    </w:p>
    <w:p w14:paraId="0359F301" w14:textId="77777777" w:rsidR="00650F0F" w:rsidRPr="00BF727A" w:rsidRDefault="00650F0F" w:rsidP="00B73B37">
      <w:pPr>
        <w:keepNext/>
        <w:rPr>
          <w:i/>
          <w:iCs/>
          <w:szCs w:val="22"/>
        </w:rPr>
      </w:pPr>
    </w:p>
    <w:p w14:paraId="2CCC3140" w14:textId="52E8A35D" w:rsidR="00544B51" w:rsidRPr="00BF727A" w:rsidRDefault="00650F0F" w:rsidP="00B73B37">
      <w:pPr>
        <w:rPr>
          <w:kern w:val="28"/>
          <w:szCs w:val="22"/>
          <w:u w:val="single"/>
        </w:rPr>
      </w:pPr>
      <w:r>
        <w:rPr>
          <w:u w:val="single"/>
        </w:rPr>
        <w:t>1. vprašanje:</w:t>
      </w:r>
      <w:r>
        <w:t xml:space="preserve"> </w:t>
      </w:r>
      <w:r>
        <w:rPr>
          <w:b/>
        </w:rPr>
        <w:t>Kakšno je vaše splošno mnenje o specifičnih priporočilih Evropske komisije za vašo državo za leto 2025?</w:t>
      </w:r>
    </w:p>
    <w:p w14:paraId="308A2D75" w14:textId="77777777" w:rsidR="00650F0F" w:rsidRPr="00BF727A" w:rsidRDefault="00650F0F" w:rsidP="00B73B37">
      <w:pPr>
        <w:pStyle w:val="Heading3"/>
        <w:numPr>
          <w:ilvl w:val="0"/>
          <w:numId w:val="0"/>
        </w:numPr>
        <w:ind w:left="720"/>
      </w:pPr>
    </w:p>
    <w:p w14:paraId="21C09E22" w14:textId="0B8CC2D4" w:rsidR="00AF5948" w:rsidRPr="00BF727A" w:rsidRDefault="00AF5948" w:rsidP="00B73B37">
      <w:pPr>
        <w:pStyle w:val="Heading3"/>
        <w:ind w:left="567" w:hanging="567"/>
      </w:pPr>
      <w:r>
        <w:t>Socialni partnerji in organizacije civilne družbe v AT, BG, CY (II. in III. skupina</w:t>
      </w:r>
      <w:r w:rsidR="00F95C2C">
        <w:rPr>
          <w:rStyle w:val="FootnoteReference"/>
        </w:rPr>
        <w:footnoteReference w:id="12"/>
      </w:r>
      <w:r>
        <w:t>), CZ (I. in II. skupina), EL, ES (I. skupina), FI, FR, HR (I. skupina</w:t>
      </w:r>
      <w:r w:rsidR="006E32A2" w:rsidRPr="00BF727A">
        <w:rPr>
          <w:rStyle w:val="FootnoteReference"/>
          <w:szCs w:val="22"/>
        </w:rPr>
        <w:footnoteReference w:id="13"/>
      </w:r>
      <w:r>
        <w:t>, III. skupina), IE, IT</w:t>
      </w:r>
      <w:r w:rsidR="006E32A2" w:rsidRPr="00BF727A">
        <w:rPr>
          <w:rStyle w:val="FootnoteReference"/>
          <w:szCs w:val="22"/>
        </w:rPr>
        <w:footnoteReference w:id="14"/>
      </w:r>
      <w:r>
        <w:t>, LT, LV, MT, PT, RO (I. in II. skupina) in SK so menili, da so specifična priporočila za njihovo državo na splošno ustrezna, dobro usmerjena, analitično tehtna in usklajena z dejanskimi nacionalnimi izzivi.</w:t>
      </w:r>
    </w:p>
    <w:p w14:paraId="757F442F" w14:textId="77777777" w:rsidR="00AF5948" w:rsidRPr="00BF727A" w:rsidRDefault="00AF5948" w:rsidP="00B73B37">
      <w:pPr>
        <w:ind w:left="567" w:hanging="567"/>
        <w:rPr>
          <w:szCs w:val="22"/>
        </w:rPr>
      </w:pPr>
    </w:p>
    <w:p w14:paraId="50B35946" w14:textId="0DF332A7" w:rsidR="00650F0F" w:rsidRPr="00BF727A" w:rsidRDefault="00AF5948" w:rsidP="00B73B37">
      <w:pPr>
        <w:pStyle w:val="Heading3"/>
        <w:ind w:left="567" w:hanging="567"/>
      </w:pPr>
      <w:r>
        <w:t>V BE, DE, DK (II. in III. skupina), ES (II. in III. skupina), HR (I.</w:t>
      </w:r>
      <w:r w:rsidR="006E32A2" w:rsidRPr="00BF727A">
        <w:rPr>
          <w:rStyle w:val="FootnoteReference"/>
          <w:szCs w:val="22"/>
        </w:rPr>
        <w:footnoteReference w:id="15"/>
      </w:r>
      <w:r>
        <w:t xml:space="preserve"> in II. skupina), HU, IT (III. skupina</w:t>
      </w:r>
      <w:r w:rsidR="006E32A2" w:rsidRPr="00BF727A">
        <w:rPr>
          <w:rStyle w:val="FootnoteReference"/>
          <w:szCs w:val="22"/>
        </w:rPr>
        <w:footnoteReference w:id="16"/>
      </w:r>
      <w:r>
        <w:t xml:space="preserve">), LU, NL, PL, SE in SI specifičnih priporočil za svojo državo niso zavračali, ampak so se nagibali k sprejemanju z zadržki. Deležniki so menili, da priporočila niso brez vrednosti, vendar so dosledno opozarjali na vrzeli, opustitve ali slabo umeščanje v kontekst. Številni so na primer priporočila šteli za koristna, a so poudarili, da so v njih premalo upoštevane socialne razsežnosti, ter pozvali, naj se v večji meri vključijo socialna pravičnost, plače in delovnopravno </w:t>
      </w:r>
      <w:r>
        <w:lastRenderedPageBreak/>
        <w:t>varstvo. Opozorili so tudi na neravnovesja med prednostnimi nalogami politike (npr. obrambo, okoljem in gospodarstvom).</w:t>
      </w:r>
    </w:p>
    <w:p w14:paraId="0B74BC3B" w14:textId="77777777" w:rsidR="00544B51" w:rsidRPr="00BF727A" w:rsidRDefault="00544B51" w:rsidP="00B73B37">
      <w:pPr>
        <w:rPr>
          <w:szCs w:val="22"/>
          <w:lang w:eastAsia="fr-BE"/>
        </w:rPr>
      </w:pPr>
    </w:p>
    <w:p w14:paraId="1865E932" w14:textId="39EB36B5" w:rsidR="00544B51" w:rsidRPr="00BF727A" w:rsidRDefault="00544B51" w:rsidP="00B73B37">
      <w:pPr>
        <w:keepNext/>
        <w:keepLines/>
        <w:rPr>
          <w:szCs w:val="22"/>
        </w:rPr>
      </w:pPr>
      <w:r>
        <w:rPr>
          <w:u w:val="single"/>
        </w:rPr>
        <w:t>2. vprašanje:</w:t>
      </w:r>
      <w:r>
        <w:t xml:space="preserve"> </w:t>
      </w:r>
      <w:r>
        <w:rPr>
          <w:b/>
        </w:rPr>
        <w:t>Ali ta priporočila obravnavajo izzive, s katerimi se sooča vaša država?</w:t>
      </w:r>
    </w:p>
    <w:p w14:paraId="2833A07B" w14:textId="77777777" w:rsidR="00AF5948" w:rsidRPr="00BF727A" w:rsidRDefault="00AF5948" w:rsidP="00B73B37">
      <w:pPr>
        <w:keepNext/>
        <w:keepLines/>
        <w:rPr>
          <w:szCs w:val="22"/>
        </w:rPr>
      </w:pPr>
    </w:p>
    <w:p w14:paraId="073AB529" w14:textId="72F7EFCF" w:rsidR="00AF5948" w:rsidRPr="00BF727A" w:rsidRDefault="00AF5948" w:rsidP="00B73B37">
      <w:pPr>
        <w:pStyle w:val="Heading3"/>
        <w:ind w:left="567" w:hanging="567"/>
      </w:pPr>
      <w:r>
        <w:t>Socialni partnerji in organizacije civilne družbe v BE, BG, CY, CZ (I. in II. skupina), DK (II. skupina), EL, ES, FI, FR, HR (I. in III. skupina), IE, IT</w:t>
      </w:r>
      <w:r w:rsidR="0048232D" w:rsidRPr="00BF727A">
        <w:rPr>
          <w:rStyle w:val="FootnoteReference"/>
          <w:szCs w:val="22"/>
        </w:rPr>
        <w:footnoteReference w:id="17"/>
      </w:r>
      <w:r>
        <w:t xml:space="preserve">, LT, LV, MT, NL, PL, PT, RO (I. in II. skupina), SE, SI in SK so se na splošno strinjali, da so v priporočilih pravilno opredeljeni osrednji nacionalni izzivi, zlasti strukturna in ekonomska vprašanja ter vprašanja v zvezi s trgom dela. Številni pa so menili, da so priporočila načeloma točna, vendar nepopolna: njihova prednost so makroekonomske in strukturne politične smernice, vendar naj bi premalo pozornosti posvečala socialnim vprašanjem. </w:t>
      </w:r>
    </w:p>
    <w:p w14:paraId="72448F7A" w14:textId="77777777" w:rsidR="00AF5948" w:rsidRPr="00BF727A" w:rsidRDefault="00AF5948" w:rsidP="00B73B37">
      <w:pPr>
        <w:pStyle w:val="Heading3"/>
        <w:numPr>
          <w:ilvl w:val="0"/>
          <w:numId w:val="0"/>
        </w:numPr>
        <w:ind w:left="720"/>
      </w:pPr>
    </w:p>
    <w:p w14:paraId="18134693" w14:textId="64EBAF33" w:rsidR="00544B51" w:rsidRPr="00BF727A" w:rsidRDefault="00AF5948" w:rsidP="00B73B37">
      <w:pPr>
        <w:pStyle w:val="Heading3"/>
        <w:ind w:left="567" w:hanging="567"/>
      </w:pPr>
      <w:r>
        <w:t>Po drugi strani so socialni partnerji in organizacije civilne družbe v AT, CZ (III. skupina), DE, DK (III. skupina), HR (II. skupina), HU, IT (II. skupina)</w:t>
      </w:r>
      <w:r w:rsidR="0048232D" w:rsidRPr="00BF727A">
        <w:rPr>
          <w:rStyle w:val="FootnoteReference"/>
          <w:szCs w:val="22"/>
        </w:rPr>
        <w:footnoteReference w:id="18"/>
      </w:r>
      <w:r>
        <w:t xml:space="preserve"> in LU večinoma menili, da so priporočila preveč splošna, le delno upoštevajo posebne lastnosti posamezne države ter vsebujejo premalo konkretnih in ciljno usmerjenih smernic. Poleg tega so izrazili skrb, da je v priporočilih podcenjeno dejansko stanje na socialnem področju in trgu dela.</w:t>
      </w:r>
    </w:p>
    <w:p w14:paraId="7D966A9C" w14:textId="77777777" w:rsidR="00544B51" w:rsidRPr="00BF727A" w:rsidRDefault="00544B51" w:rsidP="00B73B37">
      <w:pPr>
        <w:rPr>
          <w:szCs w:val="22"/>
          <w:lang w:eastAsia="fr-BE"/>
        </w:rPr>
      </w:pPr>
    </w:p>
    <w:p w14:paraId="0E84D9BC" w14:textId="7B2D3D7C" w:rsidR="00544B51" w:rsidRPr="00BF727A" w:rsidRDefault="00544B51" w:rsidP="00B73B37">
      <w:pPr>
        <w:keepNext/>
        <w:keepLines/>
        <w:rPr>
          <w:b/>
          <w:szCs w:val="22"/>
        </w:rPr>
      </w:pPr>
      <w:r>
        <w:rPr>
          <w:u w:val="single"/>
        </w:rPr>
        <w:t>3. vprašanje:</w:t>
      </w:r>
      <w:r>
        <w:t xml:space="preserve"> </w:t>
      </w:r>
      <w:r>
        <w:rPr>
          <w:b/>
        </w:rPr>
        <w:t>Kakšno mnenje imate o tem, kako vaša vlada ta priporočila izvaja s konkretnimi političnimi ukrepi?</w:t>
      </w:r>
    </w:p>
    <w:p w14:paraId="3F41FF57" w14:textId="77777777" w:rsidR="004D0DB0" w:rsidRPr="00BF727A" w:rsidRDefault="004D0DB0" w:rsidP="00B73B37">
      <w:pPr>
        <w:keepNext/>
        <w:keepLines/>
        <w:rPr>
          <w:b/>
          <w:szCs w:val="22"/>
        </w:rPr>
      </w:pPr>
    </w:p>
    <w:p w14:paraId="44EE4AAA" w14:textId="21FC840F" w:rsidR="00AF5948" w:rsidRPr="00BF727A" w:rsidRDefault="00AF5948" w:rsidP="00B73B37">
      <w:pPr>
        <w:pStyle w:val="Heading3"/>
        <w:ind w:left="567" w:hanging="567"/>
      </w:pPr>
      <w:r>
        <w:t>Socialni partnerji in organizacije civilne družbe v CY (III. skupina), EL, ES (II. in III. skupina), HR, HU, IT (I. skupina) in MT so menili, da njihove nacionalne vlade aktivno sprejemajo politične ukrepe na podlagi specifičnih priporočil za države, vendar priporočil še niso izvedle v celoti in se napredek med sektorji razlikuje. Na primer, v EL, ES in HU so dosegli ekonomsko in fiskalno izboljšanje (rast, zmanjšanje dolga, stabilnost), v CY, EL, ES in MT pa trdovratni socialni izzivi še niso bili v celoti odpravljeni (plače, pokojnine, neenakost, stanovanja).</w:t>
      </w:r>
    </w:p>
    <w:p w14:paraId="04B34556" w14:textId="77777777" w:rsidR="00AF5948" w:rsidRPr="00BF727A" w:rsidRDefault="00AF5948" w:rsidP="00B73B37">
      <w:pPr>
        <w:pStyle w:val="Heading3"/>
        <w:numPr>
          <w:ilvl w:val="0"/>
          <w:numId w:val="0"/>
        </w:numPr>
        <w:ind w:left="720"/>
      </w:pPr>
    </w:p>
    <w:p w14:paraId="6C77A518" w14:textId="61521BCF" w:rsidR="00AF5948" w:rsidRPr="00BF727A" w:rsidRDefault="00B758A0" w:rsidP="00B73B37">
      <w:pPr>
        <w:pStyle w:val="Heading3"/>
        <w:ind w:left="567" w:hanging="567"/>
      </w:pPr>
      <w:r>
        <w:t>Socialni partnerji in organizacije civilne družbe v BG, CY (I. skupina), DE, DK (II. skupina), ES (I. skupina), FI, HR (II. skupina), IE, PL, PT, SI in SK so priznali, da si njihove nacionalne vlade prizadevajo ukrepati in napredovati v pravo smer, vendar so menili, da ti ukrepi zaradi nejasnosti in neskladnosti ter vrzeli v izvajanju in omejenega učinka niso popolnoma učinkoviti.</w:t>
      </w:r>
    </w:p>
    <w:p w14:paraId="4505740B" w14:textId="77777777" w:rsidR="00AF5948" w:rsidRPr="00BF727A" w:rsidRDefault="00AF5948" w:rsidP="00B73B37">
      <w:pPr>
        <w:pStyle w:val="Heading3"/>
        <w:numPr>
          <w:ilvl w:val="0"/>
          <w:numId w:val="0"/>
        </w:numPr>
        <w:ind w:left="720"/>
      </w:pPr>
    </w:p>
    <w:p w14:paraId="7D419A3E" w14:textId="7B90F084" w:rsidR="00AF5948" w:rsidRPr="00BF727A" w:rsidRDefault="00AF5948" w:rsidP="00B73B37">
      <w:pPr>
        <w:pStyle w:val="Heading3"/>
        <w:ind w:left="567" w:hanging="567"/>
      </w:pPr>
      <w:r>
        <w:t>Socialni partnerji in organizacije civilne družbe v AT, BE, CY (II. skupina), CZ (I. in II. skupina), DK (III. skupina), EE, IT (II. in III. skupina), LT, LU, LV, NL, RO (I. in II. skupina) ter SE so navedli, da nacionalne vlade specifičnih priporočil ne prenašajo učinkovito v konkretne politike, številni pa so izvajanje opisali kot delno, slabo, počasno ali nepopolno.</w:t>
      </w:r>
    </w:p>
    <w:p w14:paraId="58C72AF7" w14:textId="77777777" w:rsidR="00AF5948" w:rsidRPr="00BF727A" w:rsidRDefault="00AF5948" w:rsidP="00B73B37">
      <w:pPr>
        <w:pStyle w:val="Heading3"/>
        <w:numPr>
          <w:ilvl w:val="0"/>
          <w:numId w:val="0"/>
        </w:numPr>
        <w:ind w:left="720"/>
      </w:pPr>
    </w:p>
    <w:p w14:paraId="7EDEBE22" w14:textId="5DF0A3C8" w:rsidR="000D640C" w:rsidRPr="00BF727A" w:rsidRDefault="00B758A0" w:rsidP="00B73B37">
      <w:pPr>
        <w:pStyle w:val="Heading3"/>
        <w:ind w:left="567" w:hanging="567"/>
      </w:pPr>
      <w:r>
        <w:t>Socialni partnerji in organizacije civilne družbe v AT, IT, PT in SK so poudarili, da je med oblikovanjem politik in njihovim dejanskim izvajanjem velika vrzel.</w:t>
      </w:r>
    </w:p>
    <w:p w14:paraId="166582AC" w14:textId="77777777" w:rsidR="000D640C" w:rsidRPr="00D57DC2" w:rsidRDefault="000D640C" w:rsidP="00B73B37">
      <w:pPr>
        <w:pStyle w:val="ListParagraph"/>
        <w:spacing w:line="288" w:lineRule="auto"/>
        <w:ind w:left="-115"/>
        <w:jc w:val="both"/>
        <w:rPr>
          <w:rFonts w:ascii="Times New Roman" w:eastAsia="Times New Roman" w:hAnsi="Times New Roman" w:cs="Times New Roman"/>
          <w:noProof w:val="0"/>
          <w:sz w:val="22"/>
          <w:szCs w:val="22"/>
        </w:rPr>
      </w:pPr>
    </w:p>
    <w:p w14:paraId="19A1CCE7" w14:textId="328D52AD" w:rsidR="00544B51" w:rsidRPr="00BF727A" w:rsidRDefault="00B758A0" w:rsidP="00B73B37">
      <w:pPr>
        <w:pStyle w:val="Heading3"/>
        <w:ind w:left="567" w:hanging="567"/>
      </w:pPr>
      <w:r>
        <w:lastRenderedPageBreak/>
        <w:t>Nekateri predstavniki v EL, IT in LV so poudarili, da ne zadošča le opredeljevanje izzivov, saj je glavna težava povezana z izvajanjem in izvrševanjem. Menili so, da je za učinkovito izvajanje priporočil s konkretnimi političnimi ukrepi potrebna trdna politična volja.</w:t>
      </w:r>
    </w:p>
    <w:p w14:paraId="64585433" w14:textId="77777777" w:rsidR="00544B51" w:rsidRPr="00BF727A" w:rsidRDefault="00544B51" w:rsidP="00B73B37">
      <w:pPr>
        <w:rPr>
          <w:kern w:val="28"/>
          <w:szCs w:val="22"/>
          <w:u w:val="single"/>
        </w:rPr>
      </w:pPr>
    </w:p>
    <w:p w14:paraId="2BA31C85" w14:textId="72A9873E" w:rsidR="00544B51" w:rsidRPr="00BF727A" w:rsidRDefault="00544B51" w:rsidP="00B73B37">
      <w:pPr>
        <w:keepNext/>
        <w:keepLines/>
        <w:rPr>
          <w:b/>
          <w:szCs w:val="22"/>
        </w:rPr>
      </w:pPr>
      <w:r>
        <w:rPr>
          <w:u w:val="single"/>
        </w:rPr>
        <w:t>4. vprašanje:</w:t>
      </w:r>
      <w:r>
        <w:t xml:space="preserve"> </w:t>
      </w:r>
      <w:r>
        <w:rPr>
          <w:b/>
        </w:rPr>
        <w:t>Ali se je vključenost socialnih partnerjev in organizacij civilne družbe v dialog med vašo vlado in Evropsko komisijo v letu 2025 izboljšala? Kako bi jo ocenili? Kako bi se vključenost socialnih partnerjev in organizacij civilne družbe lahko izboljšala?</w:t>
      </w:r>
    </w:p>
    <w:p w14:paraId="1F2A46AA" w14:textId="77777777" w:rsidR="000D640C" w:rsidRPr="00BF727A" w:rsidRDefault="000D640C" w:rsidP="00B73B37">
      <w:pPr>
        <w:keepNext/>
        <w:keepLines/>
        <w:rPr>
          <w:b/>
          <w:szCs w:val="22"/>
        </w:rPr>
      </w:pPr>
    </w:p>
    <w:p w14:paraId="6671F894" w14:textId="17331454" w:rsidR="000D640C" w:rsidRPr="00BF727A" w:rsidRDefault="000D640C" w:rsidP="00B73B37">
      <w:pPr>
        <w:pStyle w:val="Heading3"/>
        <w:ind w:left="567" w:hanging="567"/>
      </w:pPr>
      <w:r>
        <w:t>Socialni partnerji in organizacije civilne družbe v CY, EL, HR (I. in III. skupina), HU, IT (I. in III. skupina), LT, PL, RO (I. skupina) in SI so navedli, da sta se posvetovanje in dialog z njihovimi vladami in Evropsko komisijo v letu 2025 povečala. Menili so, da se je izboljšala oblika dialoga, njegova vsebina pa le delno, in da je še vedno pomanjkljiv z vidika kakovosti, obsega in dejanskega vpliva na oblikovanje politik.</w:t>
      </w:r>
    </w:p>
    <w:p w14:paraId="3D5A3928" w14:textId="77777777" w:rsidR="000D640C" w:rsidRPr="00BF727A" w:rsidRDefault="000D640C" w:rsidP="00B73B37">
      <w:pPr>
        <w:pStyle w:val="Heading3"/>
        <w:numPr>
          <w:ilvl w:val="0"/>
          <w:numId w:val="0"/>
        </w:numPr>
        <w:ind w:left="720"/>
      </w:pPr>
    </w:p>
    <w:p w14:paraId="494F82E1" w14:textId="208388CB" w:rsidR="000D640C" w:rsidRPr="00BF727A" w:rsidRDefault="000D640C" w:rsidP="00B73B37">
      <w:pPr>
        <w:pStyle w:val="Heading3"/>
        <w:ind w:left="567" w:hanging="567"/>
      </w:pPr>
      <w:r>
        <w:t>Socialni partnerji in organizacije civilne družbe v AT, BE, BG, CZ, DE, DK (II. in III. skupina), EE (II. in III. skupina), ES, FI, FR, HR (II. skupina), IE, IT (II. in III. skupina), LV, LU, MT, NL, PT, RO (II. in III. skupina), SE in SK so navedli, da je vključenost večinoma nespremenjena, proceduralna ali nezadostna. V letu 2025 ni bilo bistvenega napredka, v nekaterih primerih pa je vključenost celo nazadovala. Udeležba se pogosto dojema kot simbolično izpolnjevanje obveznosti, ne pa kot resnično soodločanje ali sooblikovanje. Številne države nimajo skladnega okvira, ki bi posvetovanja povezoval s postopki dialoga EU.</w:t>
      </w:r>
    </w:p>
    <w:p w14:paraId="0A5CD94B" w14:textId="77777777" w:rsidR="000D640C" w:rsidRPr="00BF727A" w:rsidRDefault="000D640C" w:rsidP="00B73B37">
      <w:pPr>
        <w:pStyle w:val="Heading3"/>
        <w:numPr>
          <w:ilvl w:val="0"/>
          <w:numId w:val="0"/>
        </w:numPr>
        <w:ind w:left="720"/>
      </w:pPr>
    </w:p>
    <w:p w14:paraId="2708C6C6" w14:textId="39946315" w:rsidR="000D640C" w:rsidRPr="00BF727A" w:rsidRDefault="00143034" w:rsidP="00B73B37">
      <w:pPr>
        <w:pStyle w:val="Heading3"/>
        <w:ind w:left="567" w:hanging="567"/>
      </w:pPr>
      <w:r>
        <w:t>Ocena vključenosti socialnih partnerjev in organizacij civilne družbe v dialog med vladami in Evropsko komisijo o specifičnih priporočilih za države je po državah naslednja: „vključenost je aktivna“ v HR (I. in III. skupina), HU in SE, „vključenost je vidna, vendar nezadostna“ v BE, CY, CZ (I. in II. skupina), EL, FI, FR, HR (II. skupina), IT (I. skupina in nekateri predstavniki III. skupine), LV, LT, LU, PL, RO (I. skupina), SI in SK, „vključenost je slaba“ v AT, BG, DE, DK (II. in III. skupina), EE (II. in III. skupina), ES (I. in III. skupina), IE, IT (II. skupina in nekateri predstavniki III. skupine), MT, NL, PT in RO (II. skupina) ter „vključenosti ni“ v CZ (III. skupina) in ES (II. skupina).</w:t>
      </w:r>
    </w:p>
    <w:p w14:paraId="16BE5A12" w14:textId="77777777" w:rsidR="000D640C" w:rsidRPr="00BF727A" w:rsidRDefault="000D640C" w:rsidP="00B73B37">
      <w:pPr>
        <w:pStyle w:val="Heading3"/>
        <w:numPr>
          <w:ilvl w:val="0"/>
          <w:numId w:val="0"/>
        </w:numPr>
        <w:ind w:left="720"/>
      </w:pPr>
    </w:p>
    <w:p w14:paraId="7F20CD73" w14:textId="3D49A5A3" w:rsidR="00456658" w:rsidRPr="00BF727A" w:rsidRDefault="000D640C" w:rsidP="00B73B37">
      <w:pPr>
        <w:pStyle w:val="Heading3"/>
        <w:ind w:left="567" w:hanging="567"/>
      </w:pPr>
      <w:r>
        <w:t>Socialni partnerji in organizacije civilne družbe v večini držav članic EU so poudarili še, da je potrebna zgodnejša, bolj strukturirana in bolj vsebinska vključenost v celotni cikel politike (od oblikovanja do izvajanja in ocenjevanja) namesto posvetovanj, ki so prepozna, proceduralna ali se izvajajo priložnostno. Anketiranci v BE, DE, ES (III. skupina), PL, PT, SI in SK so menili, da bi se morale vlade odzvati na prispevke in pojasniti, zakaj so predloge sprejele ali zavrnile. Anketiranci v BE, CZ, HU, MT in PL so opozorili, da je treba okrepiti zmogljivosti in vire socialnih partnerjev in organizacij civilne družbe, zlasti z boljšo finančno podporo, priložnostmi za usposabljanje in krepitvijo institucionalnih zmogljivosti, da bi omogočili učinkovitejšo udeležbo v procesu evropskega semestra. Anketiranci v AT, DK (II. in III. skupina), EL, ES (II. in III. skupina), HR (II. in III. skupina), IT, LU in SI so poudarili, da so potrebni bolj strukturirani in institucionalizirani mehanizmi dialoga, tudi formalizirani okviri, stabilni in predvidljivi posvetovalni postopki ter redni forumi, da bi zagotovili sistematično in stalno vključenost.</w:t>
      </w:r>
    </w:p>
    <w:p w14:paraId="6CC4D608" w14:textId="77777777" w:rsidR="00A46347" w:rsidRPr="00BF727A" w:rsidRDefault="00A46347" w:rsidP="00B73B37">
      <w:pPr>
        <w:rPr>
          <w:szCs w:val="22"/>
        </w:rPr>
      </w:pPr>
    </w:p>
    <w:p w14:paraId="5653E771" w14:textId="4D64282B" w:rsidR="00A46347" w:rsidRPr="00BF727A" w:rsidRDefault="00A46347" w:rsidP="00B73B37">
      <w:pPr>
        <w:pStyle w:val="Heading2"/>
        <w:keepNext/>
        <w:rPr>
          <w:szCs w:val="22"/>
        </w:rPr>
      </w:pPr>
      <w:r>
        <w:rPr>
          <w:i/>
        </w:rPr>
        <w:lastRenderedPageBreak/>
        <w:t>II. sklop: Izvajanje in spremljanje nacionalnih srednjeročnih fiskalno-strukturnih načrtov</w:t>
      </w:r>
    </w:p>
    <w:p w14:paraId="690038E2" w14:textId="77777777" w:rsidR="003E4090" w:rsidRPr="00BF727A" w:rsidRDefault="003E4090" w:rsidP="00B73B37">
      <w:pPr>
        <w:keepNext/>
        <w:rPr>
          <w:szCs w:val="22"/>
        </w:rPr>
      </w:pPr>
    </w:p>
    <w:p w14:paraId="65D31355" w14:textId="77777777" w:rsidR="000D640C" w:rsidRPr="00BF727A" w:rsidRDefault="000D640C" w:rsidP="00B73B37">
      <w:pPr>
        <w:rPr>
          <w:b/>
          <w:szCs w:val="22"/>
        </w:rPr>
      </w:pPr>
      <w:r>
        <w:rPr>
          <w:u w:val="single"/>
        </w:rPr>
        <w:t>5. vprašanje:</w:t>
      </w:r>
      <w:r>
        <w:t xml:space="preserve"> </w:t>
      </w:r>
      <w:r>
        <w:rPr>
          <w:b/>
        </w:rPr>
        <w:t>Ali imate potrebne zmogljivosti in vire (upravne vire, znanje, čas itd.) za spremljanje izvajanja načrta vaše države in letnega poročila o napredku? Če ne, kaj bi za to potrebovali?</w:t>
      </w:r>
    </w:p>
    <w:p w14:paraId="2FFB57CF" w14:textId="77777777" w:rsidR="00F6672F" w:rsidRPr="00BF727A" w:rsidRDefault="00F6672F" w:rsidP="00B73B37">
      <w:pPr>
        <w:rPr>
          <w:szCs w:val="22"/>
        </w:rPr>
      </w:pPr>
    </w:p>
    <w:p w14:paraId="6D9984E9" w14:textId="20720450" w:rsidR="000D640C" w:rsidRPr="00BF727A" w:rsidRDefault="00FA59C6" w:rsidP="00B73B37">
      <w:pPr>
        <w:pStyle w:val="Heading3"/>
        <w:ind w:left="567" w:hanging="567"/>
      </w:pPr>
      <w:r>
        <w:t>Socialni partnerji in organizacije civilne družbe v večini držav članic so menili, da imajo teoretično zadostne upravne zmogljivosti za spremljanje izvajanja, vendar so poudarili, da so v praksi neenakomerne in močno omejene zaradi časovnega pritiska, delovne obremenitve in omejenih virov (zlasti v manjših organizacijah). Kot strukturno težavo so pogosto navedli asimetričnost zmogljivosti v organizacijah. Poleg tega so anketiranci na splošno menili, da imajo potrebno znanje in analitično razumevanje, vendar sta neenakomerno porazdeljena in nezadostno strukturirana.</w:t>
      </w:r>
    </w:p>
    <w:p w14:paraId="358CC11A" w14:textId="77777777" w:rsidR="000D640C" w:rsidRPr="00BF727A" w:rsidRDefault="000D640C" w:rsidP="00B73B37">
      <w:pPr>
        <w:pStyle w:val="Heading3"/>
        <w:numPr>
          <w:ilvl w:val="0"/>
          <w:numId w:val="0"/>
        </w:numPr>
        <w:ind w:left="720"/>
      </w:pPr>
    </w:p>
    <w:p w14:paraId="73D8CFFE" w14:textId="3F507E39" w:rsidR="000D640C" w:rsidRPr="00BF727A" w:rsidRDefault="00C76E5D" w:rsidP="00B73B37">
      <w:pPr>
        <w:pStyle w:val="Heading3"/>
        <w:ind w:left="567" w:hanging="567"/>
      </w:pPr>
      <w:r>
        <w:t>Socialni partnerji in organizacije civilne družbe v BE, BG, DK (II. skupina), ES (II. skupina), FR, HR, IT (II. skupina), PT in SI so navedli, da imajo čas za spremljanje procesa, ne pa tudi za ustrezno analizo informacij, izvedbo posvetovanj in predložitev vsebinskih prispevkov.</w:t>
      </w:r>
    </w:p>
    <w:p w14:paraId="5FB04366" w14:textId="77777777" w:rsidR="000D640C" w:rsidRPr="00BF727A" w:rsidRDefault="000D640C" w:rsidP="00B73B37">
      <w:pPr>
        <w:pStyle w:val="Heading3"/>
        <w:numPr>
          <w:ilvl w:val="0"/>
          <w:numId w:val="0"/>
        </w:numPr>
        <w:ind w:left="720"/>
      </w:pPr>
    </w:p>
    <w:p w14:paraId="08169146" w14:textId="41E49A1F" w:rsidR="000D640C" w:rsidRPr="00BF727A" w:rsidRDefault="000D640C" w:rsidP="00B73B37">
      <w:pPr>
        <w:pStyle w:val="Heading3"/>
        <w:ind w:left="567" w:hanging="567"/>
      </w:pPr>
      <w:r>
        <w:t>Poleg tega so anketiranci v BE, DE, IT (III. skupina) in LT poudarili, da je tudi v primeru zadostnih zmogljivosti spremljanje omejeno zaradi slabe preglednosti in razdrobljenega poročanja in ker javni organi zagotovijo premalo pravočasnih in uporabnih podatkov.</w:t>
      </w:r>
    </w:p>
    <w:p w14:paraId="64CFEF83" w14:textId="77777777" w:rsidR="000D640C" w:rsidRPr="00BF727A" w:rsidRDefault="000D640C" w:rsidP="00B73B37">
      <w:pPr>
        <w:pStyle w:val="Heading3"/>
        <w:numPr>
          <w:ilvl w:val="0"/>
          <w:numId w:val="0"/>
        </w:numPr>
        <w:ind w:left="720"/>
      </w:pPr>
    </w:p>
    <w:p w14:paraId="0EE3CB25" w14:textId="5165A5A5" w:rsidR="000D640C" w:rsidRPr="00BF727A" w:rsidRDefault="000D640C" w:rsidP="00B73B37">
      <w:pPr>
        <w:pStyle w:val="Heading3"/>
        <w:ind w:left="567" w:hanging="567"/>
        <w:rPr>
          <w:kern w:val="28"/>
          <w:u w:val="single"/>
        </w:rPr>
      </w:pPr>
      <w:r>
        <w:t>Socialni partnerji in organizacije civilne družbe v CZ (III. skupina), DK (III. skupina), HU, IE, IT (III. skupina), MT, NL, PL, RO (I. in III. skupina), SI in SK so poudarili še, da nimajo zadostnih institucionalnih virov za sistematično spremljanje izvajanja, tudi če imajo nekaj tehničnega znanja.</w:t>
      </w:r>
    </w:p>
    <w:p w14:paraId="4752E47D" w14:textId="77777777" w:rsidR="00B6623A" w:rsidRPr="00BF727A" w:rsidRDefault="00B6623A" w:rsidP="00B73B37">
      <w:pPr>
        <w:rPr>
          <w:szCs w:val="22"/>
        </w:rPr>
      </w:pPr>
    </w:p>
    <w:p w14:paraId="52147563" w14:textId="52AB0762" w:rsidR="00A46347" w:rsidRPr="00BF727A" w:rsidRDefault="00A46347" w:rsidP="00B73B37">
      <w:pPr>
        <w:pStyle w:val="Heading2"/>
        <w:keepNext/>
        <w:ind w:left="567" w:hanging="567"/>
        <w:rPr>
          <w:szCs w:val="22"/>
        </w:rPr>
      </w:pPr>
      <w:r>
        <w:rPr>
          <w:i/>
        </w:rPr>
        <w:t>III. sklop: Dokončanje reform in naložb v nacionalnih načrtih za okrevanje in odpornost</w:t>
      </w:r>
    </w:p>
    <w:p w14:paraId="75E838F8" w14:textId="77777777" w:rsidR="00656F0B" w:rsidRPr="00BF727A" w:rsidRDefault="00656F0B" w:rsidP="00B73B37">
      <w:pPr>
        <w:keepNext/>
        <w:rPr>
          <w:kern w:val="28"/>
          <w:szCs w:val="22"/>
          <w:u w:val="single"/>
        </w:rPr>
      </w:pPr>
    </w:p>
    <w:p w14:paraId="7125102B" w14:textId="6EB0DF06" w:rsidR="000D640C" w:rsidRPr="00BF727A" w:rsidRDefault="000D640C" w:rsidP="00B73B37">
      <w:pPr>
        <w:rPr>
          <w:b/>
          <w:szCs w:val="22"/>
        </w:rPr>
      </w:pPr>
      <w:r>
        <w:rPr>
          <w:u w:val="single"/>
        </w:rPr>
        <w:t>6. vprašanje:</w:t>
      </w:r>
      <w:r>
        <w:t xml:space="preserve"> </w:t>
      </w:r>
      <w:r>
        <w:rPr>
          <w:b/>
        </w:rPr>
        <w:t>Kaj menite o napredku pri izvajanju nacionalnega načrta za okrevanje in odpornost vaše države?</w:t>
      </w:r>
    </w:p>
    <w:p w14:paraId="6FFCBEE8" w14:textId="77777777" w:rsidR="000D640C" w:rsidRPr="00BF727A" w:rsidRDefault="000D640C" w:rsidP="00B73B37">
      <w:pPr>
        <w:rPr>
          <w:b/>
          <w:szCs w:val="22"/>
        </w:rPr>
      </w:pPr>
    </w:p>
    <w:p w14:paraId="73E1EB92" w14:textId="61A850FC" w:rsidR="000D640C" w:rsidRPr="00BF727A" w:rsidRDefault="000D640C" w:rsidP="00B73B37">
      <w:pPr>
        <w:pStyle w:val="Heading3"/>
        <w:ind w:left="567" w:hanging="567"/>
      </w:pPr>
      <w:r>
        <w:t>Socialni partnerji in organizacije civilne družbe v AT (I. skupina), BG, CY (III. skupina), CZ (I. in III. skupina), EE (I. skupina), EL, ES, FR, HR, IE, IT (I. in III. skupina), LU, MT, PT, SE in SI so navedli, da izvajanje nacionalnih načrtov za okrevanje in odpornost poteka dobro, saj so bili doseženi številni mejniki in cilji, ter da reforme in naložbe napredujejo, tudi če so neenakomerne ali nepopolne.</w:t>
      </w:r>
    </w:p>
    <w:p w14:paraId="3D17438B" w14:textId="77777777" w:rsidR="000D640C" w:rsidRPr="00BF727A" w:rsidRDefault="000D640C" w:rsidP="00B73B37">
      <w:pPr>
        <w:pStyle w:val="Heading3"/>
        <w:numPr>
          <w:ilvl w:val="0"/>
          <w:numId w:val="0"/>
        </w:numPr>
        <w:ind w:left="720"/>
      </w:pPr>
    </w:p>
    <w:p w14:paraId="4086ED82" w14:textId="22073AC0" w:rsidR="000D640C" w:rsidRPr="00BF727A" w:rsidRDefault="000D640C" w:rsidP="00B73B37">
      <w:pPr>
        <w:pStyle w:val="Heading3"/>
        <w:ind w:left="567" w:hanging="567"/>
      </w:pPr>
      <w:r>
        <w:t>Številni pa so opozorili na preostale izzive pri izvajanju, na primer ovire, ki še vedno vplivajo na njegovo hitrost in učinkovitost. Anketiranci v EL so opozorili na zamude zaradi strukture služb, ki so odgovorne za upravljanje sredstev, in pomanjkanja osebja v teh službah, odsotnosti obveznih vmesnih rokov za izvajanje projektov po fazah, dogovorjenih z EU, ter nezadostnega spremljanja izvajanja projektov. Anketiranci v HR in IT so kot enega glavnih izzivov pri izvajanju navedli potrebo po okrepitvi upravnih zmogljivosti. Anketiranci v PT so opozorili tudi, da je malo verjetno, da bo država sposobna izvesti celoten načrt.</w:t>
      </w:r>
    </w:p>
    <w:p w14:paraId="13526F0B" w14:textId="77777777" w:rsidR="000D640C" w:rsidRPr="00BF727A" w:rsidRDefault="000D640C" w:rsidP="00B73B37">
      <w:pPr>
        <w:rPr>
          <w:szCs w:val="22"/>
        </w:rPr>
      </w:pPr>
    </w:p>
    <w:p w14:paraId="5C7AB22A" w14:textId="10DDF89E" w:rsidR="000D640C" w:rsidRPr="00BF727A" w:rsidRDefault="000D640C" w:rsidP="00B73B37">
      <w:pPr>
        <w:pStyle w:val="Heading3"/>
        <w:ind w:left="567" w:hanging="567"/>
      </w:pPr>
      <w:r>
        <w:lastRenderedPageBreak/>
        <w:t>Nadalje so nekateri anketiranci opozorili tudi na pomen reform, ki ne bi obsegale le porabe, ter opozorili, da strukturni učinek še vedno ni jasen in da s finančnim izvajanjem še niso bile v celoti dosežene globlje strukturne spremembe. Na primer, anketiranci v SI so navedli, da splošni učinek teh ukrepov še vedno ni jasen, anketiranci v IT pa, da načrt še ni prinesel vidnih rezultatov na področju upravnih reform, posodobitve infrastrukture, bolj konkurenčnega proizvodnega sistema kot celote ali povečanja človeškega kapitala in spretnosti, potrebnih za razvoj. Poleg tega so anketiranci v IE, IT in LT opozorili na preostale socialne izzive, kot so revščina, pomanjkanje socialnih in cenovno dostopnih stanovanj ter slabo vključevanje ranljivih skupin na trg dela.</w:t>
      </w:r>
    </w:p>
    <w:p w14:paraId="6A11E5CC" w14:textId="77777777" w:rsidR="000D640C" w:rsidRPr="00BF727A" w:rsidRDefault="000D640C" w:rsidP="00B73B37">
      <w:pPr>
        <w:pStyle w:val="Heading3"/>
        <w:numPr>
          <w:ilvl w:val="0"/>
          <w:numId w:val="0"/>
        </w:numPr>
        <w:ind w:left="720"/>
      </w:pPr>
    </w:p>
    <w:p w14:paraId="4BA9BC91" w14:textId="1955DC08" w:rsidR="000D640C" w:rsidRPr="00BF727A" w:rsidRDefault="000D640C" w:rsidP="00B73B37">
      <w:pPr>
        <w:pStyle w:val="Heading3"/>
        <w:ind w:left="567" w:hanging="567"/>
      </w:pPr>
      <w:r>
        <w:t>Socialni partnerji in organizacije civilne družbe v AT (II. skupina), CY (I. skupina), DE, DK (II. in III. skupina), FI, IT (II. in III. skupina), LV, PL in SK so imeli o tem vprašanju nevtralno mnenje. Na splošno so menili, da je bil dosežen napredek, a ga je še vedno težko v celoti oceniti. Resnični učinek, hitrost in uspešnost izvajanja še niso jasni ali so omejeni zaradi upravnih in postopkovnih težav.</w:t>
      </w:r>
    </w:p>
    <w:p w14:paraId="49B3F160" w14:textId="77777777" w:rsidR="000D640C" w:rsidRPr="00BF727A" w:rsidRDefault="000D640C" w:rsidP="00B73B37">
      <w:pPr>
        <w:pStyle w:val="Heading3"/>
        <w:numPr>
          <w:ilvl w:val="0"/>
          <w:numId w:val="0"/>
        </w:numPr>
        <w:ind w:left="720"/>
      </w:pPr>
    </w:p>
    <w:p w14:paraId="4BE0FBD2" w14:textId="5D0911DD" w:rsidR="000D640C" w:rsidRPr="00BF727A" w:rsidRDefault="000D640C" w:rsidP="00B73B37">
      <w:pPr>
        <w:pStyle w:val="Heading3"/>
        <w:ind w:left="567" w:hanging="567"/>
        <w:rPr>
          <w:kern w:val="28"/>
          <w:u w:val="single"/>
        </w:rPr>
      </w:pPr>
      <w:r>
        <w:t>Socialni partnerji in organizacije civilne družbe v AT (III. skupina), EE (II. in III. skupina), ES (I. skupina), HU, IT (II. skupina), NL in RO so imeli o napredku, doseženem pri izvajanju nacionalnih načrtov za okrevanje in odpornost, negativno mnenje. Na splošno so opozorili, da je bila njihova udeležba majhna, zaradi česar so bili načrti slabše pripravljeni, prav tako je bilo manj prevzemanja odgovornost in več napak pri izvajanju. Poleg tega je večina poročala o resnih problemih pri izvajanju, vključno z zamudami, blokiranimi reformami ali nezmožnostjo doseganja rokov in ciljev. Anketiranci v AT (III. skupina), ES (I. skupina) in RO so navedli, da izvajanje in črpanje sredstev upočasnjujejo slabe upravne zmogljivosti in obremenjujoči postopki. Kot težave so bili pogosto navedeni nejasni postopki, pomanjkanje dostopnih informacij in slabo prevzemanje odgovornosti.</w:t>
      </w:r>
    </w:p>
    <w:p w14:paraId="69EA1C97" w14:textId="77777777" w:rsidR="000D640C" w:rsidRPr="00BF727A" w:rsidRDefault="000D640C" w:rsidP="00B73B37">
      <w:pPr>
        <w:rPr>
          <w:kern w:val="28"/>
          <w:szCs w:val="22"/>
          <w:u w:val="single"/>
        </w:rPr>
      </w:pPr>
    </w:p>
    <w:p w14:paraId="68DE7269" w14:textId="042DC64D" w:rsidR="00656F0B" w:rsidRPr="00BF727A" w:rsidRDefault="00656F0B" w:rsidP="00B73B37">
      <w:pPr>
        <w:keepNext/>
        <w:keepLines/>
        <w:rPr>
          <w:b/>
          <w:szCs w:val="22"/>
        </w:rPr>
      </w:pPr>
      <w:r>
        <w:rPr>
          <w:u w:val="single"/>
        </w:rPr>
        <w:t>7. vprašanje:</w:t>
      </w:r>
      <w:r>
        <w:t xml:space="preserve"> </w:t>
      </w:r>
      <w:r>
        <w:rPr>
          <w:b/>
        </w:rPr>
        <w:t>Izvajanje mehanizma za okrevanje in odpornost naj bi se konec leta 2026 zaključilo. Navedite najpomembnejše pozitivne in negativne izkušnje, ki ste jih pridobili v zvezi s tem instrumentom.</w:t>
      </w:r>
    </w:p>
    <w:p w14:paraId="3971F47C" w14:textId="77777777" w:rsidR="000D640C" w:rsidRPr="00BF727A" w:rsidRDefault="000D640C" w:rsidP="00B73B37">
      <w:pPr>
        <w:keepNext/>
        <w:keepLines/>
        <w:rPr>
          <w:kern w:val="28"/>
          <w:szCs w:val="22"/>
          <w:u w:val="single"/>
        </w:rPr>
      </w:pPr>
    </w:p>
    <w:p w14:paraId="0BBB5DB6" w14:textId="58DE7204" w:rsidR="000D640C" w:rsidRPr="00BF727A" w:rsidRDefault="000D640C" w:rsidP="00B73B37">
      <w:pPr>
        <w:pStyle w:val="Heading3"/>
        <w:ind w:left="567" w:hanging="567"/>
      </w:pPr>
      <w:r>
        <w:rPr>
          <w:b/>
        </w:rPr>
        <w:t>Kot pozitivne izkušnje</w:t>
      </w:r>
      <w:r>
        <w:t xml:space="preserve"> so socialni partnerji in organizacije civilne družbe v BE, CZ (I. in II. skupina), EL, ES, IE, IT, LV, MT, PL, RO (I. in III. skupina), SE, SI in SK navedli, da mehanizem reforme uspešno povezuje z naložbami ter podpira strateške prednostne naloge (zelene, digitalne, povezane z odpornostjo) na nacionalni ravni in ravni EU. Na splošno je cenjen, ker povezuje financiranje in reforme ter porabo usklajuje z dolgoročnimi prednostnimi nalogami EU, zato je bolj strateški od tradicionalnih instrumentov.</w:t>
      </w:r>
    </w:p>
    <w:p w14:paraId="2E06B867" w14:textId="77777777" w:rsidR="000D640C" w:rsidRPr="00BF727A" w:rsidRDefault="000D640C" w:rsidP="00B73B37">
      <w:pPr>
        <w:pStyle w:val="Heading3"/>
        <w:numPr>
          <w:ilvl w:val="0"/>
          <w:numId w:val="0"/>
        </w:numPr>
        <w:ind w:left="720"/>
      </w:pPr>
    </w:p>
    <w:p w14:paraId="52DD247A" w14:textId="2F9DA485" w:rsidR="000D640C" w:rsidRPr="00BF727A" w:rsidRDefault="000D640C" w:rsidP="00B73B37">
      <w:pPr>
        <w:pStyle w:val="Heading3"/>
        <w:ind w:left="567" w:hanging="567"/>
      </w:pPr>
      <w:r>
        <w:t xml:space="preserve">Anketiranci v DE, ES (I. in II. skupina), IT, LT in SK so poleg tega navedli, da ima mehanizem zaradi solidarnosti, obsega in usklajenosti veliko dodano vrednost EU, zlasti v krizah, ter menili, da ima pozitivne učinke prelivanja znotraj držav članic EU in med njimi. </w:t>
      </w:r>
    </w:p>
    <w:p w14:paraId="08CD4D17" w14:textId="77777777" w:rsidR="000D640C" w:rsidRPr="00BF727A" w:rsidRDefault="000D640C" w:rsidP="00B73B37">
      <w:pPr>
        <w:pStyle w:val="Heading3"/>
        <w:numPr>
          <w:ilvl w:val="0"/>
          <w:numId w:val="0"/>
        </w:numPr>
        <w:ind w:left="720"/>
      </w:pPr>
    </w:p>
    <w:p w14:paraId="47132CFE" w14:textId="4C360E83" w:rsidR="000D640C" w:rsidRPr="00BF727A" w:rsidRDefault="000D640C" w:rsidP="00B73B37">
      <w:pPr>
        <w:pStyle w:val="Heading3"/>
        <w:ind w:left="567" w:hanging="567"/>
      </w:pPr>
      <w:r>
        <w:t>Druga ključna izkušnja, na katero so opozorili anketiranci v CZ (I. in II. skupina), EL, ES (I. skupina), IT, RO (I. skupina) in SI, je uspešnost pristopa upravljanja na podlagi smotrnosti (rezultatov), saj menijo, da se s tem krepi izvajanje politik.</w:t>
      </w:r>
    </w:p>
    <w:p w14:paraId="45B1EA9C" w14:textId="77777777" w:rsidR="000D640C" w:rsidRPr="00BF727A" w:rsidRDefault="000D640C" w:rsidP="00B73B37">
      <w:pPr>
        <w:pStyle w:val="Heading3"/>
        <w:numPr>
          <w:ilvl w:val="0"/>
          <w:numId w:val="0"/>
        </w:numPr>
        <w:ind w:left="720"/>
      </w:pPr>
    </w:p>
    <w:p w14:paraId="55823072" w14:textId="50D7A80E" w:rsidR="000D640C" w:rsidRPr="00BF727A" w:rsidRDefault="000D640C" w:rsidP="00B73B37">
      <w:pPr>
        <w:pStyle w:val="Heading3"/>
        <w:ind w:left="567" w:hanging="567"/>
      </w:pPr>
      <w:r>
        <w:lastRenderedPageBreak/>
        <w:t>Nekateri anketiranci v BE, DK (II. skupina), HR (I. skupina), IT in RO so navedli še, da mehanizem prispeva k boljšim praksam upravljanja in usklajenosti med akterji.</w:t>
      </w:r>
    </w:p>
    <w:p w14:paraId="7E897414" w14:textId="77777777" w:rsidR="000D640C" w:rsidRPr="00D57DC2" w:rsidRDefault="000D640C" w:rsidP="00B73B37">
      <w:pPr>
        <w:pStyle w:val="ListParagraph"/>
        <w:spacing w:line="288" w:lineRule="auto"/>
        <w:ind w:left="-115"/>
        <w:jc w:val="both"/>
        <w:rPr>
          <w:rFonts w:ascii="Times New Roman" w:hAnsi="Times New Roman" w:cs="Times New Roman"/>
          <w:noProof w:val="0"/>
          <w:sz w:val="22"/>
          <w:szCs w:val="22"/>
        </w:rPr>
      </w:pPr>
    </w:p>
    <w:p w14:paraId="7A372E54" w14:textId="62563CCF" w:rsidR="000D640C" w:rsidRPr="00BF727A" w:rsidRDefault="000D640C" w:rsidP="00B73B37">
      <w:pPr>
        <w:pStyle w:val="Heading3"/>
        <w:ind w:left="567" w:hanging="567"/>
      </w:pPr>
      <w:r>
        <w:rPr>
          <w:b/>
        </w:rPr>
        <w:t>Kot negativne izkušnje</w:t>
      </w:r>
      <w:r>
        <w:t xml:space="preserve"> so socialni partnerji in organizacije civilne družbe v AT, BE, CY, EL, ES, FR, HR, IT in SK navedli, da mehanizem povzroča veliko upravno breme in je zelo zapleten, kar skupaj z omejenimi zmogljivostmi pogosto povzroča zamude ali neučinkovito izvajanje. Prevladuje mnenje, da je mehanizem preveč zapleten in obremenjujoč, to pa upočasnjuje izvajanje, omejuje dostop in zmanjšuje splošno uspešnost.</w:t>
      </w:r>
    </w:p>
    <w:p w14:paraId="31F95184" w14:textId="77777777" w:rsidR="000D640C" w:rsidRPr="00BF727A" w:rsidRDefault="000D640C" w:rsidP="00B73B37">
      <w:pPr>
        <w:pStyle w:val="Heading3"/>
        <w:numPr>
          <w:ilvl w:val="0"/>
          <w:numId w:val="0"/>
        </w:numPr>
        <w:ind w:left="720"/>
      </w:pPr>
    </w:p>
    <w:p w14:paraId="162DDDEF" w14:textId="4EA46C71" w:rsidR="00770974" w:rsidRPr="00BF727A" w:rsidRDefault="000D640C" w:rsidP="00B73B37">
      <w:pPr>
        <w:pStyle w:val="Heading3"/>
        <w:ind w:left="567" w:hanging="567"/>
      </w:pPr>
      <w:r>
        <w:t>Poleg tega so bili anketiranci v AT, CZ, DK, EL, ES, IT, NL, RO in SI pogosto kritični v zvezi z udeležbo socialnih partnerjev in civilne družbe in menili, da je nezadostna, prepozna ali zgolj proceduralna, kar negativno vpliva na prevzemanje odgovornosti in kakovost politik. Anketiranci v BE, ES, IT in RO so poudarili tudi, da je upravljanje pogosto preveč centralizirano, premalo pregledno in nevključujoče.</w:t>
      </w:r>
    </w:p>
    <w:p w14:paraId="4795182A" w14:textId="77777777" w:rsidR="00770974" w:rsidRPr="00BF727A" w:rsidRDefault="00770974" w:rsidP="00B73B37">
      <w:pPr>
        <w:pStyle w:val="Heading3"/>
        <w:numPr>
          <w:ilvl w:val="0"/>
          <w:numId w:val="0"/>
        </w:numPr>
        <w:ind w:left="720"/>
      </w:pPr>
    </w:p>
    <w:p w14:paraId="22952410" w14:textId="4EE17CF5" w:rsidR="00656F0B" w:rsidRPr="00BF727A" w:rsidRDefault="000D640C" w:rsidP="00B73B37">
      <w:pPr>
        <w:pStyle w:val="Heading3"/>
      </w:pPr>
      <w:r>
        <w:t>Poleg tega so nekateri anketiranci v ES, PL, SI in SK opozorili na omejitve pristopa na podlagi smotrnosti (mejniki), ki je uporaben, vendar namesto dejanskega učinka spodbuja formalno skladnost, do česar so bili kritični. Ta pristop lahko povzroči togost in osredotočenost na postopke namesto na rezultate.</w:t>
      </w:r>
    </w:p>
    <w:p w14:paraId="20F8011F" w14:textId="77777777" w:rsidR="00F6672F" w:rsidRPr="00BF727A" w:rsidRDefault="00F6672F" w:rsidP="00B73B37"/>
    <w:p w14:paraId="2E481799" w14:textId="38A7033C" w:rsidR="00770974" w:rsidRPr="00BF727A" w:rsidRDefault="00976333" w:rsidP="00B73B37">
      <w:pPr>
        <w:pStyle w:val="Heading3"/>
      </w:pPr>
      <w:r>
        <w:t>Socialni partnerji in organizacije civilne družbe v IT, NL, RO in SI so poudarili tesen časovni okvir, ki na splošno velja za težavo. Rok povzroča pritisk, tveganje za kakovost in hitenje pri izvedbi.</w:t>
      </w:r>
    </w:p>
    <w:p w14:paraId="31415D17" w14:textId="77777777" w:rsidR="00770974" w:rsidRPr="00BF727A" w:rsidRDefault="00770974" w:rsidP="00B73B37">
      <w:pPr>
        <w:pStyle w:val="Heading3"/>
        <w:numPr>
          <w:ilvl w:val="0"/>
          <w:numId w:val="0"/>
        </w:numPr>
        <w:ind w:left="720"/>
      </w:pPr>
    </w:p>
    <w:p w14:paraId="7304F23C" w14:textId="69FADB3F" w:rsidR="000D640C" w:rsidRPr="00BF727A" w:rsidRDefault="000D640C" w:rsidP="00B73B37">
      <w:pPr>
        <w:pStyle w:val="Heading3"/>
        <w:ind w:left="567" w:hanging="567"/>
      </w:pPr>
      <w:r>
        <w:t>Anketiranci v CY, ES, HR in SK so opozorili tudi na omejen dostop in neenako udeležbo (zlasti za MSP) ter poudarili, da se manjši akterji spoprijemajo s strukturnimi pomanjkljivostmi, sistem pa običajno daje prednost večjim akterjem.</w:t>
      </w:r>
    </w:p>
    <w:p w14:paraId="42B60013" w14:textId="77777777" w:rsidR="000D640C" w:rsidRPr="00BF727A" w:rsidRDefault="000D640C" w:rsidP="00B73B37">
      <w:pPr>
        <w:rPr>
          <w:szCs w:val="22"/>
        </w:rPr>
      </w:pPr>
    </w:p>
    <w:p w14:paraId="5B2DB67D" w14:textId="13691DA3" w:rsidR="000D640C" w:rsidRPr="00BF727A" w:rsidRDefault="000D640C" w:rsidP="00B73B37">
      <w:pPr>
        <w:pStyle w:val="Heading3"/>
        <w:ind w:left="567" w:hanging="567"/>
      </w:pPr>
      <w:r>
        <w:rPr>
          <w:i/>
        </w:rPr>
        <w:t>IV. sklop: Povezava med večletnim finančnim okvirom in evropskim semestrom</w:t>
      </w:r>
    </w:p>
    <w:p w14:paraId="452ED896" w14:textId="77777777" w:rsidR="000D640C" w:rsidRPr="00BF727A" w:rsidRDefault="000D640C" w:rsidP="00B73B37">
      <w:pPr>
        <w:rPr>
          <w:kern w:val="28"/>
          <w:szCs w:val="22"/>
        </w:rPr>
      </w:pPr>
    </w:p>
    <w:p w14:paraId="01D14EBC" w14:textId="282B0491" w:rsidR="003B363C" w:rsidRPr="00BF727A" w:rsidRDefault="000D640C" w:rsidP="00B73B37">
      <w:pPr>
        <w:keepNext/>
        <w:keepLines/>
        <w:rPr>
          <w:b/>
          <w:szCs w:val="22"/>
        </w:rPr>
      </w:pPr>
      <w:r>
        <w:rPr>
          <w:u w:val="single"/>
        </w:rPr>
        <w:t>8. vprašanje:</w:t>
      </w:r>
      <w:r>
        <w:t xml:space="preserve"> </w:t>
      </w:r>
      <w:r>
        <w:rPr>
          <w:b/>
        </w:rPr>
        <w:t>Kako dojemate prihodnjo povezavo med evropskim semestrom in naslednjim večletnim finančnim okvirom?</w:t>
      </w:r>
    </w:p>
    <w:p w14:paraId="41DD1B7A" w14:textId="77777777" w:rsidR="00053CC9" w:rsidRPr="00BF727A" w:rsidRDefault="00053CC9" w:rsidP="00B73B37">
      <w:pPr>
        <w:keepNext/>
        <w:keepLines/>
        <w:rPr>
          <w:b/>
          <w:szCs w:val="22"/>
        </w:rPr>
      </w:pPr>
    </w:p>
    <w:p w14:paraId="237F787B" w14:textId="14292EE6" w:rsidR="00053CC9" w:rsidRPr="00BF727A" w:rsidRDefault="00D56C6D" w:rsidP="00B73B37">
      <w:pPr>
        <w:pStyle w:val="Heading3"/>
        <w:ind w:left="567" w:hanging="567"/>
      </w:pPr>
      <w:r>
        <w:t xml:space="preserve">Socialni partnerji in organizacije civilne družbe v AT, CY (I. skupina), CZ (I. in II. skupina), EL, ES, FI, HR (I. skupina), IE, IT (III. skupina), LT, LV, MT, PT, RO (I. skupina) in SK so imeli o povezavi, ki bo vzpostavljena med evropskim semestrom in naslednjim večletnim finančnim okvirom, pozitivno mnenje. </w:t>
      </w:r>
    </w:p>
    <w:p w14:paraId="6C3DBFED" w14:textId="77777777" w:rsidR="00053CC9" w:rsidRPr="00BF727A" w:rsidRDefault="00053CC9" w:rsidP="00B73B37">
      <w:pPr>
        <w:pStyle w:val="Heading3"/>
        <w:numPr>
          <w:ilvl w:val="0"/>
          <w:numId w:val="0"/>
        </w:numPr>
        <w:ind w:left="720"/>
      </w:pPr>
    </w:p>
    <w:p w14:paraId="17F8DE9C" w14:textId="0AF8FBC9" w:rsidR="00053CC9" w:rsidRPr="00BF727A" w:rsidRDefault="00053CC9" w:rsidP="00B73B37">
      <w:pPr>
        <w:pStyle w:val="Heading3"/>
        <w:ind w:left="567" w:hanging="567"/>
      </w:pPr>
      <w:r>
        <w:t xml:space="preserve">Poleg tega so anketiranci v EL, ES, IE, LT, LV, RO in SK navedli, da bi se s to povezavo okrepilo usklajevanje priporočil EU, nacionalnih reform in financiranja EU, zato bi bilo izvajanje politik skladnejše in uspešnejše. </w:t>
      </w:r>
    </w:p>
    <w:p w14:paraId="4180D5B9" w14:textId="77777777" w:rsidR="00053CC9" w:rsidRPr="00BF727A" w:rsidRDefault="00053CC9" w:rsidP="00B73B37">
      <w:pPr>
        <w:pStyle w:val="Heading3"/>
        <w:numPr>
          <w:ilvl w:val="0"/>
          <w:numId w:val="0"/>
        </w:numPr>
        <w:ind w:left="720"/>
      </w:pPr>
    </w:p>
    <w:p w14:paraId="0693E5E3" w14:textId="0A1D1B4F" w:rsidR="00053CC9" w:rsidRPr="00BF727A" w:rsidRDefault="00701C9E" w:rsidP="00B73B37">
      <w:pPr>
        <w:pStyle w:val="Heading3"/>
        <w:ind w:left="567" w:hanging="567"/>
      </w:pPr>
      <w:r>
        <w:t xml:space="preserve">Anketiranci v AT, CZ, EL, ES in MT so poudarili, da povezavo načeloma podpirajo, vendar so opozorili, da se zaradi pogojenosti ne smeta zmanjšati nacionalna avtonomija in prožnost. Nekateri anketiranci v AT, ES (II. skupina) in IT (III. skupina) so opozorili pred prevelikim </w:t>
      </w:r>
      <w:r>
        <w:lastRenderedPageBreak/>
        <w:t>prenosom moči na raven EU ali centralno raven držav, saj menijo, da lahko centralizacija oslabi demokratično legitimnost.</w:t>
      </w:r>
    </w:p>
    <w:p w14:paraId="72E6FA79" w14:textId="77777777" w:rsidR="00053CC9" w:rsidRPr="00BF727A" w:rsidRDefault="00053CC9" w:rsidP="00B73B37">
      <w:pPr>
        <w:pStyle w:val="Heading3"/>
        <w:numPr>
          <w:ilvl w:val="0"/>
          <w:numId w:val="0"/>
        </w:numPr>
        <w:ind w:left="720"/>
      </w:pPr>
    </w:p>
    <w:p w14:paraId="2223D8F6" w14:textId="1837CBAC" w:rsidR="00053CC9" w:rsidRPr="00BF727A" w:rsidRDefault="000972F0" w:rsidP="00B73B37">
      <w:pPr>
        <w:pStyle w:val="Heading3"/>
        <w:ind w:left="567" w:hanging="567"/>
      </w:pPr>
      <w:r>
        <w:t xml:space="preserve">Socialni partnerji in organizacije civilne družbe v BE, BG, FR, HR (III. skupina), HU, IT (II. in III. skupina), LU, RO (II. skupina), SE in SI so imeli o tem vprašanju nevtralno mnenje. V BE, FR, HR (III. skupina), HU, IT (II. skupina), SE in SI so menili, da je potrebna previdnost v zvezi s posledicami povezave financiranja EU z evropskim semestrom za upravljanje, zlasti pa so bili zaskrbljeni glede pogojenosti, pristojnosti za odločanje in institucionalnega ravnovesja. Tudi tisti, ki povezavi ne nasprotujejo, so menili, da je politično občutljiva in zahteva varovala. </w:t>
      </w:r>
    </w:p>
    <w:p w14:paraId="54472983" w14:textId="77777777" w:rsidR="00053CC9" w:rsidRPr="00BF727A" w:rsidRDefault="00053CC9" w:rsidP="00B73B37">
      <w:pPr>
        <w:pStyle w:val="Heading3"/>
        <w:numPr>
          <w:ilvl w:val="0"/>
          <w:numId w:val="0"/>
        </w:numPr>
        <w:ind w:left="720"/>
      </w:pPr>
    </w:p>
    <w:p w14:paraId="3904159E" w14:textId="328C3CE5" w:rsidR="00954E59" w:rsidRPr="00BF727A" w:rsidRDefault="00053CC9" w:rsidP="00B73B37">
      <w:pPr>
        <w:pStyle w:val="Heading3"/>
        <w:ind w:left="567" w:hanging="567"/>
      </w:pPr>
      <w:r>
        <w:t xml:space="preserve">Poleg tega so anketiranci v BE, BG, FR, RO (II. skupina) in SI priznali, da povezava evropskega semestra z večletnim finančnim okvirom lahko prinese prednosti, vendar na splošno le pod nekaterimi pogoji. Menili so, da bi se s tem pristopom lahko izboljšali skladnost in uspešnost pri usklajevanju financiranja EU in uresničevanja reform, da pa je uspeh odvisen od njegove zasnove in izvedbe. Anketiranci v SI so navedli, da bi lahko s tem pristopom prednostne reforme bolje uskladili s financiranjem EU, v RO (II. skupina) so menili, da kljub prizadevanjem za boljšo usklajenost učinkovito izvajanje ni zagotovljeno, v FR pa, da je povezava smiselna in zaželena, vendar še vedno ni jasno, kakšno obliko bo imela v praksi. Anketiranci v BE so podobno poudarili, da bi lahko imela pozitivne in negativne učinke, odvisno od ambicij in virov, ter opozorili na pogojno in negotovo naravo njenih morebitnih koristi. </w:t>
      </w:r>
    </w:p>
    <w:p w14:paraId="074DDB72" w14:textId="77777777" w:rsidR="00954E59" w:rsidRPr="00BF727A" w:rsidRDefault="00954E59" w:rsidP="00B73B37">
      <w:pPr>
        <w:pStyle w:val="Heading3"/>
        <w:numPr>
          <w:ilvl w:val="0"/>
          <w:numId w:val="0"/>
        </w:numPr>
        <w:ind w:left="720"/>
      </w:pPr>
    </w:p>
    <w:p w14:paraId="49105FC1" w14:textId="4908E173" w:rsidR="00053CC9" w:rsidRPr="00BF727A" w:rsidRDefault="00053CC9" w:rsidP="00B73B37">
      <w:pPr>
        <w:pStyle w:val="Heading3"/>
        <w:ind w:left="567" w:hanging="567"/>
      </w:pPr>
      <w:r>
        <w:t>V IT (II. skupina), LU in SI je bil večkrat izražen pomislek, da bi bolj centraliziran model financiranja lahko oslabil socialne in kohezijske cilje. Anketiranci so menili, da zaradi ekonomskega upravljanja ne smejo biti ogroženi socialni cilji.</w:t>
      </w:r>
    </w:p>
    <w:p w14:paraId="14364ECD" w14:textId="77777777" w:rsidR="00053CC9" w:rsidRPr="00BF727A" w:rsidRDefault="00053CC9" w:rsidP="00B73B37">
      <w:pPr>
        <w:pStyle w:val="Heading3"/>
        <w:numPr>
          <w:ilvl w:val="0"/>
          <w:numId w:val="0"/>
        </w:numPr>
        <w:ind w:left="720"/>
      </w:pPr>
    </w:p>
    <w:p w14:paraId="29C40A6D" w14:textId="5FD0010D" w:rsidR="00053CC9" w:rsidRPr="00BF727A" w:rsidRDefault="00232131" w:rsidP="00B73B37">
      <w:pPr>
        <w:pStyle w:val="Heading3"/>
        <w:ind w:left="567" w:hanging="567"/>
      </w:pPr>
      <w:r>
        <w:t>Socialni partnerji in organizacije civilne družbe v DE, DK (II. in III. skupina), IT (I. in II. skupina), NL in RO (III. skupina) so imeli o povezavi, ki bo vzpostavljena med evropskim semestrom in naslednjim večletnim finančnim okvirom, negativno mnenje. Zlasti v DK (II. in III. skupina), IT (I. in II. skupina) in NL je bil glavni pomislek, da bi se zaradi te povezave lahko zmanjšal demokratični nadzor in omejila smiselna udeležba socialnih partnerjev, civilne družbe in nacionalnih parlamentov, odločanje pa bi se preneslo na tehnokratske postopke na ravni EU. Anketiranci v IT, NL in RO (III. skupina) so bili zaskrbljeni zaradi tveganja neravnovesja med socialnimi, ekonomskimi in okoljskimi politikami in cilji. V DK in IT so opozorili tudi na tveganje pretirane pogojenosti in prevelikega upravnega bremena z več pravili, več birokracije in počasnejšo uporabo sredstev.</w:t>
      </w:r>
    </w:p>
    <w:p w14:paraId="75D57792" w14:textId="77777777" w:rsidR="00053CC9" w:rsidRPr="00BF727A" w:rsidRDefault="00053CC9" w:rsidP="00B73B37">
      <w:pPr>
        <w:rPr>
          <w:b/>
          <w:szCs w:val="22"/>
        </w:rPr>
      </w:pPr>
    </w:p>
    <w:p w14:paraId="68AB3D39" w14:textId="2C99F6E2" w:rsidR="00053CC9" w:rsidRPr="00BF727A" w:rsidRDefault="00053CC9" w:rsidP="00B73B37">
      <w:pPr>
        <w:keepNext/>
        <w:keepLines/>
        <w:rPr>
          <w:b/>
          <w:szCs w:val="22"/>
        </w:rPr>
      </w:pPr>
      <w:r>
        <w:rPr>
          <w:u w:val="single"/>
        </w:rPr>
        <w:t>9. vprašanje:</w:t>
      </w:r>
      <w:r>
        <w:t xml:space="preserve"> </w:t>
      </w:r>
      <w:r>
        <w:rPr>
          <w:b/>
        </w:rPr>
        <w:t>O predlogu Evropske komisije bodo potekale razprave v okviru prihodnjih pogajanj med sozakonodajalcema (ki bi se lahko končala leta 2026 ali podaljšala v leto 2027). Kakšne so po vašem mnenju in na podlagi vaših izkušenj morebitne koristi takega novega sistema ter njegova tveganja in ovire?</w:t>
      </w:r>
    </w:p>
    <w:p w14:paraId="5BAB76C6" w14:textId="77777777" w:rsidR="00F6672F" w:rsidRPr="00BF727A" w:rsidRDefault="00F6672F" w:rsidP="00B73B37">
      <w:pPr>
        <w:keepNext/>
        <w:keepLines/>
        <w:rPr>
          <w:b/>
          <w:szCs w:val="22"/>
        </w:rPr>
      </w:pPr>
    </w:p>
    <w:p w14:paraId="5DB76DD6" w14:textId="66CBE906" w:rsidR="00053CC9" w:rsidRPr="00BF727A" w:rsidRDefault="00053CC9" w:rsidP="00B73B37">
      <w:pPr>
        <w:pStyle w:val="Heading3"/>
        <w:ind w:left="567" w:hanging="567"/>
      </w:pPr>
      <w:r>
        <w:rPr>
          <w:b/>
        </w:rPr>
        <w:t>Kot morebitne koristi</w:t>
      </w:r>
      <w:r>
        <w:t xml:space="preserve"> so socialni partnerji in organizacije civilne družbe v BG, CZ, ES (III. skupina), FI, HR, IT, RO (I. skupina) in SI navedli, da bi se z novim sistemom lahko izboljšala skladnost politik, ker bi bilo financiranje EU bolje usklajeno s prednostnimi nalogami evropskega semestra (reformami, priporočili in naložbenimi potrebami). Politike bi bile </w:t>
      </w:r>
      <w:r>
        <w:lastRenderedPageBreak/>
        <w:t>skladnejše, bolj ciljno usmerjene in strateško usklajene. Anketiranci v EL, HR, IT, LV in PT so navedli, da pričakujejo bolj racionaliziran sistem z manjšim upravnim bremenom, poenostavitev in večjo učinkovitost. V ES (II. skupina), HR, IT, LV in RO (I. skupina) so poudarili večjo prožnost in prilagodljivost financiranja. V CZ, EL, HR, IT in SE so kot koristi večkrat navedli izboljšano prednostno razvrščanje in osredotočenost na rezultate. Anketiranci v BE, DE, EL, ES (II. skupina), HR (III. skupina), PL in SI pa so poudarili, da so uspešnost in koristi odvisni od tega, kako vključujoče in pregledno je upravljanje, ter od demokratične legitimnosti in vključenosti deležnikov.</w:t>
      </w:r>
    </w:p>
    <w:p w14:paraId="58F5D100" w14:textId="77777777" w:rsidR="00F6672F" w:rsidRPr="00BF727A" w:rsidRDefault="00F6672F" w:rsidP="00B73B37"/>
    <w:p w14:paraId="7B4F5D37" w14:textId="5885F128" w:rsidR="00053CC9" w:rsidRPr="00BF727A" w:rsidRDefault="00053CC9" w:rsidP="00B73B37">
      <w:pPr>
        <w:pStyle w:val="Heading3"/>
        <w:ind w:left="567" w:hanging="567"/>
      </w:pPr>
      <w:r>
        <w:rPr>
          <w:b/>
        </w:rPr>
        <w:t>Kot morebitna tveganja</w:t>
      </w:r>
      <w:r>
        <w:t xml:space="preserve"> so socialni partnerji in organizacije civilne družbe v AT, DE, ES (II. skupina), FR, HR, IT, LV, PL, PT, RO (I. in II. skupina), SE in SI navedli pretirano centralizacijo in izgubo subsidiarnosti, s čimer bi se zmanjšala nacionalna, regionalna in lokalna avtonomija pri odločanju. S tem so pogosto povezani pomisleki o zmanjšani demokratični legitimnosti in omejeni vključenosti deležnikov. Anketiranci v BE, CZ, EL, ES, FR, HR in SK so opozorili na tveganje povečane birokracije in zapletenosti ter večjega upravnega bremena, v BG, CZ, EE, EL, IE in SI pa so poudarili še morebitno tveganje stroge pogojenosti, ki bi lahko zmanjšala prilagodljivost (prožnost) in upočasnila izvajanje. V ES, FR, IT, NL, RO (III. skupina) in SI so opozorili na morebitni tveganji slabega socialnega ravnovesja in šibkejših socialnih politik.</w:t>
      </w:r>
    </w:p>
    <w:p w14:paraId="33B8C467" w14:textId="77777777" w:rsidR="00F6672F" w:rsidRPr="00BF727A" w:rsidRDefault="00F6672F" w:rsidP="00B73B37"/>
    <w:p w14:paraId="18E7B123" w14:textId="1A043616" w:rsidR="00053CC9" w:rsidRPr="00BF727A" w:rsidRDefault="00053CC9" w:rsidP="00B73B37">
      <w:pPr>
        <w:pStyle w:val="Heading3"/>
        <w:ind w:left="567" w:hanging="567"/>
        <w:rPr>
          <w:b/>
        </w:rPr>
      </w:pPr>
      <w:r>
        <w:rPr>
          <w:b/>
        </w:rPr>
        <w:t>Kot morebitne ovire</w:t>
      </w:r>
      <w:r>
        <w:t xml:space="preserve"> so socialni partnerji in organizacije civilne družbe v BE, EL, ES (III. skupina), FR, HR, IT in NL navedli veliko tveganje zapletenosti upravljanja in izvajanja, zlasti zaradi izzivov pri usklajevanju na več ravneh (EU, nacionalni, regionalni), velikega upravnega bremena in postopkovne preobremenjenosti. Menili so, da bi sistem lahko postal preveč zapleten, da bi ga bilo mogoče učinkovito upravljati, kar bi povzročilo zamude, neučinkovitost in težave pri usklajevanju med ravnmi upravljanja. Anketiranci v BG, CZ, PT in SI so kot oviri, ki bi lahko upočasnili izvajanje, navedli tudi nacionalno politično nesoglasje in nestabilnost.</w:t>
      </w:r>
    </w:p>
    <w:p w14:paraId="5C9AB65E" w14:textId="77777777" w:rsidR="00053CC9" w:rsidRPr="00BF727A" w:rsidRDefault="00053CC9" w:rsidP="00B73B37">
      <w:pPr>
        <w:rPr>
          <w:b/>
          <w:szCs w:val="22"/>
        </w:rPr>
      </w:pPr>
    </w:p>
    <w:p w14:paraId="4B14B706" w14:textId="24713031" w:rsidR="00053CC9" w:rsidRPr="00BF727A" w:rsidRDefault="00053CC9" w:rsidP="00B73B37">
      <w:pPr>
        <w:keepNext/>
        <w:keepLines/>
        <w:rPr>
          <w:b/>
          <w:szCs w:val="22"/>
        </w:rPr>
      </w:pPr>
      <w:r>
        <w:rPr>
          <w:u w:val="single"/>
        </w:rPr>
        <w:t>10. vprašanje:</w:t>
      </w:r>
      <w:r>
        <w:t xml:space="preserve"> </w:t>
      </w:r>
      <w:r>
        <w:rPr>
          <w:b/>
        </w:rPr>
        <w:t>Kako lahko po vašem mnenju zagotovimo močno in učinkovito vključenost lokalnih in regionalnih partnerjev, socialnih partnerjev in organizacij civilne družbe ter predstavnikov sektorjev in industrijskih panog?</w:t>
      </w:r>
    </w:p>
    <w:p w14:paraId="37BFD5ED" w14:textId="77777777" w:rsidR="00053CC9" w:rsidRPr="00BF727A" w:rsidRDefault="00053CC9" w:rsidP="00B73B37">
      <w:pPr>
        <w:keepNext/>
        <w:keepLines/>
        <w:rPr>
          <w:b/>
          <w:szCs w:val="22"/>
        </w:rPr>
      </w:pPr>
    </w:p>
    <w:p w14:paraId="312C748E" w14:textId="24EBDFA3" w:rsidR="00053CC9" w:rsidRPr="00BF727A" w:rsidRDefault="00053CC9" w:rsidP="00B73B37">
      <w:pPr>
        <w:pStyle w:val="Heading3"/>
        <w:ind w:left="567" w:hanging="567"/>
      </w:pPr>
      <w:r>
        <w:t>Prvič, socialni partnerji in organizacije civilne družbe v večini držav članic so poudarili, da je ključno, da Evropska komisija v uredbi EU določi jasne smernice za države članice o strukturnem in vsebinskem vključevanju socialnih partnerjev in organizacij civilne družbe.</w:t>
      </w:r>
    </w:p>
    <w:p w14:paraId="11803B3D" w14:textId="77777777" w:rsidR="00053CC9" w:rsidRPr="00BF727A" w:rsidRDefault="00053CC9" w:rsidP="00B73B37">
      <w:pPr>
        <w:pStyle w:val="Heading3"/>
        <w:numPr>
          <w:ilvl w:val="0"/>
          <w:numId w:val="0"/>
        </w:numPr>
        <w:ind w:left="720"/>
      </w:pPr>
    </w:p>
    <w:p w14:paraId="7F6D49DB" w14:textId="7CAE5F3D" w:rsidR="00053CC9" w:rsidRPr="00BF727A" w:rsidRDefault="00053CC9" w:rsidP="00B73B37">
      <w:pPr>
        <w:pStyle w:val="Heading3"/>
        <w:ind w:left="567" w:hanging="567"/>
      </w:pPr>
      <w:r>
        <w:t>Drugič, socialni partnerji in organizacije civilne družbe v AT, CZ, DK (II. in III. skupina), EE, ES, FI, FR, HR (I. in III. skupina), HU, IT, LV, NL, PT in SI so navedli, da bi morala Evropska komisija predlagati tudi „preverjanje z vidika civilne družbe“, da bi še naprej zagotavljali polno vključenost nacionalnih predstavnikov civilne družbe v pripravo, izvajanje in ocenjevanje načrtov.</w:t>
      </w:r>
    </w:p>
    <w:p w14:paraId="1EB74754" w14:textId="77777777" w:rsidR="00053CC9" w:rsidRPr="00BF727A" w:rsidRDefault="00053CC9" w:rsidP="00B73B37">
      <w:pPr>
        <w:pStyle w:val="Heading3"/>
        <w:numPr>
          <w:ilvl w:val="0"/>
          <w:numId w:val="0"/>
        </w:numPr>
        <w:ind w:left="720"/>
      </w:pPr>
    </w:p>
    <w:p w14:paraId="7838233A" w14:textId="16471782" w:rsidR="00053CC9" w:rsidRPr="00BF727A" w:rsidRDefault="00053CC9" w:rsidP="00B73B37">
      <w:pPr>
        <w:pStyle w:val="Heading3"/>
        <w:ind w:left="567" w:hanging="567"/>
      </w:pPr>
      <w:r>
        <w:t xml:space="preserve">Tretjič, anketiranci v BG, CZ, DE, DK, EL, ES, FR (III. skupina), HR (I. in II. skupina), IT, MT, PT, SE, SI in SK so menili, da bi morala Evropska komisija nacionalne socialne partnerje in organizacije civilne družbe pozvati, naj podajo predloge za obravnavo izzivov, opredeljenih v okviru evropskega semestra, ob upoštevanju političnih vidikov, zlasti če so ti izzivi povezani s </w:t>
      </w:r>
      <w:r>
        <w:lastRenderedPageBreak/>
        <w:t>socialnimi vprašanji ter vprašanji na področju zaposlovanja in trga dela, opredeljenimi v okviru za socialno konvergenco.</w:t>
      </w:r>
    </w:p>
    <w:p w14:paraId="1CAC4D60" w14:textId="77777777" w:rsidR="00053CC9" w:rsidRPr="00BF727A" w:rsidRDefault="00053CC9" w:rsidP="00B73B37">
      <w:pPr>
        <w:pStyle w:val="Heading3"/>
        <w:numPr>
          <w:ilvl w:val="0"/>
          <w:numId w:val="0"/>
        </w:numPr>
        <w:ind w:left="720"/>
      </w:pPr>
    </w:p>
    <w:p w14:paraId="19212588" w14:textId="75C832E3" w:rsidR="00053CC9" w:rsidRPr="00BF727A" w:rsidRDefault="00053CC9" w:rsidP="00B73B37">
      <w:pPr>
        <w:pStyle w:val="Heading3"/>
        <w:ind w:left="567" w:hanging="567"/>
      </w:pPr>
      <w:r>
        <w:t>Četrtič, anketiranci v BG, CZ, EL, ES, IE, IT (II. in III. skupina), LV, MT, PT, SI in SK so Evropsko komisijo pozvali, naj smiselno vključenost socialnih partnerjev in organizacij civilne družbe uporablja kot merilo za odobritev nacionalnega načrta ali za njegovo zavrnitev, če vključenosti ni.</w:t>
      </w:r>
    </w:p>
    <w:p w14:paraId="27A99B17" w14:textId="77777777" w:rsidR="00053CC9" w:rsidRPr="00BF727A" w:rsidRDefault="00053CC9" w:rsidP="00B73B37">
      <w:pPr>
        <w:shd w:val="clear" w:color="auto" w:fill="FFFFFF" w:themeFill="background1"/>
        <w:rPr>
          <w:szCs w:val="22"/>
        </w:rPr>
      </w:pPr>
    </w:p>
    <w:p w14:paraId="30AF7C2D" w14:textId="02933B19" w:rsidR="00053CC9" w:rsidRPr="00BF727A" w:rsidRDefault="00053CC9" w:rsidP="00B73B37">
      <w:pPr>
        <w:pStyle w:val="Heading3"/>
        <w:ind w:left="567" w:hanging="567"/>
      </w:pPr>
      <w:r>
        <w:t>Petič, socialni partnerji in organizacije civilne družbe v DE, EL, ES, HR, IE, IT, LT, LV, PL in SI so poudarili, da bi morala Evropska komisija načelo partnerstva okrepiti z izboljšanjem kodeksa ravnanja ter financiranjem krepitve zmogljivosti in tehnične pomoči. Menili so, da morajo biti vsi deležniki dejansko vključeni v vse ravni odločanja o dodeljevanju sredstev, strateških prednostnih nalogah, programih, kazalnikih in ocenjevanju.</w:t>
      </w:r>
    </w:p>
    <w:p w14:paraId="573B9460" w14:textId="77777777" w:rsidR="00053CC9" w:rsidRPr="00BF727A" w:rsidRDefault="00053CC9" w:rsidP="00B73B37">
      <w:pPr>
        <w:pStyle w:val="Heading3"/>
        <w:numPr>
          <w:ilvl w:val="0"/>
          <w:numId w:val="0"/>
        </w:numPr>
        <w:ind w:left="720"/>
      </w:pPr>
    </w:p>
    <w:p w14:paraId="7EB0EE75" w14:textId="4C85D96E" w:rsidR="00053CC9" w:rsidRPr="00E66C2D" w:rsidRDefault="00053CC9" w:rsidP="00B73B37">
      <w:pPr>
        <w:pStyle w:val="Heading3"/>
        <w:ind w:left="567" w:hanging="567"/>
        <w:rPr>
          <w:b/>
        </w:rPr>
      </w:pPr>
      <w:r>
        <w:t>Anketiranci v IE so predlagali še, naj Komisija vodilna načela pripravi v obliki direktive namesto uredbe, da jo bo mogoče zlahka prilagoditi različnim nacionalnim mehanizmom za dialog. Nekateri predstavniki podjetij v IT so predlagali, naj se vzpostavita stalna evropska opazovalna skupina in letno poročanje o primerih dobre prakse pri politikah in programih za razvoj MSP.</w:t>
      </w:r>
    </w:p>
    <w:p w14:paraId="55C6426F" w14:textId="77777777" w:rsidR="00A46347" w:rsidRPr="00EE18EC" w:rsidRDefault="00A46347" w:rsidP="00B73B37">
      <w:pPr>
        <w:ind w:left="567"/>
        <w:rPr>
          <w:szCs w:val="22"/>
        </w:rPr>
      </w:pPr>
    </w:p>
    <w:p w14:paraId="18FB211D" w14:textId="7CEF9DE1" w:rsidR="00835C6C" w:rsidRPr="00E66C2D" w:rsidRDefault="00716DCD" w:rsidP="00B73B37">
      <w:pPr>
        <w:pStyle w:val="Heading1"/>
        <w:keepNext/>
        <w:keepLines/>
        <w:ind w:left="567" w:hanging="567"/>
      </w:pPr>
      <w:r>
        <w:rPr>
          <w:b/>
        </w:rPr>
        <w:t>Sklepi</w:t>
      </w:r>
    </w:p>
    <w:p w14:paraId="3575F6E5" w14:textId="77777777" w:rsidR="00835C6C" w:rsidRPr="00EE18EC" w:rsidRDefault="00835C6C" w:rsidP="00B73B37">
      <w:pPr>
        <w:keepNext/>
        <w:keepLines/>
        <w:rPr>
          <w:szCs w:val="22"/>
        </w:rPr>
      </w:pPr>
    </w:p>
    <w:p w14:paraId="353D83AB" w14:textId="3902CFB6" w:rsidR="006F61DA" w:rsidRPr="00BF727A" w:rsidRDefault="003C7171" w:rsidP="00B73B37">
      <w:pPr>
        <w:pStyle w:val="Heading3"/>
        <w:ind w:left="567" w:hanging="567"/>
      </w:pPr>
      <w:r>
        <w:t>Socialni partnerji in organizacije civilne družbe v vseh državah članicah so specifična priporočila za države na splošno sprejeli kot ustrezna in usklajena s ključnimi nacionalnimi ekonomskimi in strukturnimi izzivi, vendar so hkrati dosledno opozarjali na pomanjkljivosti pri tem, kako nacionalne vlade ta priporočila izvajajo s konkretnimi političnimi ukrepi, ter pri vključenosti socialnih partnerjev in civilne družbe. Poleg tega so številni deležniki opozorili na neravnovesje političnih prednostnih nalog, saj menijo, da se ekonomskim in fiskalnim ciljem namenja več pozornosti kot socialnim vidikom. Socialne razsežnosti, vključno z razmerami na trgu dela, plačami in neenakostjo, pogosto veljajo za premalo zastopane v različnih političnih okvirih. To neravnovesje naj bi prispevalo k širšemu strukturnemu demokratičnemu primanjkljaju v evropskem semestru, kar lahko ogrozi legitimnost in učinkovitost usklajevanja politik EU. Številni anketiranci so tudi menili, da se specifična socialna priporočila za države izvajajo nezadostno ali neučinkovito ali pa se sploh ne izvajajo, tudi če sčasoma sprožijo dinamiko nacionalnih reform.</w:t>
      </w:r>
    </w:p>
    <w:p w14:paraId="69343482" w14:textId="77777777" w:rsidR="00387FB1" w:rsidRPr="00BF727A" w:rsidRDefault="00387FB1" w:rsidP="00B73B37">
      <w:pPr>
        <w:pStyle w:val="Heading3"/>
        <w:numPr>
          <w:ilvl w:val="0"/>
          <w:numId w:val="0"/>
        </w:numPr>
        <w:ind w:left="720"/>
      </w:pPr>
    </w:p>
    <w:p w14:paraId="349BC12A" w14:textId="4B4E035E" w:rsidR="006F61DA" w:rsidRPr="00BF727A" w:rsidRDefault="006F61DA" w:rsidP="00B73B37">
      <w:pPr>
        <w:pStyle w:val="Heading3"/>
        <w:ind w:left="567" w:hanging="567"/>
      </w:pPr>
      <w:r>
        <w:t xml:space="preserve">V zvezi z izvajanjem mehanizma za okrevanje in odpornost so številni deležniki opozorili na vrzeli med oblikovanjem politik in njihovim dejanskim izvajanjem, slednje pa so opisali kot neenakomerno, delno ali ovirano zaradi upravnih in institucionalnih omejitev. Pogosto so bili navedeni pomisleki v zvezi z vlogo upravnih zmogljivosti in zapletenostjo postopkov. </w:t>
      </w:r>
    </w:p>
    <w:p w14:paraId="08F54D5B" w14:textId="77777777" w:rsidR="006F61DA" w:rsidRPr="00BF727A" w:rsidRDefault="006F61DA" w:rsidP="00B73B37">
      <w:pPr>
        <w:pStyle w:val="Heading3"/>
        <w:numPr>
          <w:ilvl w:val="0"/>
          <w:numId w:val="0"/>
        </w:numPr>
        <w:ind w:left="720"/>
      </w:pPr>
    </w:p>
    <w:p w14:paraId="1D73F3A3" w14:textId="57A5CB7E" w:rsidR="006F61DA" w:rsidRPr="00BF727A" w:rsidRDefault="006F61DA" w:rsidP="00B73B37">
      <w:pPr>
        <w:pStyle w:val="Heading3"/>
        <w:ind w:left="567" w:hanging="567"/>
        <w:rPr>
          <w:b/>
          <w:bCs/>
        </w:rPr>
      </w:pPr>
      <w:r>
        <w:t xml:space="preserve">Glede virov, ki so na voljo socialnim partnerjem in organizacijam civilne družbe, in njihovih zmogljivosti za spremljanje izvajanja nacionalnega srednjeročnega fiskalno-strukturnega načrta in letnega poročila o napredku so anketiranci poudarili, da tako izvajanje reform kot njihovo sposobnost učinkovitega spremljanja napredka ovirajo omejeni viri, veliko upravno breme in </w:t>
      </w:r>
      <w:r>
        <w:lastRenderedPageBreak/>
        <w:t>razdrobljeni postopki. Te ovire so pogosto še večje zaradi nezadostne preglednosti in omejene dostopnosti pravočasnih in uporabnih podatkov.</w:t>
      </w:r>
    </w:p>
    <w:p w14:paraId="725D1EC3" w14:textId="77777777" w:rsidR="006F61DA" w:rsidRPr="00BF727A" w:rsidRDefault="006F61DA" w:rsidP="00B73B37">
      <w:pPr>
        <w:rPr>
          <w:szCs w:val="22"/>
        </w:rPr>
      </w:pPr>
    </w:p>
    <w:p w14:paraId="033932F1" w14:textId="0E7C89E7" w:rsidR="006F61DA" w:rsidRPr="00BF727A" w:rsidRDefault="006F61DA" w:rsidP="00B73B37">
      <w:pPr>
        <w:pStyle w:val="Heading3"/>
        <w:ind w:left="567" w:hanging="567"/>
      </w:pPr>
      <w:r>
        <w:t>Še ena pogosta ugotovitev je povezana z vključenostjo socialnih partnerjev in organizacij civilne družbe v evropski semester in z njim povezane instrumente EU. Večina držav članic ima uradne mehanizme posvetovanja, vendar je bila udeležba na splošno ocenjena kot vsebinsko nezadostna, saj pogosto poteka prepozno v procesu ali ima omejen vpliv na končne politične odločitve, kar povzroča vtis, da je sodelovanje predvsem proceduralne narave in nima večjega vpliva.</w:t>
      </w:r>
    </w:p>
    <w:p w14:paraId="1CE1FE88" w14:textId="77777777" w:rsidR="006F61DA" w:rsidRPr="00BF727A" w:rsidRDefault="006F61DA" w:rsidP="00B73B37">
      <w:pPr>
        <w:pStyle w:val="Heading3"/>
        <w:numPr>
          <w:ilvl w:val="0"/>
          <w:numId w:val="0"/>
        </w:numPr>
        <w:ind w:left="720"/>
      </w:pPr>
    </w:p>
    <w:p w14:paraId="74E9FD6D" w14:textId="13290454" w:rsidR="00C73F2D" w:rsidRDefault="00D40B9B" w:rsidP="00B73B37">
      <w:pPr>
        <w:pStyle w:val="Heading3"/>
        <w:ind w:left="567" w:hanging="567"/>
      </w:pPr>
      <w:r>
        <w:t>V zvezi s povezavo med večletnim finančnim okvirom in evropskim semestrom so bila podana nasprotujoča si mnenja tako o prizadevanjih za okrepitev usklajevanja na ravni EU kot o pomislekih glede centralizacije. Anketiranci so priznali, da bi s tesnejšim usklajevanjem med instrumenti EU, zlasti evropskim semestrom in naslednjim večletnim finančnim okvirom, ter nacionalnimi politikami morda lahko izboljšali skladnost in uspešnost, vendar so deležniki v več državah članicah navedli pomisleke o njegovih posledicah. Te vključujejo morebiten vpliv na nacionalno avtonomijo, tveganja za demokratični nadzor in morebitna neravnovesja v postopkih odločanja, zlasti če bo upravljanje postalo bolj centralizirano ali se bo povečala pogojenost.</w:t>
      </w:r>
    </w:p>
    <w:p w14:paraId="18B3C8F0" w14:textId="77777777" w:rsidR="00023309" w:rsidRDefault="00023309" w:rsidP="00B73B37"/>
    <w:p w14:paraId="443050F1" w14:textId="393870BE" w:rsidR="00023309" w:rsidRDefault="00023309" w:rsidP="00B73B37">
      <w:r>
        <w:t>V Bruslju, 4. junija 2026</w:t>
      </w:r>
    </w:p>
    <w:p w14:paraId="0C9DF868" w14:textId="77777777" w:rsidR="00023309" w:rsidRDefault="00023309" w:rsidP="00B73B37"/>
    <w:p w14:paraId="234F72DE" w14:textId="77777777" w:rsidR="00023309" w:rsidRDefault="00023309" w:rsidP="00B73B37"/>
    <w:p w14:paraId="3ED6D800" w14:textId="77777777" w:rsidR="00023309" w:rsidRPr="00513042" w:rsidRDefault="00023309" w:rsidP="00B73B37">
      <w:pPr>
        <w:rPr>
          <w:i/>
          <w:iCs/>
        </w:rPr>
      </w:pPr>
      <w:r>
        <w:rPr>
          <w:i/>
        </w:rPr>
        <w:t>Predsednica strokovne skupine za ekonomsko in monetarno unijo ter ekonomsko in socialno kohezijo</w:t>
      </w:r>
    </w:p>
    <w:p w14:paraId="28439A3A" w14:textId="64ABD647" w:rsidR="00C73F2D" w:rsidRPr="00C73F2D" w:rsidRDefault="00023309" w:rsidP="00B73B37">
      <w:r>
        <w:t>Elena Alexandra CALISTRU</w:t>
      </w:r>
    </w:p>
    <w:p w14:paraId="748A0E40" w14:textId="77777777" w:rsidR="00926C67" w:rsidRPr="00BF727A" w:rsidRDefault="00926C67" w:rsidP="00B73B37">
      <w:pPr>
        <w:jc w:val="center"/>
        <w:rPr>
          <w:szCs w:val="22"/>
        </w:rPr>
      </w:pPr>
    </w:p>
    <w:p w14:paraId="489BE4D0" w14:textId="42CF18EF" w:rsidR="00DA1B10" w:rsidRPr="009E6A3B" w:rsidRDefault="009E6A3B" w:rsidP="00B73B37">
      <w:pPr>
        <w:jc w:val="center"/>
        <w:rPr>
          <w:lang w:val="nl-BE"/>
        </w:rPr>
      </w:pPr>
      <w:r>
        <w:rPr>
          <w:lang w:val="nl-BE"/>
        </w:rPr>
        <w:t>_____________</w:t>
      </w:r>
    </w:p>
    <w:sectPr w:rsidR="00DA1B10" w:rsidRPr="009E6A3B" w:rsidSect="003216CC">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25E99" w14:textId="77777777" w:rsidR="00B8521B" w:rsidRDefault="00B8521B">
      <w:r>
        <w:separator/>
      </w:r>
    </w:p>
  </w:endnote>
  <w:endnote w:type="continuationSeparator" w:id="0">
    <w:p w14:paraId="4B054ED7" w14:textId="77777777" w:rsidR="00B8521B" w:rsidRDefault="00B8521B">
      <w:r>
        <w:continuationSeparator/>
      </w:r>
    </w:p>
  </w:endnote>
  <w:endnote w:type="continuationNotice" w:id="1">
    <w:p w14:paraId="3018721A" w14:textId="77777777" w:rsidR="00B8521B" w:rsidRDefault="00B852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BBAB" w14:textId="77777777" w:rsidR="00DC2FFE" w:rsidRPr="003216CC" w:rsidRDefault="00DC2FFE" w:rsidP="00321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1ABE" w14:textId="29154955" w:rsidR="00CB5F3C" w:rsidRPr="003216CC" w:rsidRDefault="003216CC" w:rsidP="003216CC">
    <w:pPr>
      <w:pStyle w:val="Footer"/>
    </w:pPr>
    <w:r>
      <w:t xml:space="preserve">ECO/691 – EESC-2025-04323-00-00-RISE-TRA (EN) </w:t>
    </w:r>
    <w:r>
      <w:fldChar w:fldCharType="begin"/>
    </w:r>
    <w:r>
      <w:instrText xml:space="preserve"> PAGE  \* Arabic  \* MERGEFORMAT </w:instrText>
    </w:r>
    <w:r>
      <w:fldChar w:fldCharType="separate"/>
    </w:r>
    <w:r w:rsidR="00780EA2">
      <w:t>1</w:t>
    </w:r>
    <w:r>
      <w:fldChar w:fldCharType="end"/>
    </w:r>
    <w:r>
      <w:t>/</w:t>
    </w:r>
    <w:fldSimple w:instr=" NUMPAGES ">
      <w:r w:rsidR="00780EA2">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E4E7" w14:textId="77777777" w:rsidR="00DC2FFE" w:rsidRPr="003216CC" w:rsidRDefault="00DC2FFE" w:rsidP="003216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6A1F" w14:textId="77777777" w:rsidR="00B43AAA" w:rsidRPr="003216CC" w:rsidRDefault="00B43AAA" w:rsidP="003216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9064" w14:textId="547CFE60" w:rsidR="00646AC2" w:rsidRPr="003216CC" w:rsidRDefault="003216CC" w:rsidP="003216CC">
    <w:pPr>
      <w:pStyle w:val="Footer"/>
    </w:pPr>
    <w:r>
      <w:t xml:space="preserve">ECO/691 – EESC-2025-04323-00-00-RISE-TRA (EN) </w:t>
    </w:r>
    <w:r>
      <w:fldChar w:fldCharType="begin"/>
    </w:r>
    <w:r>
      <w:instrText xml:space="preserve"> PAGE  \* Arabic  \* MERGEFORMAT </w:instrText>
    </w:r>
    <w:r>
      <w:fldChar w:fldCharType="separate"/>
    </w:r>
    <w:r>
      <w:t>2</w:t>
    </w:r>
    <w:r>
      <w:fldChar w:fldCharType="end"/>
    </w:r>
    <w:r>
      <w:t>/</w:t>
    </w:r>
    <w:fldSimple w:instr=" NUMPAGES ">
      <w:r>
        <w:t>4</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75EC" w14:textId="77777777" w:rsidR="00B43AAA" w:rsidRPr="003216CC" w:rsidRDefault="00B43AAA" w:rsidP="00321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B6303" w14:textId="77777777" w:rsidR="00B8521B" w:rsidRDefault="00B8521B">
      <w:r>
        <w:separator/>
      </w:r>
    </w:p>
  </w:footnote>
  <w:footnote w:type="continuationSeparator" w:id="0">
    <w:p w14:paraId="39712C2B" w14:textId="77777777" w:rsidR="00B8521B" w:rsidRDefault="00B8521B">
      <w:r>
        <w:continuationSeparator/>
      </w:r>
    </w:p>
  </w:footnote>
  <w:footnote w:type="continuationNotice" w:id="1">
    <w:p w14:paraId="45EE55D4" w14:textId="77777777" w:rsidR="00B8521B" w:rsidRDefault="00B8521B">
      <w:pPr>
        <w:spacing w:line="240" w:lineRule="auto"/>
      </w:pPr>
    </w:p>
  </w:footnote>
  <w:footnote w:id="2">
    <w:p w14:paraId="38D6C46A" w14:textId="6F27751A" w:rsidR="00650F0F" w:rsidRPr="00930103" w:rsidRDefault="00650F0F" w:rsidP="00E540C5">
      <w:pPr>
        <w:pStyle w:val="FootnoteText"/>
        <w:ind w:left="567" w:hanging="567"/>
      </w:pPr>
      <w:r>
        <w:rPr>
          <w:rStyle w:val="FootnoteReference"/>
        </w:rPr>
        <w:footnoteRef/>
      </w:r>
      <w:r>
        <w:tab/>
      </w:r>
      <w:hyperlink r:id="rId1" w:history="1">
        <w:r>
          <w:rPr>
            <w:rStyle w:val="Hyperlink"/>
          </w:rPr>
          <w:t>Priporočila EESO o predlogih za reforme in naložbe, oblikovanih v okviru cikla evropskega semestra 2025–2026</w:t>
        </w:r>
      </w:hyperlink>
      <w:r>
        <w:t>.</w:t>
      </w:r>
    </w:p>
  </w:footnote>
  <w:footnote w:id="3">
    <w:p w14:paraId="2239EF00" w14:textId="2AA03FEB" w:rsidR="00C30E75" w:rsidRPr="00DA02D5" w:rsidRDefault="00C30E75" w:rsidP="00E540C5">
      <w:pPr>
        <w:pStyle w:val="FootnoteText"/>
        <w:ind w:left="567" w:hanging="567"/>
      </w:pPr>
      <w:r>
        <w:rPr>
          <w:rStyle w:val="FootnoteReference"/>
        </w:rPr>
        <w:footnoteRef/>
      </w:r>
      <w:r>
        <w:tab/>
        <w:t xml:space="preserve"> </w:t>
      </w:r>
      <w:r>
        <w:t>https://www.eesc.europa.eu/sl/our-work/opinions-information-reports/information-reports/point-view-organised-civil-society-eu-member-states-national-reform-and-investment-proposals-and-their-implementation-0/annex.</w:t>
      </w:r>
    </w:p>
  </w:footnote>
  <w:footnote w:id="4">
    <w:p w14:paraId="23929A55" w14:textId="7AF847A8" w:rsidR="00650F0F" w:rsidRPr="00447ECF" w:rsidRDefault="00650F0F" w:rsidP="00E540C5">
      <w:pPr>
        <w:pStyle w:val="FootnoteText"/>
        <w:ind w:left="567" w:hanging="567"/>
      </w:pPr>
      <w:r>
        <w:rPr>
          <w:rStyle w:val="FootnoteReference"/>
        </w:rPr>
        <w:footnoteRef/>
      </w:r>
      <w:r>
        <w:tab/>
      </w:r>
      <w:hyperlink r:id="rId2" w:history="1">
        <w:r>
          <w:rPr>
            <w:rStyle w:val="Hyperlink"/>
          </w:rPr>
          <w:t>Specifična priporočila za države za leto 2025</w:t>
        </w:r>
      </w:hyperlink>
      <w:r>
        <w:t>.</w:t>
      </w:r>
    </w:p>
  </w:footnote>
  <w:footnote w:id="5">
    <w:p w14:paraId="4A3785B8" w14:textId="180D1491" w:rsidR="00650F0F" w:rsidRPr="00447ECF" w:rsidRDefault="00650F0F" w:rsidP="00E540C5">
      <w:pPr>
        <w:pStyle w:val="FootnoteText"/>
        <w:ind w:left="567" w:hanging="567"/>
      </w:pPr>
      <w:r>
        <w:rPr>
          <w:rStyle w:val="FootnoteReference"/>
        </w:rPr>
        <w:footnoteRef/>
      </w:r>
      <w:r>
        <w:tab/>
      </w:r>
      <w:hyperlink r:id="rId3" w:anchor="hungary" w:history="1">
        <w:r>
          <w:rPr>
            <w:rStyle w:val="Hyperlink"/>
          </w:rPr>
          <w:t>Nacionalni srednjeročni fiskalno-strukturni načrti – Evropska komisija</w:t>
        </w:r>
      </w:hyperlink>
      <w:r>
        <w:t>.</w:t>
      </w:r>
    </w:p>
  </w:footnote>
  <w:footnote w:id="6">
    <w:p w14:paraId="4F11D1B0" w14:textId="7BAAAFCB" w:rsidR="00650F0F" w:rsidRPr="00447ECF" w:rsidRDefault="00650F0F" w:rsidP="00E540C5">
      <w:pPr>
        <w:pStyle w:val="FootnoteText"/>
        <w:ind w:left="567" w:hanging="567"/>
      </w:pPr>
      <w:r>
        <w:rPr>
          <w:rStyle w:val="FootnoteReference"/>
        </w:rPr>
        <w:footnoteRef/>
      </w:r>
      <w:r>
        <w:tab/>
      </w:r>
      <w:hyperlink r:id="rId4">
        <w:r>
          <w:rPr>
            <w:rStyle w:val="Hyperlink"/>
          </w:rPr>
          <w:t>Revizija okvira ekonomskega upravljanja</w:t>
        </w:r>
      </w:hyperlink>
      <w:r>
        <w:t>.</w:t>
      </w:r>
    </w:p>
  </w:footnote>
  <w:footnote w:id="7">
    <w:p w14:paraId="6F46A138" w14:textId="3BBEEEC8" w:rsidR="00F458A6" w:rsidRPr="00F458A6" w:rsidRDefault="00F458A6" w:rsidP="00D73098">
      <w:pPr>
        <w:pStyle w:val="FootnoteText"/>
        <w:ind w:left="567" w:hanging="567"/>
      </w:pPr>
      <w:r>
        <w:rPr>
          <w:rStyle w:val="FootnoteReference"/>
        </w:rPr>
        <w:footnoteRef/>
      </w:r>
      <w:r>
        <w:tab/>
      </w:r>
      <w:r>
        <w:t>Podrobnejši opis metodologije je na voljo v prilogi.</w:t>
      </w:r>
    </w:p>
  </w:footnote>
  <w:footnote w:id="8">
    <w:p w14:paraId="735CDF0D" w14:textId="46CF0CCD" w:rsidR="00005D99" w:rsidRPr="00005D99" w:rsidRDefault="00005D99" w:rsidP="00D73098">
      <w:pPr>
        <w:pStyle w:val="FootnoteText"/>
        <w:ind w:left="567" w:hanging="567"/>
      </w:pPr>
      <w:r>
        <w:rPr>
          <w:rStyle w:val="FootnoteReference"/>
        </w:rPr>
        <w:footnoteRef/>
      </w:r>
      <w:r>
        <w:tab/>
      </w:r>
      <w:r>
        <w:t>Od Belgije (BE), Bolgarije (BG), Češke (CZ), Danske (DK), Finske (FI), Grčije (EL), Hrvaške (HR), Irske (IE), Italije (IT), Latvije (LV), Litve (LT), Luksemburga (LU), Madžarske (HU), Malte (MT), Nemčije (DE), Nizozemske (NL), Poljske (PL), Portugalske (PT), Slovaške (SK), Slovenije (SL), Španije (ES) in Švedske (SE).</w:t>
      </w:r>
    </w:p>
  </w:footnote>
  <w:footnote w:id="9">
    <w:p w14:paraId="1CE9B185" w14:textId="5FBAF0EB" w:rsidR="00005D99" w:rsidRPr="00005D99" w:rsidRDefault="00005D99" w:rsidP="00D73098">
      <w:pPr>
        <w:pStyle w:val="FootnoteText"/>
        <w:ind w:left="567" w:hanging="567"/>
      </w:pPr>
      <w:r>
        <w:rPr>
          <w:rStyle w:val="FootnoteReference"/>
        </w:rPr>
        <w:footnoteRef/>
      </w:r>
      <w:r>
        <w:tab/>
      </w:r>
      <w:r>
        <w:t>V Romuniji 3. februarja 2026 (</w:t>
      </w:r>
      <w:hyperlink r:id="rId5" w:history="1">
        <w:r>
          <w:rPr>
            <w:rStyle w:val="Hyperlink"/>
          </w:rPr>
          <w:t>poročilo</w:t>
        </w:r>
      </w:hyperlink>
      <w:r>
        <w:t>), na Cipru (CY) 4. februarja 2026 (</w:t>
      </w:r>
      <w:hyperlink r:id="rId6" w:history="1">
        <w:r>
          <w:rPr>
            <w:rStyle w:val="Hyperlink"/>
          </w:rPr>
          <w:t>poročilo</w:t>
        </w:r>
      </w:hyperlink>
      <w:r>
        <w:t>), v Estoniji (EE) 9. februarja 2026 (</w:t>
      </w:r>
      <w:hyperlink r:id="rId7" w:history="1">
        <w:r>
          <w:rPr>
            <w:rStyle w:val="Hyperlink"/>
          </w:rPr>
          <w:t>poročilo</w:t>
        </w:r>
      </w:hyperlink>
      <w:r>
        <w:t>), Avstriji (AT) 24. februarja 2026 (</w:t>
      </w:r>
      <w:hyperlink r:id="rId8" w:history="1">
        <w:r>
          <w:rPr>
            <w:rStyle w:val="Hyperlink"/>
          </w:rPr>
          <w:t>poročilo</w:t>
        </w:r>
      </w:hyperlink>
      <w:r>
        <w:t>) in Franciji (FR) 2. marca 2026 (</w:t>
      </w:r>
      <w:hyperlink r:id="rId9" w:history="1">
        <w:r>
          <w:rPr>
            <w:rStyle w:val="Hyperlink"/>
          </w:rPr>
          <w:t>poročilo</w:t>
        </w:r>
      </w:hyperlink>
      <w:r>
        <w:t>).</w:t>
      </w:r>
    </w:p>
  </w:footnote>
  <w:footnote w:id="10">
    <w:p w14:paraId="169977F2" w14:textId="11142B20" w:rsidR="00A46610" w:rsidRPr="00A46610" w:rsidRDefault="00A46610" w:rsidP="00D73098">
      <w:pPr>
        <w:pStyle w:val="FootnoteText"/>
        <w:ind w:left="567" w:hanging="567"/>
      </w:pPr>
      <w:r>
        <w:rPr>
          <w:rStyle w:val="FootnoteReference"/>
        </w:rPr>
        <w:footnoteRef/>
      </w:r>
      <w:r>
        <w:tab/>
      </w:r>
      <w:r>
        <w:t>Sestava teh delegacij je navedena v prilogi.</w:t>
      </w:r>
    </w:p>
  </w:footnote>
  <w:footnote w:id="11">
    <w:p w14:paraId="70C9FB0E" w14:textId="60C0EB71" w:rsidR="003808E2" w:rsidRPr="00761545" w:rsidRDefault="003808E2" w:rsidP="00D73098">
      <w:pPr>
        <w:pStyle w:val="FootnoteText"/>
        <w:ind w:left="567" w:hanging="567"/>
      </w:pPr>
      <w:r>
        <w:rPr>
          <w:rStyle w:val="FootnoteReference"/>
        </w:rPr>
        <w:footnoteRef/>
      </w:r>
      <w:r>
        <w:tab/>
      </w:r>
      <w:hyperlink r:id="rId10" w:history="1">
        <w:r>
          <w:rPr>
            <w:rStyle w:val="Hyperlink"/>
          </w:rPr>
          <w:t>Povezovalna skupina z evropskimi organizacijami in mrežami civilne družbe, EESO</w:t>
        </w:r>
      </w:hyperlink>
      <w:r>
        <w:t>.</w:t>
      </w:r>
    </w:p>
  </w:footnote>
  <w:footnote w:id="12">
    <w:p w14:paraId="321B00E1" w14:textId="2085EC3F" w:rsidR="00F95C2C" w:rsidRPr="00F95C2C" w:rsidRDefault="00F95C2C" w:rsidP="007261A0">
      <w:pPr>
        <w:pStyle w:val="FootnoteText"/>
        <w:ind w:left="567" w:hanging="567"/>
      </w:pPr>
      <w:r>
        <w:rPr>
          <w:rStyle w:val="FootnoteReference"/>
        </w:rPr>
        <w:footnoteRef/>
      </w:r>
      <w:r>
        <w:tab/>
      </w:r>
      <w:r>
        <w:t>I. skupina: delodajalci, II. skupina: delojemalci, III. skupina: organizacije civilne družbe.</w:t>
      </w:r>
    </w:p>
  </w:footnote>
  <w:footnote w:id="13">
    <w:p w14:paraId="7B08A840" w14:textId="4B3B591A" w:rsidR="006E32A2" w:rsidRPr="00954E59" w:rsidRDefault="006E32A2" w:rsidP="00D73098">
      <w:pPr>
        <w:pStyle w:val="FootnoteText"/>
        <w:ind w:left="567" w:hanging="567"/>
      </w:pPr>
      <w:r>
        <w:rPr>
          <w:rStyle w:val="FootnoteReference"/>
        </w:rPr>
        <w:footnoteRef/>
      </w:r>
      <w:r>
        <w:tab/>
      </w:r>
      <w:r>
        <w:t>Tako so menili vsaj nekateri predstavniki I. skupine v HR.</w:t>
      </w:r>
    </w:p>
  </w:footnote>
  <w:footnote w:id="14">
    <w:p w14:paraId="7F982073" w14:textId="36047405" w:rsidR="006E32A2" w:rsidRPr="00954E59" w:rsidRDefault="006E32A2" w:rsidP="00D73098">
      <w:pPr>
        <w:pStyle w:val="FootnoteText"/>
        <w:ind w:left="567" w:hanging="567"/>
      </w:pPr>
      <w:r>
        <w:rPr>
          <w:rStyle w:val="FootnoteReference"/>
        </w:rPr>
        <w:footnoteRef/>
      </w:r>
      <w:r>
        <w:tab/>
      </w:r>
      <w:r>
        <w:t>Tako so menili anketiranci iz I. in II. skupine ter vsaj nekateri predstavniki III. skupine v IT.</w:t>
      </w:r>
    </w:p>
  </w:footnote>
  <w:footnote w:id="15">
    <w:p w14:paraId="40418DA7" w14:textId="63E3C273" w:rsidR="006E32A2" w:rsidRPr="00954E59" w:rsidRDefault="006E32A2" w:rsidP="00266D04">
      <w:pPr>
        <w:pStyle w:val="FootnoteText"/>
        <w:ind w:left="567" w:hanging="567"/>
      </w:pPr>
      <w:r>
        <w:rPr>
          <w:rStyle w:val="FootnoteReference"/>
        </w:rPr>
        <w:footnoteRef/>
      </w:r>
      <w:r>
        <w:tab/>
      </w:r>
      <w:r>
        <w:t>Tako so menili vsaj nekateri predstavniki I. skupine v HR.</w:t>
      </w:r>
    </w:p>
  </w:footnote>
  <w:footnote w:id="16">
    <w:p w14:paraId="58C52B36" w14:textId="33A79F6D" w:rsidR="006E32A2" w:rsidRPr="00954E59" w:rsidRDefault="006E32A2" w:rsidP="00266D04">
      <w:pPr>
        <w:pStyle w:val="FootnoteText"/>
        <w:ind w:left="567" w:hanging="567"/>
      </w:pPr>
      <w:r>
        <w:rPr>
          <w:rStyle w:val="FootnoteReference"/>
        </w:rPr>
        <w:footnoteRef/>
      </w:r>
      <w:r>
        <w:tab/>
      </w:r>
      <w:r>
        <w:t>Tako so menili vsaj nekateri predstavniki III. skupine v IT.</w:t>
      </w:r>
    </w:p>
  </w:footnote>
  <w:footnote w:id="17">
    <w:p w14:paraId="3C7EDE47" w14:textId="3A573CDC" w:rsidR="0048232D" w:rsidRPr="00954E59" w:rsidRDefault="0048232D" w:rsidP="00266D04">
      <w:pPr>
        <w:pStyle w:val="FootnoteText"/>
        <w:ind w:left="567" w:hanging="567"/>
      </w:pPr>
      <w:r>
        <w:rPr>
          <w:rStyle w:val="FootnoteReference"/>
        </w:rPr>
        <w:footnoteRef/>
      </w:r>
      <w:r>
        <w:tab/>
      </w:r>
      <w:r>
        <w:t>Tako so menili anketiranci iz I. in III. skupine ter vsaj nekateri predstavniki II. skupine v IT.</w:t>
      </w:r>
    </w:p>
  </w:footnote>
  <w:footnote w:id="18">
    <w:p w14:paraId="4699D9C4" w14:textId="3FC69478" w:rsidR="0048232D" w:rsidRPr="00954E59" w:rsidRDefault="0048232D" w:rsidP="00266D04">
      <w:pPr>
        <w:pStyle w:val="FootnoteText"/>
        <w:ind w:left="567" w:hanging="567"/>
      </w:pPr>
      <w:r>
        <w:rPr>
          <w:rStyle w:val="FootnoteReference"/>
        </w:rPr>
        <w:footnoteRef/>
      </w:r>
      <w:r>
        <w:tab/>
      </w:r>
      <w:r>
        <w:t>Tako so menili vsaj nekateri predstavniki II. skupine v 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FD7F" w14:textId="77777777" w:rsidR="00DC2FFE" w:rsidRPr="003216CC" w:rsidRDefault="00DC2FFE" w:rsidP="00321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FFC3" w14:textId="2E03FE7D" w:rsidR="00DC2FFE" w:rsidRPr="003216CC" w:rsidRDefault="00DC2FFE" w:rsidP="00321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057E4" w14:textId="77777777" w:rsidR="00DC2FFE" w:rsidRPr="003216CC" w:rsidRDefault="00DC2FFE" w:rsidP="003216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199D" w14:textId="77777777" w:rsidR="00B43AAA" w:rsidRPr="003216CC" w:rsidRDefault="00B43AAA" w:rsidP="003216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CC24" w14:textId="38AF9672" w:rsidR="00646AC2" w:rsidRPr="003216CC" w:rsidRDefault="00646AC2" w:rsidP="003216C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0AEA" w14:textId="77777777" w:rsidR="00B43AAA" w:rsidRPr="003216CC" w:rsidRDefault="00B43AAA" w:rsidP="00321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E54A5F4"/>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b w:val="0"/>
        <w:bCs w: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1"/>
  </w:num>
  <w:num w:numId="66">
    <w:abstractNumId w:val="0"/>
  </w:num>
  <w:num w:numId="67">
    <w:abstractNumId w:val="0"/>
  </w:num>
  <w:num w:numId="68">
    <w:abstractNumId w:val="0"/>
  </w:num>
  <w:num w:numId="69">
    <w:abstractNumId w:val="0"/>
  </w:num>
  <w:num w:numId="70">
    <w:abstractNumId w:val="0"/>
  </w:num>
  <w:num w:numId="71">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displayBackgroundShape/>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5AB9"/>
    <w:rsid w:val="00005D99"/>
    <w:rsid w:val="00005EB9"/>
    <w:rsid w:val="00006D38"/>
    <w:rsid w:val="00006E24"/>
    <w:rsid w:val="00007A40"/>
    <w:rsid w:val="00010DA9"/>
    <w:rsid w:val="0001319D"/>
    <w:rsid w:val="0001382C"/>
    <w:rsid w:val="0001708F"/>
    <w:rsid w:val="00017B45"/>
    <w:rsid w:val="000202E8"/>
    <w:rsid w:val="00020BE3"/>
    <w:rsid w:val="00020E6E"/>
    <w:rsid w:val="00022CF4"/>
    <w:rsid w:val="00023309"/>
    <w:rsid w:val="00031A4B"/>
    <w:rsid w:val="00033913"/>
    <w:rsid w:val="00033DB4"/>
    <w:rsid w:val="00033E5B"/>
    <w:rsid w:val="000357A8"/>
    <w:rsid w:val="00035F23"/>
    <w:rsid w:val="000430A6"/>
    <w:rsid w:val="00044923"/>
    <w:rsid w:val="00047710"/>
    <w:rsid w:val="0004778F"/>
    <w:rsid w:val="00051AA3"/>
    <w:rsid w:val="0005249C"/>
    <w:rsid w:val="000534A5"/>
    <w:rsid w:val="00053CC9"/>
    <w:rsid w:val="00056038"/>
    <w:rsid w:val="0005680D"/>
    <w:rsid w:val="00056DA8"/>
    <w:rsid w:val="0005716D"/>
    <w:rsid w:val="00061296"/>
    <w:rsid w:val="00063FB4"/>
    <w:rsid w:val="0006793E"/>
    <w:rsid w:val="00071008"/>
    <w:rsid w:val="00072E0F"/>
    <w:rsid w:val="000735E5"/>
    <w:rsid w:val="0007392F"/>
    <w:rsid w:val="0007395B"/>
    <w:rsid w:val="00077DE5"/>
    <w:rsid w:val="00087B39"/>
    <w:rsid w:val="00092469"/>
    <w:rsid w:val="00093DE0"/>
    <w:rsid w:val="0009514D"/>
    <w:rsid w:val="00096502"/>
    <w:rsid w:val="000972F0"/>
    <w:rsid w:val="000A49BB"/>
    <w:rsid w:val="000A5670"/>
    <w:rsid w:val="000B240B"/>
    <w:rsid w:val="000C04E4"/>
    <w:rsid w:val="000C2BC7"/>
    <w:rsid w:val="000C2D58"/>
    <w:rsid w:val="000C3441"/>
    <w:rsid w:val="000C4180"/>
    <w:rsid w:val="000C7F53"/>
    <w:rsid w:val="000D2F8E"/>
    <w:rsid w:val="000D34AF"/>
    <w:rsid w:val="000D640C"/>
    <w:rsid w:val="000D6C82"/>
    <w:rsid w:val="000E67B2"/>
    <w:rsid w:val="000E6FE5"/>
    <w:rsid w:val="000E7CF4"/>
    <w:rsid w:val="000F196B"/>
    <w:rsid w:val="00100275"/>
    <w:rsid w:val="00100B04"/>
    <w:rsid w:val="00101365"/>
    <w:rsid w:val="00104096"/>
    <w:rsid w:val="00105361"/>
    <w:rsid w:val="00106EBE"/>
    <w:rsid w:val="00107A3C"/>
    <w:rsid w:val="001101F8"/>
    <w:rsid w:val="0011206F"/>
    <w:rsid w:val="0011656A"/>
    <w:rsid w:val="0012220C"/>
    <w:rsid w:val="00135E10"/>
    <w:rsid w:val="00136EA3"/>
    <w:rsid w:val="00137575"/>
    <w:rsid w:val="001422A6"/>
    <w:rsid w:val="00143034"/>
    <w:rsid w:val="00144231"/>
    <w:rsid w:val="0014479E"/>
    <w:rsid w:val="00150434"/>
    <w:rsid w:val="001526A2"/>
    <w:rsid w:val="00154904"/>
    <w:rsid w:val="00155721"/>
    <w:rsid w:val="00157FB5"/>
    <w:rsid w:val="0016503F"/>
    <w:rsid w:val="0016674F"/>
    <w:rsid w:val="00167CA0"/>
    <w:rsid w:val="00167F6A"/>
    <w:rsid w:val="0017120D"/>
    <w:rsid w:val="001714F6"/>
    <w:rsid w:val="00176168"/>
    <w:rsid w:val="00177158"/>
    <w:rsid w:val="001806B0"/>
    <w:rsid w:val="001809D6"/>
    <w:rsid w:val="001814D7"/>
    <w:rsid w:val="00184FD4"/>
    <w:rsid w:val="00186B04"/>
    <w:rsid w:val="00186F1E"/>
    <w:rsid w:val="00190836"/>
    <w:rsid w:val="001924E4"/>
    <w:rsid w:val="00193930"/>
    <w:rsid w:val="00194B36"/>
    <w:rsid w:val="001960C6"/>
    <w:rsid w:val="001963A5"/>
    <w:rsid w:val="00196F1E"/>
    <w:rsid w:val="001971BE"/>
    <w:rsid w:val="00197FCA"/>
    <w:rsid w:val="001A145B"/>
    <w:rsid w:val="001A225A"/>
    <w:rsid w:val="001A27DB"/>
    <w:rsid w:val="001A6852"/>
    <w:rsid w:val="001A78FB"/>
    <w:rsid w:val="001B286A"/>
    <w:rsid w:val="001B2D02"/>
    <w:rsid w:val="001B3647"/>
    <w:rsid w:val="001B77FA"/>
    <w:rsid w:val="001C0ABE"/>
    <w:rsid w:val="001C4B19"/>
    <w:rsid w:val="001C5852"/>
    <w:rsid w:val="001C68BD"/>
    <w:rsid w:val="001D45F0"/>
    <w:rsid w:val="001E0A71"/>
    <w:rsid w:val="001E1335"/>
    <w:rsid w:val="001E4A33"/>
    <w:rsid w:val="001E4C23"/>
    <w:rsid w:val="001E5C27"/>
    <w:rsid w:val="001E73F4"/>
    <w:rsid w:val="001F479C"/>
    <w:rsid w:val="001F602B"/>
    <w:rsid w:val="001F69AD"/>
    <w:rsid w:val="001F6AC8"/>
    <w:rsid w:val="001F6C0F"/>
    <w:rsid w:val="002037D5"/>
    <w:rsid w:val="00206F90"/>
    <w:rsid w:val="00212B03"/>
    <w:rsid w:val="00215C10"/>
    <w:rsid w:val="00215C2D"/>
    <w:rsid w:val="00215EB6"/>
    <w:rsid w:val="002160F6"/>
    <w:rsid w:val="00216B2D"/>
    <w:rsid w:val="002212F9"/>
    <w:rsid w:val="002252C4"/>
    <w:rsid w:val="00226A10"/>
    <w:rsid w:val="0023140A"/>
    <w:rsid w:val="0023183E"/>
    <w:rsid w:val="00232131"/>
    <w:rsid w:val="00234EA9"/>
    <w:rsid w:val="00235138"/>
    <w:rsid w:val="00243E36"/>
    <w:rsid w:val="00244BD5"/>
    <w:rsid w:val="0024540B"/>
    <w:rsid w:val="00245EF4"/>
    <w:rsid w:val="0024659B"/>
    <w:rsid w:val="0024729D"/>
    <w:rsid w:val="00250E11"/>
    <w:rsid w:val="00251383"/>
    <w:rsid w:val="002522C9"/>
    <w:rsid w:val="00252A21"/>
    <w:rsid w:val="0025346D"/>
    <w:rsid w:val="00253E4F"/>
    <w:rsid w:val="00253FCA"/>
    <w:rsid w:val="002542E4"/>
    <w:rsid w:val="002544EB"/>
    <w:rsid w:val="00261053"/>
    <w:rsid w:val="00262FDE"/>
    <w:rsid w:val="00263224"/>
    <w:rsid w:val="00263629"/>
    <w:rsid w:val="00266D04"/>
    <w:rsid w:val="002707CB"/>
    <w:rsid w:val="00270EFA"/>
    <w:rsid w:val="00272D37"/>
    <w:rsid w:val="002742BC"/>
    <w:rsid w:val="0027566C"/>
    <w:rsid w:val="002769BD"/>
    <w:rsid w:val="002809EA"/>
    <w:rsid w:val="00284962"/>
    <w:rsid w:val="00287B0E"/>
    <w:rsid w:val="002902D2"/>
    <w:rsid w:val="00295491"/>
    <w:rsid w:val="0029549C"/>
    <w:rsid w:val="00296CC0"/>
    <w:rsid w:val="002A09EA"/>
    <w:rsid w:val="002A0B53"/>
    <w:rsid w:val="002A0EEF"/>
    <w:rsid w:val="002A7F38"/>
    <w:rsid w:val="002B2DF7"/>
    <w:rsid w:val="002B449C"/>
    <w:rsid w:val="002B4DE3"/>
    <w:rsid w:val="002B5BF1"/>
    <w:rsid w:val="002B69AC"/>
    <w:rsid w:val="002C1D46"/>
    <w:rsid w:val="002C29E6"/>
    <w:rsid w:val="002C3BF4"/>
    <w:rsid w:val="002C69EB"/>
    <w:rsid w:val="002C749F"/>
    <w:rsid w:val="002D4A8F"/>
    <w:rsid w:val="002D7F3B"/>
    <w:rsid w:val="002E381E"/>
    <w:rsid w:val="002F059B"/>
    <w:rsid w:val="002F5B0B"/>
    <w:rsid w:val="002F72AE"/>
    <w:rsid w:val="00300924"/>
    <w:rsid w:val="00301136"/>
    <w:rsid w:val="0030596E"/>
    <w:rsid w:val="00306551"/>
    <w:rsid w:val="003073C3"/>
    <w:rsid w:val="003101A4"/>
    <w:rsid w:val="00311AF5"/>
    <w:rsid w:val="003216CC"/>
    <w:rsid w:val="00323637"/>
    <w:rsid w:val="00323C9E"/>
    <w:rsid w:val="00324E8A"/>
    <w:rsid w:val="00331D87"/>
    <w:rsid w:val="00332850"/>
    <w:rsid w:val="00334478"/>
    <w:rsid w:val="003346B4"/>
    <w:rsid w:val="00334AE6"/>
    <w:rsid w:val="003365D0"/>
    <w:rsid w:val="003433F3"/>
    <w:rsid w:val="003439AB"/>
    <w:rsid w:val="00343EA7"/>
    <w:rsid w:val="0034454A"/>
    <w:rsid w:val="00354695"/>
    <w:rsid w:val="0035549B"/>
    <w:rsid w:val="00355563"/>
    <w:rsid w:val="00357217"/>
    <w:rsid w:val="0035764D"/>
    <w:rsid w:val="00361B68"/>
    <w:rsid w:val="00361F27"/>
    <w:rsid w:val="003720D5"/>
    <w:rsid w:val="003737EA"/>
    <w:rsid w:val="003750E8"/>
    <w:rsid w:val="003755C8"/>
    <w:rsid w:val="00375687"/>
    <w:rsid w:val="00375C20"/>
    <w:rsid w:val="003808E2"/>
    <w:rsid w:val="00380AE0"/>
    <w:rsid w:val="00381095"/>
    <w:rsid w:val="00383324"/>
    <w:rsid w:val="00386A37"/>
    <w:rsid w:val="00387A75"/>
    <w:rsid w:val="00387FB1"/>
    <w:rsid w:val="003904FD"/>
    <w:rsid w:val="00394254"/>
    <w:rsid w:val="0039528D"/>
    <w:rsid w:val="003A55EE"/>
    <w:rsid w:val="003A5C03"/>
    <w:rsid w:val="003B2831"/>
    <w:rsid w:val="003B363C"/>
    <w:rsid w:val="003B3C22"/>
    <w:rsid w:val="003B7642"/>
    <w:rsid w:val="003C2BFB"/>
    <w:rsid w:val="003C436B"/>
    <w:rsid w:val="003C48E4"/>
    <w:rsid w:val="003C5337"/>
    <w:rsid w:val="003C5F92"/>
    <w:rsid w:val="003C7171"/>
    <w:rsid w:val="003C7318"/>
    <w:rsid w:val="003D2C44"/>
    <w:rsid w:val="003D7A8C"/>
    <w:rsid w:val="003D7C00"/>
    <w:rsid w:val="003D7E0F"/>
    <w:rsid w:val="003E095E"/>
    <w:rsid w:val="003E0EB4"/>
    <w:rsid w:val="003E324F"/>
    <w:rsid w:val="003E4090"/>
    <w:rsid w:val="003E423D"/>
    <w:rsid w:val="003E53AA"/>
    <w:rsid w:val="003E56E5"/>
    <w:rsid w:val="003E7179"/>
    <w:rsid w:val="003E7E60"/>
    <w:rsid w:val="003F00D4"/>
    <w:rsid w:val="003F2209"/>
    <w:rsid w:val="003F3D39"/>
    <w:rsid w:val="003F50FC"/>
    <w:rsid w:val="003F646A"/>
    <w:rsid w:val="003F6761"/>
    <w:rsid w:val="003F6A0A"/>
    <w:rsid w:val="003F6FB1"/>
    <w:rsid w:val="0040105F"/>
    <w:rsid w:val="004024F5"/>
    <w:rsid w:val="00402DE1"/>
    <w:rsid w:val="0040328E"/>
    <w:rsid w:val="00403D8B"/>
    <w:rsid w:val="004058F1"/>
    <w:rsid w:val="004059E4"/>
    <w:rsid w:val="00407E7D"/>
    <w:rsid w:val="0041283D"/>
    <w:rsid w:val="00413AB4"/>
    <w:rsid w:val="00414F4A"/>
    <w:rsid w:val="0041595C"/>
    <w:rsid w:val="00420458"/>
    <w:rsid w:val="00421373"/>
    <w:rsid w:val="00421FB7"/>
    <w:rsid w:val="00424A07"/>
    <w:rsid w:val="0042763B"/>
    <w:rsid w:val="0043024C"/>
    <w:rsid w:val="00430910"/>
    <w:rsid w:val="00432B53"/>
    <w:rsid w:val="00435036"/>
    <w:rsid w:val="00435493"/>
    <w:rsid w:val="00436706"/>
    <w:rsid w:val="00443D38"/>
    <w:rsid w:val="00450E7A"/>
    <w:rsid w:val="00454ADE"/>
    <w:rsid w:val="00455DF2"/>
    <w:rsid w:val="00456658"/>
    <w:rsid w:val="00456AF8"/>
    <w:rsid w:val="004615A9"/>
    <w:rsid w:val="004651B8"/>
    <w:rsid w:val="00470B15"/>
    <w:rsid w:val="004718BA"/>
    <w:rsid w:val="00475869"/>
    <w:rsid w:val="00475A77"/>
    <w:rsid w:val="004765AC"/>
    <w:rsid w:val="00477243"/>
    <w:rsid w:val="004801EB"/>
    <w:rsid w:val="0048232D"/>
    <w:rsid w:val="00482A42"/>
    <w:rsid w:val="00482DDC"/>
    <w:rsid w:val="00483E6C"/>
    <w:rsid w:val="004862CA"/>
    <w:rsid w:val="004866A9"/>
    <w:rsid w:val="00492774"/>
    <w:rsid w:val="00496D7A"/>
    <w:rsid w:val="004A0BB1"/>
    <w:rsid w:val="004A1B4A"/>
    <w:rsid w:val="004A1E78"/>
    <w:rsid w:val="004A31BC"/>
    <w:rsid w:val="004A3F1A"/>
    <w:rsid w:val="004A3F45"/>
    <w:rsid w:val="004A585F"/>
    <w:rsid w:val="004B1AFA"/>
    <w:rsid w:val="004B6047"/>
    <w:rsid w:val="004B7088"/>
    <w:rsid w:val="004C0B16"/>
    <w:rsid w:val="004C39CD"/>
    <w:rsid w:val="004C5B76"/>
    <w:rsid w:val="004D02CD"/>
    <w:rsid w:val="004D0B24"/>
    <w:rsid w:val="004D0DB0"/>
    <w:rsid w:val="004D35B5"/>
    <w:rsid w:val="004D4B90"/>
    <w:rsid w:val="004D609A"/>
    <w:rsid w:val="004D6151"/>
    <w:rsid w:val="004D6B95"/>
    <w:rsid w:val="004D7F41"/>
    <w:rsid w:val="004E00C8"/>
    <w:rsid w:val="004E03A2"/>
    <w:rsid w:val="004E1F26"/>
    <w:rsid w:val="004E317E"/>
    <w:rsid w:val="004E3954"/>
    <w:rsid w:val="004E5856"/>
    <w:rsid w:val="004F06B0"/>
    <w:rsid w:val="004F0D80"/>
    <w:rsid w:val="004F2330"/>
    <w:rsid w:val="004F2C8A"/>
    <w:rsid w:val="004F53C6"/>
    <w:rsid w:val="004F69DB"/>
    <w:rsid w:val="004F6B87"/>
    <w:rsid w:val="005007BC"/>
    <w:rsid w:val="00501C2D"/>
    <w:rsid w:val="00502637"/>
    <w:rsid w:val="00511140"/>
    <w:rsid w:val="00513CFE"/>
    <w:rsid w:val="00523B6A"/>
    <w:rsid w:val="00525F6C"/>
    <w:rsid w:val="00527502"/>
    <w:rsid w:val="005426D1"/>
    <w:rsid w:val="00542C88"/>
    <w:rsid w:val="005436C6"/>
    <w:rsid w:val="00544B51"/>
    <w:rsid w:val="00546AB4"/>
    <w:rsid w:val="005514E5"/>
    <w:rsid w:val="005527BB"/>
    <w:rsid w:val="00553CB3"/>
    <w:rsid w:val="005562F7"/>
    <w:rsid w:val="00560486"/>
    <w:rsid w:val="00563C84"/>
    <w:rsid w:val="005762F6"/>
    <w:rsid w:val="0057637C"/>
    <w:rsid w:val="005766CA"/>
    <w:rsid w:val="00577FA1"/>
    <w:rsid w:val="00584FBE"/>
    <w:rsid w:val="00585483"/>
    <w:rsid w:val="005869D2"/>
    <w:rsid w:val="00587378"/>
    <w:rsid w:val="00587C05"/>
    <w:rsid w:val="00590AAB"/>
    <w:rsid w:val="005928E6"/>
    <w:rsid w:val="00592CFA"/>
    <w:rsid w:val="005938C3"/>
    <w:rsid w:val="0059459F"/>
    <w:rsid w:val="0059468C"/>
    <w:rsid w:val="00594E6E"/>
    <w:rsid w:val="00594FBC"/>
    <w:rsid w:val="00595125"/>
    <w:rsid w:val="005957EA"/>
    <w:rsid w:val="00596F21"/>
    <w:rsid w:val="005B1CDD"/>
    <w:rsid w:val="005B1E19"/>
    <w:rsid w:val="005B55FC"/>
    <w:rsid w:val="005C2D5E"/>
    <w:rsid w:val="005C3B81"/>
    <w:rsid w:val="005C5D79"/>
    <w:rsid w:val="005C650C"/>
    <w:rsid w:val="005D086C"/>
    <w:rsid w:val="005D11D3"/>
    <w:rsid w:val="005D4E1F"/>
    <w:rsid w:val="005D4FB3"/>
    <w:rsid w:val="005D51D1"/>
    <w:rsid w:val="005D52A1"/>
    <w:rsid w:val="005E13BB"/>
    <w:rsid w:val="005E2F07"/>
    <w:rsid w:val="005E2FEA"/>
    <w:rsid w:val="005E3A0B"/>
    <w:rsid w:val="005E536E"/>
    <w:rsid w:val="005F314B"/>
    <w:rsid w:val="005F5034"/>
    <w:rsid w:val="0060433C"/>
    <w:rsid w:val="00611AF2"/>
    <w:rsid w:val="0061212B"/>
    <w:rsid w:val="006127AF"/>
    <w:rsid w:val="00615CF3"/>
    <w:rsid w:val="00615FB2"/>
    <w:rsid w:val="00617BD1"/>
    <w:rsid w:val="00617CE8"/>
    <w:rsid w:val="00621D25"/>
    <w:rsid w:val="00622778"/>
    <w:rsid w:val="00624EAB"/>
    <w:rsid w:val="006278A0"/>
    <w:rsid w:val="00630074"/>
    <w:rsid w:val="0063095F"/>
    <w:rsid w:val="00634417"/>
    <w:rsid w:val="0064352D"/>
    <w:rsid w:val="00644904"/>
    <w:rsid w:val="00646AC2"/>
    <w:rsid w:val="00650390"/>
    <w:rsid w:val="00650F0F"/>
    <w:rsid w:val="00651F6A"/>
    <w:rsid w:val="00654DAB"/>
    <w:rsid w:val="0065577B"/>
    <w:rsid w:val="00656F0B"/>
    <w:rsid w:val="00657061"/>
    <w:rsid w:val="00657164"/>
    <w:rsid w:val="0066204A"/>
    <w:rsid w:val="00670E3C"/>
    <w:rsid w:val="0067591A"/>
    <w:rsid w:val="00675ED3"/>
    <w:rsid w:val="00676850"/>
    <w:rsid w:val="00677F57"/>
    <w:rsid w:val="00681088"/>
    <w:rsid w:val="00690BBC"/>
    <w:rsid w:val="0069577E"/>
    <w:rsid w:val="00696033"/>
    <w:rsid w:val="0069634B"/>
    <w:rsid w:val="00696623"/>
    <w:rsid w:val="006A04E9"/>
    <w:rsid w:val="006A46EF"/>
    <w:rsid w:val="006A4A03"/>
    <w:rsid w:val="006A7543"/>
    <w:rsid w:val="006B725C"/>
    <w:rsid w:val="006C173A"/>
    <w:rsid w:val="006C273D"/>
    <w:rsid w:val="006C45F0"/>
    <w:rsid w:val="006C56A7"/>
    <w:rsid w:val="006C5C4F"/>
    <w:rsid w:val="006C6282"/>
    <w:rsid w:val="006C762A"/>
    <w:rsid w:val="006D10CD"/>
    <w:rsid w:val="006D14DD"/>
    <w:rsid w:val="006D2736"/>
    <w:rsid w:val="006D5FF9"/>
    <w:rsid w:val="006E0772"/>
    <w:rsid w:val="006E0D57"/>
    <w:rsid w:val="006E0F86"/>
    <w:rsid w:val="006E32A2"/>
    <w:rsid w:val="006E64DF"/>
    <w:rsid w:val="006F0B15"/>
    <w:rsid w:val="006F0DCC"/>
    <w:rsid w:val="006F1B6B"/>
    <w:rsid w:val="006F4074"/>
    <w:rsid w:val="006F4DFD"/>
    <w:rsid w:val="006F61DA"/>
    <w:rsid w:val="00701748"/>
    <w:rsid w:val="00701C9E"/>
    <w:rsid w:val="00703DF9"/>
    <w:rsid w:val="007048EB"/>
    <w:rsid w:val="00704FBB"/>
    <w:rsid w:val="00706EF4"/>
    <w:rsid w:val="0070709D"/>
    <w:rsid w:val="0070726A"/>
    <w:rsid w:val="0071226B"/>
    <w:rsid w:val="00714A5F"/>
    <w:rsid w:val="00716DCD"/>
    <w:rsid w:val="00717040"/>
    <w:rsid w:val="00717184"/>
    <w:rsid w:val="00717F9C"/>
    <w:rsid w:val="00723FC8"/>
    <w:rsid w:val="007261A0"/>
    <w:rsid w:val="00730921"/>
    <w:rsid w:val="00732A1D"/>
    <w:rsid w:val="0073318F"/>
    <w:rsid w:val="00742B67"/>
    <w:rsid w:val="00745E7E"/>
    <w:rsid w:val="00751501"/>
    <w:rsid w:val="00755426"/>
    <w:rsid w:val="00756EBF"/>
    <w:rsid w:val="00761545"/>
    <w:rsid w:val="00766CC0"/>
    <w:rsid w:val="00770974"/>
    <w:rsid w:val="007716C9"/>
    <w:rsid w:val="007718B5"/>
    <w:rsid w:val="00774946"/>
    <w:rsid w:val="007750A2"/>
    <w:rsid w:val="00780EA2"/>
    <w:rsid w:val="007817D6"/>
    <w:rsid w:val="00783D91"/>
    <w:rsid w:val="007874E2"/>
    <w:rsid w:val="00787912"/>
    <w:rsid w:val="0079177A"/>
    <w:rsid w:val="00794836"/>
    <w:rsid w:val="007948D5"/>
    <w:rsid w:val="00797B92"/>
    <w:rsid w:val="007A15C9"/>
    <w:rsid w:val="007A2263"/>
    <w:rsid w:val="007A5B12"/>
    <w:rsid w:val="007A6676"/>
    <w:rsid w:val="007B0230"/>
    <w:rsid w:val="007B0446"/>
    <w:rsid w:val="007B061A"/>
    <w:rsid w:val="007B4D42"/>
    <w:rsid w:val="007B5D1B"/>
    <w:rsid w:val="007B7FF5"/>
    <w:rsid w:val="007C1891"/>
    <w:rsid w:val="007C3FC6"/>
    <w:rsid w:val="007C6A86"/>
    <w:rsid w:val="007D14EA"/>
    <w:rsid w:val="007D2CE9"/>
    <w:rsid w:val="007D4FED"/>
    <w:rsid w:val="007D53DC"/>
    <w:rsid w:val="007D69DA"/>
    <w:rsid w:val="007D70B1"/>
    <w:rsid w:val="007D7140"/>
    <w:rsid w:val="007E1C73"/>
    <w:rsid w:val="007E1CDB"/>
    <w:rsid w:val="007E408C"/>
    <w:rsid w:val="007E7706"/>
    <w:rsid w:val="007E7E21"/>
    <w:rsid w:val="007F0460"/>
    <w:rsid w:val="007F0DA2"/>
    <w:rsid w:val="007F39CE"/>
    <w:rsid w:val="007F427F"/>
    <w:rsid w:val="007F5E0D"/>
    <w:rsid w:val="007F7B77"/>
    <w:rsid w:val="0080082D"/>
    <w:rsid w:val="00801085"/>
    <w:rsid w:val="00801A89"/>
    <w:rsid w:val="00805D32"/>
    <w:rsid w:val="00812138"/>
    <w:rsid w:val="008151F2"/>
    <w:rsid w:val="0081777A"/>
    <w:rsid w:val="008210E0"/>
    <w:rsid w:val="00824079"/>
    <w:rsid w:val="008276F6"/>
    <w:rsid w:val="00831F0A"/>
    <w:rsid w:val="00832896"/>
    <w:rsid w:val="00833A78"/>
    <w:rsid w:val="00835C6C"/>
    <w:rsid w:val="008362E2"/>
    <w:rsid w:val="008366D5"/>
    <w:rsid w:val="0084374E"/>
    <w:rsid w:val="0084585F"/>
    <w:rsid w:val="00846A4B"/>
    <w:rsid w:val="00853E53"/>
    <w:rsid w:val="00854ED3"/>
    <w:rsid w:val="00855108"/>
    <w:rsid w:val="00855B02"/>
    <w:rsid w:val="00864D76"/>
    <w:rsid w:val="008656C9"/>
    <w:rsid w:val="0086711C"/>
    <w:rsid w:val="00867535"/>
    <w:rsid w:val="0087052A"/>
    <w:rsid w:val="008709FB"/>
    <w:rsid w:val="00872D5B"/>
    <w:rsid w:val="00875C5B"/>
    <w:rsid w:val="008767B8"/>
    <w:rsid w:val="008825BC"/>
    <w:rsid w:val="008832B8"/>
    <w:rsid w:val="00883C5F"/>
    <w:rsid w:val="00886C92"/>
    <w:rsid w:val="00891C7D"/>
    <w:rsid w:val="00892FA7"/>
    <w:rsid w:val="008A1B77"/>
    <w:rsid w:val="008A3301"/>
    <w:rsid w:val="008A3988"/>
    <w:rsid w:val="008A4135"/>
    <w:rsid w:val="008A4DF1"/>
    <w:rsid w:val="008A5636"/>
    <w:rsid w:val="008B125E"/>
    <w:rsid w:val="008B241C"/>
    <w:rsid w:val="008B408B"/>
    <w:rsid w:val="008B4F11"/>
    <w:rsid w:val="008C0533"/>
    <w:rsid w:val="008C2362"/>
    <w:rsid w:val="008C3049"/>
    <w:rsid w:val="008C5EBB"/>
    <w:rsid w:val="008C6CF8"/>
    <w:rsid w:val="008C726C"/>
    <w:rsid w:val="008D086B"/>
    <w:rsid w:val="008D3370"/>
    <w:rsid w:val="008D4AE9"/>
    <w:rsid w:val="008D4C51"/>
    <w:rsid w:val="008D5CF3"/>
    <w:rsid w:val="008D62AF"/>
    <w:rsid w:val="008D7D39"/>
    <w:rsid w:val="008E3CFD"/>
    <w:rsid w:val="008E438E"/>
    <w:rsid w:val="008E4574"/>
    <w:rsid w:val="008E6025"/>
    <w:rsid w:val="008E6F7D"/>
    <w:rsid w:val="008E73C6"/>
    <w:rsid w:val="008F4016"/>
    <w:rsid w:val="008F42FE"/>
    <w:rsid w:val="008F4A00"/>
    <w:rsid w:val="008F5402"/>
    <w:rsid w:val="008F6963"/>
    <w:rsid w:val="0090053A"/>
    <w:rsid w:val="00901C2A"/>
    <w:rsid w:val="00904269"/>
    <w:rsid w:val="00904F39"/>
    <w:rsid w:val="009076F9"/>
    <w:rsid w:val="009109EC"/>
    <w:rsid w:val="009118C7"/>
    <w:rsid w:val="00913DAB"/>
    <w:rsid w:val="00915040"/>
    <w:rsid w:val="0091517D"/>
    <w:rsid w:val="009201A0"/>
    <w:rsid w:val="009225B6"/>
    <w:rsid w:val="00925397"/>
    <w:rsid w:val="00926C67"/>
    <w:rsid w:val="00930103"/>
    <w:rsid w:val="00933A21"/>
    <w:rsid w:val="00934C10"/>
    <w:rsid w:val="00935FF2"/>
    <w:rsid w:val="0093662A"/>
    <w:rsid w:val="009403B3"/>
    <w:rsid w:val="0094060C"/>
    <w:rsid w:val="009441A3"/>
    <w:rsid w:val="009536D7"/>
    <w:rsid w:val="00954E59"/>
    <w:rsid w:val="00955A4A"/>
    <w:rsid w:val="009606A5"/>
    <w:rsid w:val="00962F1F"/>
    <w:rsid w:val="00965229"/>
    <w:rsid w:val="00965304"/>
    <w:rsid w:val="00965D22"/>
    <w:rsid w:val="00966989"/>
    <w:rsid w:val="009676B6"/>
    <w:rsid w:val="009706DE"/>
    <w:rsid w:val="00971293"/>
    <w:rsid w:val="00973A3B"/>
    <w:rsid w:val="00976333"/>
    <w:rsid w:val="00980F1E"/>
    <w:rsid w:val="00983EAE"/>
    <w:rsid w:val="0098585B"/>
    <w:rsid w:val="009858B0"/>
    <w:rsid w:val="0098760B"/>
    <w:rsid w:val="00993448"/>
    <w:rsid w:val="00994C65"/>
    <w:rsid w:val="00996AE2"/>
    <w:rsid w:val="009A11DD"/>
    <w:rsid w:val="009A2CB0"/>
    <w:rsid w:val="009A6C6C"/>
    <w:rsid w:val="009B30AA"/>
    <w:rsid w:val="009B34A8"/>
    <w:rsid w:val="009B3AEF"/>
    <w:rsid w:val="009B4749"/>
    <w:rsid w:val="009B5217"/>
    <w:rsid w:val="009B6118"/>
    <w:rsid w:val="009C4798"/>
    <w:rsid w:val="009C48DE"/>
    <w:rsid w:val="009D17EF"/>
    <w:rsid w:val="009D75D1"/>
    <w:rsid w:val="009E1E1E"/>
    <w:rsid w:val="009E31AA"/>
    <w:rsid w:val="009E33E3"/>
    <w:rsid w:val="009E6A3B"/>
    <w:rsid w:val="009E6FB7"/>
    <w:rsid w:val="009E70F0"/>
    <w:rsid w:val="009E7F16"/>
    <w:rsid w:val="009F266F"/>
    <w:rsid w:val="009F2F82"/>
    <w:rsid w:val="009F5052"/>
    <w:rsid w:val="009F6F02"/>
    <w:rsid w:val="00A01F06"/>
    <w:rsid w:val="00A02DC0"/>
    <w:rsid w:val="00A04C85"/>
    <w:rsid w:val="00A05D86"/>
    <w:rsid w:val="00A100F0"/>
    <w:rsid w:val="00A14AFE"/>
    <w:rsid w:val="00A15145"/>
    <w:rsid w:val="00A156E6"/>
    <w:rsid w:val="00A27D86"/>
    <w:rsid w:val="00A316C0"/>
    <w:rsid w:val="00A33151"/>
    <w:rsid w:val="00A36970"/>
    <w:rsid w:val="00A41EB4"/>
    <w:rsid w:val="00A44BFF"/>
    <w:rsid w:val="00A46347"/>
    <w:rsid w:val="00A46610"/>
    <w:rsid w:val="00A501E3"/>
    <w:rsid w:val="00A50F0C"/>
    <w:rsid w:val="00A51541"/>
    <w:rsid w:val="00A52C04"/>
    <w:rsid w:val="00A5410F"/>
    <w:rsid w:val="00A5484C"/>
    <w:rsid w:val="00A56441"/>
    <w:rsid w:val="00A60A07"/>
    <w:rsid w:val="00A640A3"/>
    <w:rsid w:val="00A661D9"/>
    <w:rsid w:val="00A67A0B"/>
    <w:rsid w:val="00A736DD"/>
    <w:rsid w:val="00A74EAF"/>
    <w:rsid w:val="00A80316"/>
    <w:rsid w:val="00A81FA0"/>
    <w:rsid w:val="00A82869"/>
    <w:rsid w:val="00A86BA8"/>
    <w:rsid w:val="00A8758C"/>
    <w:rsid w:val="00A878CC"/>
    <w:rsid w:val="00A87CF0"/>
    <w:rsid w:val="00A947A8"/>
    <w:rsid w:val="00A9598A"/>
    <w:rsid w:val="00AA127E"/>
    <w:rsid w:val="00AA19AE"/>
    <w:rsid w:val="00AA423D"/>
    <w:rsid w:val="00AA5873"/>
    <w:rsid w:val="00AA6A95"/>
    <w:rsid w:val="00AB10DE"/>
    <w:rsid w:val="00AB3668"/>
    <w:rsid w:val="00AB4C8E"/>
    <w:rsid w:val="00AB5338"/>
    <w:rsid w:val="00AB5ED7"/>
    <w:rsid w:val="00AB64CE"/>
    <w:rsid w:val="00AC0B4C"/>
    <w:rsid w:val="00AC47CF"/>
    <w:rsid w:val="00AC56B1"/>
    <w:rsid w:val="00AC58A6"/>
    <w:rsid w:val="00AD0AEE"/>
    <w:rsid w:val="00AD0BFF"/>
    <w:rsid w:val="00AD49E3"/>
    <w:rsid w:val="00AD4B4F"/>
    <w:rsid w:val="00AE111A"/>
    <w:rsid w:val="00AE69FC"/>
    <w:rsid w:val="00AF0616"/>
    <w:rsid w:val="00AF0E28"/>
    <w:rsid w:val="00AF4B79"/>
    <w:rsid w:val="00AF5948"/>
    <w:rsid w:val="00AF5EC9"/>
    <w:rsid w:val="00AF6F9B"/>
    <w:rsid w:val="00B01409"/>
    <w:rsid w:val="00B055A9"/>
    <w:rsid w:val="00B10A3D"/>
    <w:rsid w:val="00B10DBD"/>
    <w:rsid w:val="00B15629"/>
    <w:rsid w:val="00B22ED8"/>
    <w:rsid w:val="00B2372C"/>
    <w:rsid w:val="00B25334"/>
    <w:rsid w:val="00B2680E"/>
    <w:rsid w:val="00B32F70"/>
    <w:rsid w:val="00B35784"/>
    <w:rsid w:val="00B373D0"/>
    <w:rsid w:val="00B4035E"/>
    <w:rsid w:val="00B43AAA"/>
    <w:rsid w:val="00B43AF7"/>
    <w:rsid w:val="00B53139"/>
    <w:rsid w:val="00B562CE"/>
    <w:rsid w:val="00B60B84"/>
    <w:rsid w:val="00B62DE2"/>
    <w:rsid w:val="00B6623A"/>
    <w:rsid w:val="00B73B37"/>
    <w:rsid w:val="00B74417"/>
    <w:rsid w:val="00B757BD"/>
    <w:rsid w:val="00B758A0"/>
    <w:rsid w:val="00B770CC"/>
    <w:rsid w:val="00B77246"/>
    <w:rsid w:val="00B8521B"/>
    <w:rsid w:val="00B866CD"/>
    <w:rsid w:val="00B92AF0"/>
    <w:rsid w:val="00B93034"/>
    <w:rsid w:val="00B93345"/>
    <w:rsid w:val="00B94B2F"/>
    <w:rsid w:val="00B95EC8"/>
    <w:rsid w:val="00B97C5D"/>
    <w:rsid w:val="00BA0074"/>
    <w:rsid w:val="00BA1290"/>
    <w:rsid w:val="00BA1ABF"/>
    <w:rsid w:val="00BA3101"/>
    <w:rsid w:val="00BA4F49"/>
    <w:rsid w:val="00BA54C7"/>
    <w:rsid w:val="00BA5583"/>
    <w:rsid w:val="00BA5CD1"/>
    <w:rsid w:val="00BB1A7C"/>
    <w:rsid w:val="00BB2792"/>
    <w:rsid w:val="00BB4A54"/>
    <w:rsid w:val="00BB51E4"/>
    <w:rsid w:val="00BB5614"/>
    <w:rsid w:val="00BB5FCD"/>
    <w:rsid w:val="00BB76BF"/>
    <w:rsid w:val="00BC0A73"/>
    <w:rsid w:val="00BC1679"/>
    <w:rsid w:val="00BC1AD1"/>
    <w:rsid w:val="00BC4A58"/>
    <w:rsid w:val="00BC613B"/>
    <w:rsid w:val="00BD51D9"/>
    <w:rsid w:val="00BD5C76"/>
    <w:rsid w:val="00BD64E2"/>
    <w:rsid w:val="00BE4995"/>
    <w:rsid w:val="00BF429A"/>
    <w:rsid w:val="00BF4EAC"/>
    <w:rsid w:val="00BF53B8"/>
    <w:rsid w:val="00BF53F1"/>
    <w:rsid w:val="00BF62BE"/>
    <w:rsid w:val="00BF727A"/>
    <w:rsid w:val="00C01B5A"/>
    <w:rsid w:val="00C07126"/>
    <w:rsid w:val="00C1492B"/>
    <w:rsid w:val="00C15A1E"/>
    <w:rsid w:val="00C1603C"/>
    <w:rsid w:val="00C16853"/>
    <w:rsid w:val="00C17873"/>
    <w:rsid w:val="00C21CF1"/>
    <w:rsid w:val="00C263F0"/>
    <w:rsid w:val="00C26851"/>
    <w:rsid w:val="00C30E75"/>
    <w:rsid w:val="00C33D23"/>
    <w:rsid w:val="00C33D41"/>
    <w:rsid w:val="00C344BC"/>
    <w:rsid w:val="00C35BE1"/>
    <w:rsid w:val="00C40106"/>
    <w:rsid w:val="00C40AFD"/>
    <w:rsid w:val="00C418E8"/>
    <w:rsid w:val="00C41E20"/>
    <w:rsid w:val="00C42E3E"/>
    <w:rsid w:val="00C51C13"/>
    <w:rsid w:val="00C525A5"/>
    <w:rsid w:val="00C5300F"/>
    <w:rsid w:val="00C55574"/>
    <w:rsid w:val="00C56D26"/>
    <w:rsid w:val="00C57A28"/>
    <w:rsid w:val="00C64703"/>
    <w:rsid w:val="00C65686"/>
    <w:rsid w:val="00C66167"/>
    <w:rsid w:val="00C66CE0"/>
    <w:rsid w:val="00C67AEB"/>
    <w:rsid w:val="00C70041"/>
    <w:rsid w:val="00C71BED"/>
    <w:rsid w:val="00C72A0D"/>
    <w:rsid w:val="00C73F2D"/>
    <w:rsid w:val="00C747C0"/>
    <w:rsid w:val="00C74E73"/>
    <w:rsid w:val="00C76E5D"/>
    <w:rsid w:val="00C81B53"/>
    <w:rsid w:val="00C82AD2"/>
    <w:rsid w:val="00C82CB6"/>
    <w:rsid w:val="00C84726"/>
    <w:rsid w:val="00C90FB6"/>
    <w:rsid w:val="00C91D9C"/>
    <w:rsid w:val="00C9220E"/>
    <w:rsid w:val="00C92AB0"/>
    <w:rsid w:val="00C932BD"/>
    <w:rsid w:val="00C93429"/>
    <w:rsid w:val="00CA16C5"/>
    <w:rsid w:val="00CA415A"/>
    <w:rsid w:val="00CA4DCC"/>
    <w:rsid w:val="00CA504F"/>
    <w:rsid w:val="00CA7A35"/>
    <w:rsid w:val="00CB0192"/>
    <w:rsid w:val="00CB0783"/>
    <w:rsid w:val="00CB1536"/>
    <w:rsid w:val="00CB167D"/>
    <w:rsid w:val="00CB3CE4"/>
    <w:rsid w:val="00CB5880"/>
    <w:rsid w:val="00CB5F3C"/>
    <w:rsid w:val="00CB6CD2"/>
    <w:rsid w:val="00CB73E2"/>
    <w:rsid w:val="00CB7FB8"/>
    <w:rsid w:val="00CC1F71"/>
    <w:rsid w:val="00CC5EB3"/>
    <w:rsid w:val="00CD07D5"/>
    <w:rsid w:val="00CD0E7B"/>
    <w:rsid w:val="00CD2ABD"/>
    <w:rsid w:val="00CD4024"/>
    <w:rsid w:val="00CD4617"/>
    <w:rsid w:val="00CD4855"/>
    <w:rsid w:val="00CE6D43"/>
    <w:rsid w:val="00CE7888"/>
    <w:rsid w:val="00CF43E1"/>
    <w:rsid w:val="00D03363"/>
    <w:rsid w:val="00D03AD8"/>
    <w:rsid w:val="00D0710B"/>
    <w:rsid w:val="00D10E1C"/>
    <w:rsid w:val="00D11278"/>
    <w:rsid w:val="00D12B37"/>
    <w:rsid w:val="00D12EFA"/>
    <w:rsid w:val="00D1404B"/>
    <w:rsid w:val="00D14774"/>
    <w:rsid w:val="00D153EE"/>
    <w:rsid w:val="00D15BF1"/>
    <w:rsid w:val="00D161A3"/>
    <w:rsid w:val="00D17FD6"/>
    <w:rsid w:val="00D22E49"/>
    <w:rsid w:val="00D234D6"/>
    <w:rsid w:val="00D23716"/>
    <w:rsid w:val="00D25ED8"/>
    <w:rsid w:val="00D278F7"/>
    <w:rsid w:val="00D27F8F"/>
    <w:rsid w:val="00D316B8"/>
    <w:rsid w:val="00D31CFC"/>
    <w:rsid w:val="00D3255D"/>
    <w:rsid w:val="00D340C3"/>
    <w:rsid w:val="00D355AB"/>
    <w:rsid w:val="00D409CD"/>
    <w:rsid w:val="00D40B9B"/>
    <w:rsid w:val="00D423D4"/>
    <w:rsid w:val="00D42CAF"/>
    <w:rsid w:val="00D44B2B"/>
    <w:rsid w:val="00D4763B"/>
    <w:rsid w:val="00D527A6"/>
    <w:rsid w:val="00D53136"/>
    <w:rsid w:val="00D56C6D"/>
    <w:rsid w:val="00D57DC2"/>
    <w:rsid w:val="00D601EF"/>
    <w:rsid w:val="00D61533"/>
    <w:rsid w:val="00D63B2F"/>
    <w:rsid w:val="00D6640B"/>
    <w:rsid w:val="00D70747"/>
    <w:rsid w:val="00D70CB3"/>
    <w:rsid w:val="00D7261D"/>
    <w:rsid w:val="00D73098"/>
    <w:rsid w:val="00D73F71"/>
    <w:rsid w:val="00D74962"/>
    <w:rsid w:val="00D7506D"/>
    <w:rsid w:val="00D755FC"/>
    <w:rsid w:val="00D76B6D"/>
    <w:rsid w:val="00D77C40"/>
    <w:rsid w:val="00D80FA1"/>
    <w:rsid w:val="00D820DA"/>
    <w:rsid w:val="00D821CA"/>
    <w:rsid w:val="00D82495"/>
    <w:rsid w:val="00D84D07"/>
    <w:rsid w:val="00D8526A"/>
    <w:rsid w:val="00D86899"/>
    <w:rsid w:val="00D90E91"/>
    <w:rsid w:val="00D93790"/>
    <w:rsid w:val="00D97257"/>
    <w:rsid w:val="00DA02D5"/>
    <w:rsid w:val="00DA1B10"/>
    <w:rsid w:val="00DA43E9"/>
    <w:rsid w:val="00DA5C3C"/>
    <w:rsid w:val="00DA5C55"/>
    <w:rsid w:val="00DB53C1"/>
    <w:rsid w:val="00DC1347"/>
    <w:rsid w:val="00DC2FFE"/>
    <w:rsid w:val="00DC39F1"/>
    <w:rsid w:val="00DC59E4"/>
    <w:rsid w:val="00DD08CC"/>
    <w:rsid w:val="00DD1D78"/>
    <w:rsid w:val="00DD6F39"/>
    <w:rsid w:val="00DE4B35"/>
    <w:rsid w:val="00DE5F04"/>
    <w:rsid w:val="00DE6DAE"/>
    <w:rsid w:val="00DF0478"/>
    <w:rsid w:val="00DF19C1"/>
    <w:rsid w:val="00DF1D62"/>
    <w:rsid w:val="00DF54CA"/>
    <w:rsid w:val="00DF5B64"/>
    <w:rsid w:val="00E02794"/>
    <w:rsid w:val="00E03E3D"/>
    <w:rsid w:val="00E043E3"/>
    <w:rsid w:val="00E0505B"/>
    <w:rsid w:val="00E0560C"/>
    <w:rsid w:val="00E11280"/>
    <w:rsid w:val="00E1151D"/>
    <w:rsid w:val="00E12359"/>
    <w:rsid w:val="00E152FF"/>
    <w:rsid w:val="00E170E7"/>
    <w:rsid w:val="00E2461B"/>
    <w:rsid w:val="00E24886"/>
    <w:rsid w:val="00E251CA"/>
    <w:rsid w:val="00E26F83"/>
    <w:rsid w:val="00E276FB"/>
    <w:rsid w:val="00E30B81"/>
    <w:rsid w:val="00E32595"/>
    <w:rsid w:val="00E325F7"/>
    <w:rsid w:val="00E33A74"/>
    <w:rsid w:val="00E35AE1"/>
    <w:rsid w:val="00E4030B"/>
    <w:rsid w:val="00E41D56"/>
    <w:rsid w:val="00E44623"/>
    <w:rsid w:val="00E457DF"/>
    <w:rsid w:val="00E46642"/>
    <w:rsid w:val="00E5139A"/>
    <w:rsid w:val="00E540C5"/>
    <w:rsid w:val="00E5413D"/>
    <w:rsid w:val="00E55674"/>
    <w:rsid w:val="00E57977"/>
    <w:rsid w:val="00E629F0"/>
    <w:rsid w:val="00E635D7"/>
    <w:rsid w:val="00E63638"/>
    <w:rsid w:val="00E66C2D"/>
    <w:rsid w:val="00E70576"/>
    <w:rsid w:val="00E83954"/>
    <w:rsid w:val="00E86D8D"/>
    <w:rsid w:val="00E87767"/>
    <w:rsid w:val="00E9044E"/>
    <w:rsid w:val="00E91730"/>
    <w:rsid w:val="00E96F04"/>
    <w:rsid w:val="00E97AEC"/>
    <w:rsid w:val="00EA20FE"/>
    <w:rsid w:val="00EA290C"/>
    <w:rsid w:val="00EA2A01"/>
    <w:rsid w:val="00EA520C"/>
    <w:rsid w:val="00EB40E0"/>
    <w:rsid w:val="00EB417A"/>
    <w:rsid w:val="00EB491E"/>
    <w:rsid w:val="00EB681B"/>
    <w:rsid w:val="00EC28CF"/>
    <w:rsid w:val="00EC4FAD"/>
    <w:rsid w:val="00EC7DC5"/>
    <w:rsid w:val="00ED3BEB"/>
    <w:rsid w:val="00ED3D70"/>
    <w:rsid w:val="00ED4F24"/>
    <w:rsid w:val="00ED71E3"/>
    <w:rsid w:val="00EE18EC"/>
    <w:rsid w:val="00EE3CFA"/>
    <w:rsid w:val="00EE69E4"/>
    <w:rsid w:val="00EF2A7F"/>
    <w:rsid w:val="00EF3E11"/>
    <w:rsid w:val="00EF7E90"/>
    <w:rsid w:val="00F002B6"/>
    <w:rsid w:val="00F009AC"/>
    <w:rsid w:val="00F034D8"/>
    <w:rsid w:val="00F07435"/>
    <w:rsid w:val="00F10AFE"/>
    <w:rsid w:val="00F15C6C"/>
    <w:rsid w:val="00F17173"/>
    <w:rsid w:val="00F2001C"/>
    <w:rsid w:val="00F224DC"/>
    <w:rsid w:val="00F25383"/>
    <w:rsid w:val="00F26000"/>
    <w:rsid w:val="00F2687F"/>
    <w:rsid w:val="00F27F29"/>
    <w:rsid w:val="00F32D54"/>
    <w:rsid w:val="00F32F49"/>
    <w:rsid w:val="00F36C54"/>
    <w:rsid w:val="00F4189B"/>
    <w:rsid w:val="00F418EA"/>
    <w:rsid w:val="00F41A29"/>
    <w:rsid w:val="00F438C5"/>
    <w:rsid w:val="00F44C1C"/>
    <w:rsid w:val="00F44E5C"/>
    <w:rsid w:val="00F458A6"/>
    <w:rsid w:val="00F518DF"/>
    <w:rsid w:val="00F544DB"/>
    <w:rsid w:val="00F6502E"/>
    <w:rsid w:val="00F65663"/>
    <w:rsid w:val="00F6672F"/>
    <w:rsid w:val="00F66BED"/>
    <w:rsid w:val="00F7506E"/>
    <w:rsid w:val="00F756C0"/>
    <w:rsid w:val="00F75A40"/>
    <w:rsid w:val="00F77637"/>
    <w:rsid w:val="00F829DB"/>
    <w:rsid w:val="00F82C87"/>
    <w:rsid w:val="00F8435D"/>
    <w:rsid w:val="00F86734"/>
    <w:rsid w:val="00F87DD0"/>
    <w:rsid w:val="00F92540"/>
    <w:rsid w:val="00F93360"/>
    <w:rsid w:val="00F93FE4"/>
    <w:rsid w:val="00F95C2C"/>
    <w:rsid w:val="00F9667D"/>
    <w:rsid w:val="00F969AD"/>
    <w:rsid w:val="00F97E4E"/>
    <w:rsid w:val="00FA0D4A"/>
    <w:rsid w:val="00FA217B"/>
    <w:rsid w:val="00FA59C6"/>
    <w:rsid w:val="00FB0BC5"/>
    <w:rsid w:val="00FB0BCC"/>
    <w:rsid w:val="00FC0FE5"/>
    <w:rsid w:val="00FC4442"/>
    <w:rsid w:val="00FC48B9"/>
    <w:rsid w:val="00FD15D3"/>
    <w:rsid w:val="00FD1ABC"/>
    <w:rsid w:val="00FD298F"/>
    <w:rsid w:val="00FD5ABB"/>
    <w:rsid w:val="00FD7DDF"/>
    <w:rsid w:val="00FE00BA"/>
    <w:rsid w:val="00FE2EB5"/>
    <w:rsid w:val="00FE4C92"/>
    <w:rsid w:val="00FF0FAA"/>
    <w:rsid w:val="00FF193E"/>
    <w:rsid w:val="00FF218A"/>
    <w:rsid w:val="00FF4396"/>
    <w:rsid w:val="00FF519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3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l-SI"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40C"/>
    <w:pPr>
      <w:overflowPunct w:val="0"/>
      <w:autoSpaceDE w:val="0"/>
      <w:autoSpaceDN w:val="0"/>
      <w:adjustRightInd w:val="0"/>
      <w:spacing w:line="288" w:lineRule="auto"/>
      <w:jc w:val="both"/>
      <w:textAlignment w:val="baseline"/>
    </w:pPr>
    <w:rPr>
      <w:szCs w:val="20"/>
      <w:lang w:eastAsia="en-US" w:bidi="ar-SA"/>
    </w:rPr>
  </w:style>
  <w:style w:type="paragraph" w:styleId="Heading1">
    <w:name w:val="heading 1"/>
    <w:basedOn w:val="Normal"/>
    <w:next w:val="Normal"/>
    <w:link w:val="Heading1Char"/>
    <w:qFormat/>
    <w:rsid w:val="00A316C0"/>
    <w:pPr>
      <w:numPr>
        <w:numId w:val="1"/>
      </w:numPr>
      <w:ind w:left="720" w:hanging="720"/>
      <w:outlineLvl w:val="0"/>
    </w:pPr>
    <w:rPr>
      <w:kern w:val="28"/>
    </w:rPr>
  </w:style>
  <w:style w:type="paragraph" w:styleId="Heading2">
    <w:name w:val="heading 2"/>
    <w:basedOn w:val="Normal"/>
    <w:next w:val="Normal"/>
    <w:link w:val="Heading2Char"/>
    <w:qFormat/>
    <w:rsid w:val="00A316C0"/>
    <w:pPr>
      <w:numPr>
        <w:ilvl w:val="1"/>
        <w:numId w:val="1"/>
      </w:numPr>
      <w:ind w:left="720" w:hanging="720"/>
      <w:outlineLvl w:val="1"/>
    </w:pPr>
  </w:style>
  <w:style w:type="paragraph" w:styleId="Heading3">
    <w:name w:val="heading 3"/>
    <w:basedOn w:val="Normal"/>
    <w:next w:val="Normal"/>
    <w:link w:val="Heading3Char"/>
    <w:qFormat/>
    <w:rsid w:val="00A316C0"/>
    <w:pPr>
      <w:numPr>
        <w:ilvl w:val="2"/>
        <w:numId w:val="1"/>
      </w:numPr>
      <w:ind w:left="720" w:hanging="720"/>
      <w:outlineLvl w:val="2"/>
    </w:pPr>
  </w:style>
  <w:style w:type="paragraph" w:styleId="Heading4">
    <w:name w:val="heading 4"/>
    <w:basedOn w:val="Normal"/>
    <w:next w:val="Normal"/>
    <w:link w:val="Heading4Char"/>
    <w:qFormat/>
    <w:rsid w:val="00A316C0"/>
    <w:pPr>
      <w:numPr>
        <w:ilvl w:val="3"/>
        <w:numId w:val="1"/>
      </w:numPr>
      <w:ind w:left="720" w:hanging="720"/>
      <w:outlineLvl w:val="3"/>
    </w:pPr>
  </w:style>
  <w:style w:type="paragraph" w:styleId="Heading5">
    <w:name w:val="heading 5"/>
    <w:basedOn w:val="Normal"/>
    <w:next w:val="Normal"/>
    <w:link w:val="Heading5Char"/>
    <w:qFormat/>
    <w:rsid w:val="00A316C0"/>
    <w:pPr>
      <w:numPr>
        <w:ilvl w:val="4"/>
        <w:numId w:val="1"/>
      </w:numPr>
      <w:ind w:left="720" w:hanging="720"/>
      <w:outlineLvl w:val="4"/>
    </w:pPr>
  </w:style>
  <w:style w:type="paragraph" w:styleId="Heading6">
    <w:name w:val="heading 6"/>
    <w:basedOn w:val="Normal"/>
    <w:next w:val="Normal"/>
    <w:link w:val="Heading6Char"/>
    <w:qFormat/>
    <w:rsid w:val="00A316C0"/>
    <w:pPr>
      <w:numPr>
        <w:ilvl w:val="5"/>
        <w:numId w:val="1"/>
      </w:numPr>
      <w:ind w:left="720" w:hanging="720"/>
      <w:outlineLvl w:val="5"/>
    </w:pPr>
  </w:style>
  <w:style w:type="paragraph" w:styleId="Heading7">
    <w:name w:val="heading 7"/>
    <w:basedOn w:val="Normal"/>
    <w:next w:val="Normal"/>
    <w:link w:val="Heading7Char"/>
    <w:qFormat/>
    <w:rsid w:val="00A316C0"/>
    <w:pPr>
      <w:numPr>
        <w:ilvl w:val="6"/>
        <w:numId w:val="1"/>
      </w:numPr>
      <w:ind w:left="720" w:hanging="720"/>
      <w:outlineLvl w:val="6"/>
    </w:pPr>
  </w:style>
  <w:style w:type="paragraph" w:styleId="Heading8">
    <w:name w:val="heading 8"/>
    <w:basedOn w:val="Normal"/>
    <w:next w:val="Normal"/>
    <w:link w:val="Heading8Char"/>
    <w:qFormat/>
    <w:rsid w:val="00A316C0"/>
    <w:pPr>
      <w:numPr>
        <w:ilvl w:val="7"/>
        <w:numId w:val="1"/>
      </w:numPr>
      <w:ind w:left="720" w:hanging="720"/>
      <w:outlineLvl w:val="7"/>
    </w:pPr>
  </w:style>
  <w:style w:type="paragraph" w:styleId="Heading9">
    <w:name w:val="heading 9"/>
    <w:basedOn w:val="Normal"/>
    <w:next w:val="Normal"/>
    <w:link w:val="Heading9Char"/>
    <w:qFormat/>
    <w:rsid w:val="00A316C0"/>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n-US" w:bidi="ar-SA"/>
    </w:rPr>
  </w:style>
  <w:style w:type="character" w:customStyle="1" w:styleId="Heading2Char">
    <w:name w:val="Heading 2 Char"/>
    <w:basedOn w:val="DefaultParagraphFont"/>
    <w:link w:val="Heading2"/>
    <w:locked/>
    <w:rsid w:val="00CB1536"/>
    <w:rPr>
      <w:szCs w:val="20"/>
      <w:lang w:eastAsia="en-US" w:bidi="ar-SA"/>
    </w:rPr>
  </w:style>
  <w:style w:type="character" w:customStyle="1" w:styleId="Heading3Char">
    <w:name w:val="Heading 3 Char"/>
    <w:basedOn w:val="DefaultParagraphFont"/>
    <w:link w:val="Heading3"/>
    <w:locked/>
    <w:rsid w:val="00CB1536"/>
    <w:rPr>
      <w:szCs w:val="20"/>
      <w:lang w:eastAsia="en-US" w:bidi="ar-SA"/>
    </w:rPr>
  </w:style>
  <w:style w:type="character" w:customStyle="1" w:styleId="Heading4Char">
    <w:name w:val="Heading 4 Char"/>
    <w:basedOn w:val="DefaultParagraphFont"/>
    <w:link w:val="Heading4"/>
    <w:locked/>
    <w:rsid w:val="00CB1536"/>
    <w:rPr>
      <w:szCs w:val="20"/>
      <w:lang w:eastAsia="en-US" w:bidi="ar-SA"/>
    </w:rPr>
  </w:style>
  <w:style w:type="character" w:customStyle="1" w:styleId="Heading5Char">
    <w:name w:val="Heading 5 Char"/>
    <w:basedOn w:val="DefaultParagraphFont"/>
    <w:link w:val="Heading5"/>
    <w:locked/>
    <w:rsid w:val="00CB1536"/>
    <w:rPr>
      <w:szCs w:val="20"/>
      <w:lang w:eastAsia="en-US" w:bidi="ar-SA"/>
    </w:rPr>
  </w:style>
  <w:style w:type="character" w:customStyle="1" w:styleId="Heading6Char">
    <w:name w:val="Heading 6 Char"/>
    <w:basedOn w:val="DefaultParagraphFont"/>
    <w:link w:val="Heading6"/>
    <w:locked/>
    <w:rsid w:val="00CB1536"/>
    <w:rPr>
      <w:szCs w:val="20"/>
      <w:lang w:eastAsia="en-US" w:bidi="ar-SA"/>
    </w:rPr>
  </w:style>
  <w:style w:type="character" w:customStyle="1" w:styleId="Heading7Char">
    <w:name w:val="Heading 7 Char"/>
    <w:basedOn w:val="DefaultParagraphFont"/>
    <w:link w:val="Heading7"/>
    <w:locked/>
    <w:rsid w:val="00CB1536"/>
    <w:rPr>
      <w:szCs w:val="20"/>
      <w:lang w:eastAsia="en-US" w:bidi="ar-SA"/>
    </w:rPr>
  </w:style>
  <w:style w:type="character" w:customStyle="1" w:styleId="Heading8Char">
    <w:name w:val="Heading 8 Char"/>
    <w:basedOn w:val="DefaultParagraphFont"/>
    <w:link w:val="Heading8"/>
    <w:locked/>
    <w:rsid w:val="00CB1536"/>
    <w:rPr>
      <w:szCs w:val="20"/>
      <w:lang w:eastAsia="en-US" w:bidi="ar-SA"/>
    </w:rPr>
  </w:style>
  <w:style w:type="character" w:customStyle="1" w:styleId="Heading9Char">
    <w:name w:val="Heading 9 Char"/>
    <w:basedOn w:val="DefaultParagraphFont"/>
    <w:link w:val="Heading9"/>
    <w:locked/>
    <w:rsid w:val="00CB1536"/>
    <w:rPr>
      <w:szCs w:val="20"/>
      <w:lang w:eastAsia="en-US" w:bidi="ar-SA"/>
    </w:rPr>
  </w:style>
  <w:style w:type="paragraph" w:styleId="Footer">
    <w:name w:val="footer"/>
    <w:basedOn w:val="Normal"/>
    <w:link w:val="FooterChar"/>
    <w:rsid w:val="00A316C0"/>
  </w:style>
  <w:style w:type="character" w:customStyle="1" w:styleId="FooterChar">
    <w:name w:val="Footer Char"/>
    <w:basedOn w:val="DefaultParagraphFont"/>
    <w:link w:val="Footer"/>
    <w:locked/>
    <w:rsid w:val="00CB1536"/>
    <w:rPr>
      <w:szCs w:val="20"/>
      <w:lang w:eastAsia="en-US" w:bidi="ar-SA"/>
    </w:rPr>
  </w:style>
  <w:style w:type="paragraph" w:styleId="FootnoteText">
    <w:name w:val="footnote text"/>
    <w:basedOn w:val="Normal"/>
    <w:link w:val="FootnoteTextChar"/>
    <w:qFormat/>
    <w:rsid w:val="00A316C0"/>
    <w:pPr>
      <w:keepLines/>
      <w:spacing w:after="60" w:line="240" w:lineRule="auto"/>
      <w:ind w:left="720" w:hanging="720"/>
    </w:pPr>
    <w:rPr>
      <w:sz w:val="16"/>
    </w:rPr>
  </w:style>
  <w:style w:type="character" w:customStyle="1" w:styleId="FootnoteTextChar">
    <w:name w:val="Footnote Text Char"/>
    <w:basedOn w:val="DefaultParagraphFont"/>
    <w:link w:val="FootnoteText"/>
    <w:qFormat/>
    <w:locked/>
    <w:rsid w:val="00CB1536"/>
    <w:rPr>
      <w:sz w:val="16"/>
      <w:szCs w:val="20"/>
      <w:lang w:eastAsia="en-US" w:bidi="ar-SA"/>
    </w:rPr>
  </w:style>
  <w:style w:type="paragraph" w:styleId="Header">
    <w:name w:val="header"/>
    <w:basedOn w:val="Normal"/>
    <w:link w:val="HeaderChar"/>
    <w:rsid w:val="00A316C0"/>
  </w:style>
  <w:style w:type="character" w:customStyle="1" w:styleId="HeaderChar">
    <w:name w:val="Header Char"/>
    <w:basedOn w:val="DefaultParagraphFont"/>
    <w:link w:val="Header"/>
    <w:locked/>
    <w:rsid w:val="00CB1536"/>
    <w:rPr>
      <w:szCs w:val="20"/>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aliases w:val="Footnote symbol"/>
    <w:basedOn w:val="DefaultParagraphFont"/>
    <w:uiPriority w:val="99"/>
    <w:qFormat/>
    <w:rsid w:val="00A316C0"/>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B5F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F3C"/>
    <w:rPr>
      <w:rFonts w:ascii="Tahoma" w:hAnsi="Tahoma" w:cs="Tahoma"/>
      <w:sz w:val="16"/>
      <w:szCs w:val="16"/>
      <w:lang w:eastAsia="en-US" w:bidi="ar-SA"/>
    </w:rPr>
  </w:style>
  <w:style w:type="character" w:styleId="CommentReference">
    <w:name w:val="annotation reference"/>
    <w:basedOn w:val="DefaultParagraphFont"/>
    <w:uiPriority w:val="99"/>
    <w:semiHidden/>
    <w:unhideWhenUsed/>
    <w:rsid w:val="003101A4"/>
    <w:rPr>
      <w:sz w:val="16"/>
      <w:szCs w:val="16"/>
    </w:rPr>
  </w:style>
  <w:style w:type="paragraph" w:styleId="CommentText">
    <w:name w:val="annotation text"/>
    <w:basedOn w:val="Normal"/>
    <w:link w:val="CommentTextChar"/>
    <w:uiPriority w:val="99"/>
    <w:unhideWhenUsed/>
    <w:rsid w:val="003101A4"/>
    <w:pPr>
      <w:spacing w:line="240" w:lineRule="auto"/>
    </w:pPr>
    <w:rPr>
      <w:sz w:val="20"/>
    </w:rPr>
  </w:style>
  <w:style w:type="character" w:customStyle="1" w:styleId="CommentTextChar">
    <w:name w:val="Comment Text Char"/>
    <w:basedOn w:val="DefaultParagraphFont"/>
    <w:link w:val="CommentText"/>
    <w:uiPriority w:val="99"/>
    <w:rsid w:val="003101A4"/>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3101A4"/>
    <w:rPr>
      <w:b/>
      <w:bCs/>
    </w:rPr>
  </w:style>
  <w:style w:type="character" w:customStyle="1" w:styleId="CommentSubjectChar">
    <w:name w:val="Comment Subject Char"/>
    <w:basedOn w:val="CommentTextChar"/>
    <w:link w:val="CommentSubject"/>
    <w:uiPriority w:val="99"/>
    <w:semiHidden/>
    <w:rsid w:val="003101A4"/>
    <w:rPr>
      <w:b/>
      <w:bCs/>
      <w:sz w:val="20"/>
      <w:szCs w:val="20"/>
      <w:lang w:eastAsia="en-US" w:bidi="ar-SA"/>
    </w:rPr>
  </w:style>
  <w:style w:type="character" w:customStyle="1" w:styleId="UnresolvedMention1">
    <w:name w:val="Unresolved Mention1"/>
    <w:basedOn w:val="DefaultParagraphFont"/>
    <w:uiPriority w:val="99"/>
    <w:semiHidden/>
    <w:unhideWhenUsed/>
    <w:rsid w:val="00306551"/>
    <w:rPr>
      <w:color w:val="605E5C"/>
      <w:shd w:val="clear" w:color="auto" w:fill="E1DFDD"/>
    </w:rPr>
  </w:style>
  <w:style w:type="paragraph" w:styleId="ListParagraph">
    <w:name w:val="List Paragraph"/>
    <w:basedOn w:val="Normal"/>
    <w:link w:val="ListParagraphChar"/>
    <w:uiPriority w:val="34"/>
    <w:qFormat/>
    <w:rsid w:val="00544B51"/>
    <w:pPr>
      <w:overflowPunct/>
      <w:autoSpaceDE/>
      <w:autoSpaceDN/>
      <w:adjustRightInd/>
      <w:spacing w:line="240" w:lineRule="auto"/>
      <w:ind w:left="720"/>
      <w:contextualSpacing/>
      <w:jc w:val="left"/>
      <w:textAlignment w:val="auto"/>
    </w:pPr>
    <w:rPr>
      <w:rFonts w:asciiTheme="minorHAnsi" w:eastAsiaTheme="minorHAnsi" w:hAnsiTheme="minorHAnsi" w:cstheme="minorBidi"/>
      <w:noProof/>
      <w:sz w:val="24"/>
      <w:szCs w:val="24"/>
    </w:rPr>
  </w:style>
  <w:style w:type="character" w:customStyle="1" w:styleId="ListParagraphChar">
    <w:name w:val="List Paragraph Char"/>
    <w:basedOn w:val="DefaultParagraphFont"/>
    <w:link w:val="ListParagraph"/>
    <w:uiPriority w:val="34"/>
    <w:locked/>
    <w:rsid w:val="00544B51"/>
    <w:rPr>
      <w:rFonts w:asciiTheme="minorHAnsi" w:eastAsiaTheme="minorHAnsi" w:hAnsiTheme="minorHAnsi" w:cstheme="minorBidi"/>
      <w:noProof/>
      <w:sz w:val="24"/>
      <w:szCs w:val="24"/>
      <w:lang w:eastAsia="en-US" w:bidi="ar-SA"/>
    </w:rPr>
  </w:style>
  <w:style w:type="paragraph" w:styleId="NormalWeb">
    <w:name w:val="Normal (Web)"/>
    <w:basedOn w:val="Normal"/>
    <w:uiPriority w:val="99"/>
    <w:unhideWhenUsed/>
    <w:rsid w:val="00656F0B"/>
    <w:pPr>
      <w:overflowPunct/>
      <w:autoSpaceDE/>
      <w:autoSpaceDN/>
      <w:adjustRightInd/>
      <w:spacing w:line="240" w:lineRule="auto"/>
      <w:jc w:val="left"/>
      <w:textAlignment w:val="auto"/>
    </w:pPr>
    <w:rPr>
      <w:rFonts w:eastAsiaTheme="minorHAnsi"/>
      <w:noProof/>
      <w:sz w:val="24"/>
      <w:szCs w:val="24"/>
    </w:rPr>
  </w:style>
  <w:style w:type="character" w:customStyle="1" w:styleId="UnresolvedMention2">
    <w:name w:val="Unresolved Mention2"/>
    <w:basedOn w:val="DefaultParagraphFont"/>
    <w:uiPriority w:val="99"/>
    <w:semiHidden/>
    <w:unhideWhenUsed/>
    <w:rsid w:val="00FA0D4A"/>
    <w:rPr>
      <w:color w:val="605E5C"/>
      <w:shd w:val="clear" w:color="auto" w:fill="E1DFDD"/>
    </w:rPr>
  </w:style>
  <w:style w:type="character" w:customStyle="1" w:styleId="UnresolvedMention3">
    <w:name w:val="Unresolved Mention3"/>
    <w:basedOn w:val="DefaultParagraphFont"/>
    <w:uiPriority w:val="99"/>
    <w:semiHidden/>
    <w:unhideWhenUsed/>
    <w:rsid w:val="00774946"/>
    <w:rPr>
      <w:color w:val="605E5C"/>
      <w:shd w:val="clear" w:color="auto" w:fill="E1DFDD"/>
    </w:rPr>
  </w:style>
  <w:style w:type="character" w:customStyle="1" w:styleId="UnresolvedMention4">
    <w:name w:val="Unresolved Mention4"/>
    <w:basedOn w:val="DefaultParagraphFont"/>
    <w:uiPriority w:val="99"/>
    <w:semiHidden/>
    <w:unhideWhenUsed/>
    <w:rsid w:val="00F95C2C"/>
    <w:rPr>
      <w:color w:val="605E5C"/>
      <w:shd w:val="clear" w:color="auto" w:fill="E1DFDD"/>
    </w:rPr>
  </w:style>
  <w:style w:type="character" w:customStyle="1" w:styleId="UnresolvedMention5">
    <w:name w:val="Unresolved Mention5"/>
    <w:basedOn w:val="DefaultParagraphFont"/>
    <w:uiPriority w:val="99"/>
    <w:semiHidden/>
    <w:unhideWhenUsed/>
    <w:rsid w:val="00993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89626">
      <w:bodyDiv w:val="1"/>
      <w:marLeft w:val="0"/>
      <w:marRight w:val="0"/>
      <w:marTop w:val="0"/>
      <w:marBottom w:val="0"/>
      <w:divBdr>
        <w:top w:val="none" w:sz="0" w:space="0" w:color="auto"/>
        <w:left w:val="none" w:sz="0" w:space="0" w:color="auto"/>
        <w:bottom w:val="none" w:sz="0" w:space="0" w:color="auto"/>
        <w:right w:val="none" w:sz="0" w:space="0" w:color="auto"/>
      </w:divBdr>
    </w:div>
    <w:div w:id="371537588">
      <w:bodyDiv w:val="1"/>
      <w:marLeft w:val="0"/>
      <w:marRight w:val="0"/>
      <w:marTop w:val="0"/>
      <w:marBottom w:val="0"/>
      <w:divBdr>
        <w:top w:val="none" w:sz="0" w:space="0" w:color="auto"/>
        <w:left w:val="none" w:sz="0" w:space="0" w:color="auto"/>
        <w:bottom w:val="none" w:sz="0" w:space="0" w:color="auto"/>
        <w:right w:val="none" w:sz="0" w:space="0" w:color="auto"/>
      </w:divBdr>
    </w:div>
    <w:div w:id="385883061">
      <w:bodyDiv w:val="1"/>
      <w:marLeft w:val="0"/>
      <w:marRight w:val="0"/>
      <w:marTop w:val="0"/>
      <w:marBottom w:val="0"/>
      <w:divBdr>
        <w:top w:val="none" w:sz="0" w:space="0" w:color="auto"/>
        <w:left w:val="none" w:sz="0" w:space="0" w:color="auto"/>
        <w:bottom w:val="none" w:sz="0" w:space="0" w:color="auto"/>
        <w:right w:val="none" w:sz="0" w:space="0" w:color="auto"/>
      </w:divBdr>
    </w:div>
    <w:div w:id="492842509">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9459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co@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www.eesc.europa.eu/en/documents/report/national-european-semester-days-austria-24-02-2026" TargetMode="External"/><Relationship Id="rId3" Type="http://schemas.openxmlformats.org/officeDocument/2006/relationships/hyperlink" Target="https://economy-finance.ec.europa.eu/economic-and-fiscal-governance/stability-and-growth-pact/preventive-arm/national-medium-term-fiscal-structural-plans_en" TargetMode="External"/><Relationship Id="rId7" Type="http://schemas.openxmlformats.org/officeDocument/2006/relationships/hyperlink" Target="https://www.eesc.europa.eu/en/documents/report/national-european-semester-days-estonia-09-02-2026" TargetMode="External"/><Relationship Id="rId2" Type="http://schemas.openxmlformats.org/officeDocument/2006/relationships/hyperlink" Target="https://commission.europa.eu/publications/2025-european-semester-country-specific-recommendations-commission-recommendations_en" TargetMode="External"/><Relationship Id="rId1" Type="http://schemas.openxmlformats.org/officeDocument/2006/relationships/hyperlink" Target="https://www.eesc.europa.eu/sl/our-work/opinions-information-reports/opinions/eescs-recommendations-reform-and-investment-proposals-formulated-part-2025-2026-european-semester-cycle" TargetMode="External"/><Relationship Id="rId6" Type="http://schemas.openxmlformats.org/officeDocument/2006/relationships/hyperlink" Target="https://www.eesc.europa.eu/en/documents/report/national-european-semester-days-cyprus-04-02-2026" TargetMode="External"/><Relationship Id="rId5" Type="http://schemas.openxmlformats.org/officeDocument/2006/relationships/hyperlink" Target="https://www.eesc.europa.eu/en/documents/report/national-european-semester-days-romania-03-02-2026" TargetMode="External"/><Relationship Id="rId10" Type="http://schemas.openxmlformats.org/officeDocument/2006/relationships/hyperlink" Target="https://www.eesc.europa.eu/sl/sections-other-bodies/other/povezovalna-skupina" TargetMode="External"/><Relationship Id="rId4" Type="http://schemas.openxmlformats.org/officeDocument/2006/relationships/hyperlink" Target="https://economy-finance.ec.europa.eu/economic-and-fiscal-governance/new-economic-governance-framework_en" TargetMode="External"/><Relationship Id="rId9" Type="http://schemas.openxmlformats.org/officeDocument/2006/relationships/hyperlink" Target="https://www.eesc.europa.eu/en/documents/report/national-european-semester-days-france-02-03-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A6WAAD5KZT2Q-1415362569-8714</_dlc_DocId>
    <_dlc_DocIdUrl xmlns="1a33af13-4045-4f88-9d7b-618e30f79918">
      <Url>http://dm/eesc/2025/_layouts/15/DocIdRedir.aspx?ID=A6WAAD5KZT2Q-1415362569-8714</Url>
      <Description>A6WAAD5KZT2Q-1415362569-8714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RISE</TermName>
          <TermId xmlns="http://schemas.microsoft.com/office/infopath/2007/PartnerControls">e90d3dc9-efa2-4aa3-a057-89e12bda16a3</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2026-06-05T12:00:00+00:00</ProductionDate>
    <DocumentNumber xmlns="03db1768-8e83-4c4e-a8fb-1eb1d05ab6cf">4323</DocumentNumber>
    <FicheYear xmlns="1a33af13-4045-4f88-9d7b-618e30f79918" xsi:nil="true"/>
    <DossierNumber xmlns="1a33af13-4045-4f88-9d7b-618e30f79918">691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2026-06-17T12:00:00+00:00</MeetingDate>
    <TaxCatchAll xmlns="1a33af13-4045-4f88-9d7b-618e30f79918">
      <Value>67</Value>
      <Value>23</Value>
      <Value>50</Value>
      <Value>47</Value>
      <Value>46</Value>
      <Value>43</Value>
      <Value>42</Value>
      <Value>41</Value>
      <Value>40</Value>
      <Value>39</Value>
      <Value>37</Value>
      <Value>36</Value>
      <Value>35</Value>
      <Value>34</Value>
      <Value>33</Value>
      <Value>32</Value>
      <Value>31</Value>
      <Value>30</Value>
      <Value>29</Value>
      <Value>28</Value>
      <Value>27</Value>
      <Value>24</Value>
      <Value>201</Value>
      <Value>16</Value>
      <Value>15</Value>
      <Value>103</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Rapporteur xmlns="1a33af13-4045-4f88-9d7b-618e30f79918">LOBO XAVIER &amp; MONE &amp; JAHIER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297887</FicheNumber>
    <OriginalSender xmlns="1a33af13-4045-4f88-9d7b-618e30f79918">
      <UserInfo>
        <DisplayName>Logar Tina</DisplayName>
        <AccountId>1558</AccountId>
        <AccountType/>
      </UserInfo>
    </OriginalSender>
    <DocumentPart xmlns="1a33af13-4045-4f88-9d7b-618e30f79918">0</DocumentPart>
    <AdoptionDate xmlns="1a33af13-4045-4f88-9d7b-618e30f79918" xsi:nil="true"/>
    <RequestingService xmlns="1a33af13-4045-4f88-9d7b-618e30f79918">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1a33af13-4045-4f88-9d7b-618e30f79918">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7207E-FDCB-45A4-9568-582E795A2FA4}">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03db1768-8e83-4c4e-a8fb-1eb1d05ab6cf"/>
  </ds:schemaRefs>
</ds:datastoreItem>
</file>

<file path=customXml/itemProps2.xml><?xml version="1.0" encoding="utf-8"?>
<ds:datastoreItem xmlns:ds="http://schemas.openxmlformats.org/officeDocument/2006/customXml" ds:itemID="{1124949D-427A-4A78-B7BF-91CF29FCE200}">
  <ds:schemaRefs>
    <ds:schemaRef ds:uri="http://schemas.microsoft.com/sharepoint/v3/contenttype/forms"/>
  </ds:schemaRefs>
</ds:datastoreItem>
</file>

<file path=customXml/itemProps3.xml><?xml version="1.0" encoding="utf-8"?>
<ds:datastoreItem xmlns:ds="http://schemas.openxmlformats.org/officeDocument/2006/customXml" ds:itemID="{B7F538FD-8495-43C3-A451-5DB46B6A71FB}">
  <ds:schemaRefs>
    <ds:schemaRef ds:uri="http://schemas.microsoft.com/sharepoint/events"/>
  </ds:schemaRefs>
</ds:datastoreItem>
</file>

<file path=customXml/itemProps4.xml><?xml version="1.0" encoding="utf-8"?>
<ds:datastoreItem xmlns:ds="http://schemas.openxmlformats.org/officeDocument/2006/customXml" ds:itemID="{0536F40D-B9F2-41F1-9B7C-D65748298B2F}"/>
</file>

<file path=docProps/app.xml><?xml version="1.0" encoding="utf-8"?>
<Properties xmlns="http://schemas.openxmlformats.org/officeDocument/2006/extended-properties" xmlns:vt="http://schemas.openxmlformats.org/officeDocument/2006/docPropsVTypes">
  <Template>Normal.dotm</Template>
  <TotalTime>0</TotalTime>
  <Pages>13</Pages>
  <Words>4777</Words>
  <Characters>27234</Characters>
  <Application>Microsoft Office Word</Application>
  <DocSecurity>0</DocSecurity>
  <Lines>226</Lines>
  <Paragraphs>63</Paragraphs>
  <ScaleCrop>false</ScaleCrop>
  <HeadingPairs>
    <vt:vector size="8" baseType="variant">
      <vt:variant>
        <vt:lpstr>Title</vt:lpstr>
      </vt:variant>
      <vt:variant>
        <vt:i4>1</vt:i4>
      </vt:variant>
      <vt:variant>
        <vt:lpstr>Título</vt:lpstr>
      </vt:variant>
      <vt:variant>
        <vt:i4>1</vt:i4>
      </vt:variant>
      <vt:variant>
        <vt:lpstr>Titolo</vt:lpstr>
      </vt:variant>
      <vt:variant>
        <vt:i4>1</vt:i4>
      </vt:variant>
      <vt:variant>
        <vt:lpstr>Titlu</vt:lpstr>
      </vt:variant>
      <vt:variant>
        <vt:i4>1</vt:i4>
      </vt:variant>
    </vt:vector>
  </HeadingPairs>
  <TitlesOfParts>
    <vt:vector size="4" baseType="lpstr">
      <vt:lpstr>National reform and investment proposals and their implementation: 2025-2026 European Semester cycle</vt:lpstr>
      <vt:lpstr>EESC APRI - Model</vt:lpstr>
      <vt:lpstr>EESC APRI - Model</vt:lpstr>
      <vt:lpstr>European Agenda on Migration: Second implementation package - A permanent crisis relocation mechanism under the Dublin system</vt:lpstr>
    </vt:vector>
  </TitlesOfParts>
  <Manager/>
  <Company/>
  <LinksUpToDate>false</LinksUpToDate>
  <CharactersWithSpaces>31948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Nacionalni predlogi za reforme in naložbe ter njihovo izvajanje (cikel evropskega semestra 2025-2026)</dc:title>
  <dc:subject>Draft information report</dc:subject>
  <dc:creator/>
  <cp:keywords>EESC-2025-04323-00-00-PRI-TRA-EN</cp:keywords>
  <dc:description>Rapporteur: - LOBO XAVIER &amp; MONE &amp; JAHIER Original language: - EN Date of document: - 19/05/2026 Date of meeting: - 04/06/2026 External documents: -  Administrator responsible: -  GREGOIRE COLOMBE</dc:description>
  <cp:lastModifiedBy/>
  <cp:revision>13</cp:revision>
  <cp:lastPrinted>2016-01-26T08:31:00Z</cp:lastPrinted>
  <dcterms:created xsi:type="dcterms:W3CDTF">2026-06-05T09:46:00Z</dcterms:created>
  <dcterms:modified xsi:type="dcterms:W3CDTF">2026-06-05T15:22:00Z</dcterms:modified>
  <cp:category>ECO/691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05/06/2026, 19/05/2026, 22/04/2026, 26/02/2025, 12/04/2024, 17/05/2022, 04/11/2015, 27/10/2015, 19/10/2015, 09/10/2015, 05/10/2015, 05/10/2015, 26/08/2015, 26/08/2015, 25/08/2015</vt:lpwstr>
  </property>
  <property fmtid="{D5CDD505-2E9C-101B-9397-08002B2CF9AE}" pid="4" name="Pref_Time">
    <vt:lpwstr>11:46:56, 13:42:21, 09:24:14, 11:27:19, 12:09:36, 12:15:48, 12:10:07, 14:44:02, 16:04:16, 14:09:30, 16:24:55, 16:04:02, 08:56:14, 07:27:56, 17:31:53</vt:lpwstr>
  </property>
  <property fmtid="{D5CDD505-2E9C-101B-9397-08002B2CF9AE}" pid="5" name="Pref_User">
    <vt:lpwstr>amett, jhvi, pacup, enied, enied, enied, ssex, enied, amett, tvoc, mreg, mreg, amett, enied, ssex</vt:lpwstr>
  </property>
  <property fmtid="{D5CDD505-2E9C-101B-9397-08002B2CF9AE}" pid="6" name="Pref_FileName">
    <vt:lpwstr>EESC-2025-04323-00-00-RISE-TRA-EN-CRR.docx, EESC-2025-04323-00-00-PRI-ORI.docx, EESC-2025-04323-00-00-APRI-ORI.docx, EESC-2024-03288-00-00-APRI-ORI.docx, COR-EESC-2024-01326-24-00-ADMIN-ORI.docx, COR-EESC-2022-02575-00-00-ADMIN-ORI.docx, EESC-2015-05408-0</vt:lpwstr>
  </property>
  <property fmtid="{D5CDD505-2E9C-101B-9397-08002B2CF9AE}" pid="7" name="ContentTypeId">
    <vt:lpwstr>0x010100EA97B91038054C99906057A708A1480A007FAFB00F4882C04A82CD69E07FC3C83E</vt:lpwstr>
  </property>
  <property fmtid="{D5CDD505-2E9C-101B-9397-08002B2CF9AE}" pid="8" name="_dlc_DocIdItemGuid">
    <vt:lpwstr>7f2c84d2-9328-429c-b470-0b6258094cf8</vt:lpwstr>
  </property>
  <property fmtid="{D5CDD505-2E9C-101B-9397-08002B2CF9AE}" pid="9" name="AvailableTranslations">
    <vt:lpwstr>50;#HR|2f555653-ed1a-4fe6-8362-9082d95989e5;#31;#SL|98a412ae-eb01-49e9-ae3d-585a81724cfc;#41;#ET|ff6c3f4c-b02c-4c3c-ab07-2c37995a7a0a;#16;#ES|e7a6b05b-ae16-40c8-add9-68b64b03aeba;#24;#PL|1e03da61-4678-4e07-b136-b5024ca9197b;#39;#LV|46f7e311-5d9f-4663-b433-18aeccb7ace7;#40;#DA|5d49c027-8956-412b-aa16-e85a0f96ad0e;#32;#MT|7df99101-6854-4a26-b53a-b88c0da02c26;#46;#SK|46d9fce0-ef79-4f71-b89b-cd6aa82426b8;#12;#FR|d2afafd3-4c81-4f60-8f52-ee33f2f54ff3;#42;#EL|6d4f4d51-af9b-4650-94b4-4276bee85c91;#37;#HU|6b229040-c589-4408-b4c1-4285663d20a8;#27;#NL|55c6556c-b4f4-441d-9acf-c498d4f838bd;#5;#EN|f2175f21-25d7-44a3-96da-d6a61b075e1b;#43;#GA|762d2456-c427-4ecb-b312-af3dad8e258c;#30;#LT|a7ff5ce7-6123-4f68-865a-a57c31810414;#34;#IT|0774613c-01ed-4e5d-a25d-11d2388de825;#33;#PT|50ccc04a-eadd-42ae-a0cb-acaf45f812ba;#47;#BG|1a1b3951-7821-4e6a-85f5-5673fc08bd2c;#29;#CS|72f9705b-0217-4fd3-bea2-cbc7ed80e26e;#23;#DE|f6b31e5a-26fa-4935-b661-318e46daf27e;#28;#SV|c2ed69e7-a339-43d7-8f22-d93680a92aa0;#36;#RO|feb747a2-64cd-4299-af12-4833ddc30497;#35;#FI|87606a43-d45f-42d6-b8c9-e1a3457db5b7</vt:lpwstr>
  </property>
  <property fmtid="{D5CDD505-2E9C-101B-9397-08002B2CF9AE}" pid="10" name="DocumentType_0">
    <vt:lpwstr>RISE|e90d3dc9-efa2-4aa3-a057-89e12bda16a3</vt:lpwstr>
  </property>
  <property fmtid="{D5CDD505-2E9C-101B-9397-08002B2CF9AE}" pid="11" name="MeetingNumber">
    <vt:i4>606</vt:i4>
  </property>
  <property fmtid="{D5CDD505-2E9C-101B-9397-08002B2CF9AE}" pid="12" name="DossierName_0">
    <vt:lpwstr>ECO|8df351f5-c957-404c-8cf3-8ffb22c9cba2</vt:lpwstr>
  </property>
  <property fmtid="{D5CDD505-2E9C-101B-9397-08002B2CF9AE}" pid="13" name="DocumentSource_0">
    <vt:lpwstr>EESC|422833ec-8d7e-4e65-8e4e-8bed07ffb729</vt:lpwstr>
  </property>
  <property fmtid="{D5CDD505-2E9C-101B-9397-08002B2CF9AE}" pid="14" name="DocumentNumber">
    <vt:i4>4323</vt:i4>
  </property>
  <property fmtid="{D5CDD505-2E9C-101B-9397-08002B2CF9AE}" pid="15" name="FicheYear">
    <vt:i4>2025</vt:i4>
  </property>
  <property fmtid="{D5CDD505-2E9C-101B-9397-08002B2CF9AE}" pid="16" name="DocumentVersion">
    <vt:i4>0</vt:i4>
  </property>
  <property fmtid="{D5CDD505-2E9C-101B-9397-08002B2CF9AE}" pid="17" name="DossierNumber">
    <vt:i4>691</vt:i4>
  </property>
  <property fmtid="{D5CDD505-2E9C-101B-9397-08002B2CF9AE}" pid="18" name="DocumentStatus">
    <vt:lpwstr>13;#TRA|150d2a88-1431-44e6-a8ca-0bb753ab8672</vt:lpwstr>
  </property>
  <property fmtid="{D5CDD505-2E9C-101B-9397-08002B2CF9AE}" pid="19" name="DossierName">
    <vt:lpwstr>103;#ECO|8df351f5-c957-404c-8cf3-8ffb22c9cba2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15;#Unrestricted|826e22d7-d029-4ec0-a450-0c28ff673572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67;#SPL-CES|32d8cb1f-c9ec-4365-95c7-8385a18618ac</vt:lpwstr>
  </property>
  <property fmtid="{D5CDD505-2E9C-101B-9397-08002B2CF9AE}" pid="26" name="MeetingDate">
    <vt:filetime>2026-06-17T12:00:00Z</vt:filetime>
  </property>
  <property fmtid="{D5CDD505-2E9C-101B-9397-08002B2CF9AE}" pid="27" name="AvailableTranslations_0">
    <vt:lpwstr>HR|2f555653-ed1a-4fe6-8362-9082d95989e5;ES|e7a6b05b-ae16-40c8-add9-68b64b03aeba;EN|f2175f21-25d7-44a3-96da-d6a61b075e1b;LT|a7ff5ce7-6123-4f68-865a-a57c31810414;CS|72f9705b-0217-4fd3-bea2-cbc7ed80e26e;SV|c2ed69e7-a339-43d7-8f22-d93680a92aa0;FI|87606a43-d45f-42d6-b8c9-e1a3457db5b7</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35;#FI|87606a43-d45f-42d6-b8c9-e1a3457db5b7;#13;#TRA|150d2a88-1431-44e6-a8ca-0bb753ab8672;#30;#LT|a7ff5ce7-6123-4f68-865a-a57c31810414;#103;#ECO|8df351f5-c957-404c-8cf3-8ffb22c9cba2;#67;#SPL-CES|32d8cb1f-c9ec-4365-95c7-8385a18618ac;#16;#ES|e7a6b05b-ae16-40c8-add9-68b64b03aeba;#15;#Unrestricted|826e22d7-d029-4ec0-a450-0c28ff673572;#50;#HR|2f555653-ed1a-4fe6-8362-9082d95989e5;#28;#SV|c2ed69e7-a339-43d7-8f22-d93680a92aa0;#201;#RISE|e90d3dc9-efa2-4aa3-a057-89e12bda16a3;#8;#Final|ea5e6674-7b27-4bac-b091-73adbb394efe;#29;#CS|72f9705b-0217-4fd3-bea2-cbc7ed80e26e;#5;#EN|f2175f21-25d7-44a3-96da-d6a61b075e1b;#1;#EESC|422833ec-8d7e-4e65-8e4e-8bed07ffb729</vt:lpwstr>
  </property>
  <property fmtid="{D5CDD505-2E9C-101B-9397-08002B2CF9AE}" pid="31" name="Rapporteur">
    <vt:lpwstr>LOBO XAVIER &amp; MONE &amp; JAHIER</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297887</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DocumentType">
    <vt:lpwstr>201;#RISE|e90d3dc9-efa2-4aa3-a057-89e12bda16a3</vt:lpwstr>
  </property>
  <property fmtid="{D5CDD505-2E9C-101B-9397-08002B2CF9AE}" pid="39" name="DocumentLanguage">
    <vt:lpwstr>31;#SL|98a412ae-eb01-49e9-ae3d-585a81724cfc</vt:lpwstr>
  </property>
  <property fmtid="{D5CDD505-2E9C-101B-9397-08002B2CF9AE}" pid="40" name="_docset_NoMedatataSyncRequired">
    <vt:lpwstr>False</vt:lpwstr>
  </property>
  <property fmtid="{D5CDD505-2E9C-101B-9397-08002B2CF9AE}" pid="41" name="DocumentLanguage_0">
    <vt:lpwstr>EN|f2175f21-25d7-44a3-96da-d6a61b075e1b</vt:lpwstr>
  </property>
</Properties>
</file>