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D547F" w14:textId="1363FDB5" w:rsidR="00646AC2" w:rsidRPr="00BF727A" w:rsidRDefault="005B0F12" w:rsidP="003216CC">
      <w:pPr>
        <w:overflowPunct/>
        <w:adjustRightInd/>
        <w:jc w:val="center"/>
        <w:textAlignment w:val="auto"/>
        <w:rPr>
          <w:szCs w:val="22"/>
        </w:rPr>
      </w:pPr>
      <w:r>
        <w:rPr>
          <w:noProof/>
        </w:rPr>
        <w:drawing>
          <wp:inline distT="0" distB="0" distL="0" distR="0" wp14:anchorId="7D3E045E" wp14:editId="08BB4573">
            <wp:extent cx="1792605" cy="1239520"/>
            <wp:effectExtent l="0" t="0" r="0" b="0"/>
            <wp:docPr id="1270536352" name="Picture 2" title="EESCLogo_PT"/>
            <wp:cNvGraphicFramePr/>
            <a:graphic xmlns:a="http://schemas.openxmlformats.org/drawingml/2006/main">
              <a:graphicData uri="http://schemas.openxmlformats.org/drawingml/2006/picture">
                <pic:pic xmlns:pic="http://schemas.openxmlformats.org/drawingml/2006/picture">
                  <pic:nvPicPr>
                    <pic:cNvPr id="1270536352" name="Picture 2" title="EESCLogo_PT"/>
                    <pic:cNvPicPr/>
                  </pic:nvPicPr>
                  <pic:blipFill>
                    <a:blip r:embed="rId11"/>
                    <a:stretch>
                      <a:fillRect/>
                    </a:stretch>
                  </pic:blipFill>
                  <pic:spPr>
                    <a:xfrm>
                      <a:off x="0" y="0"/>
                      <a:ext cx="1792605" cy="1239520"/>
                    </a:xfrm>
                    <a:prstGeom prst="rect">
                      <a:avLst/>
                    </a:prstGeom>
                  </pic:spPr>
                </pic:pic>
              </a:graphicData>
            </a:graphic>
          </wp:inline>
        </w:drawing>
      </w:r>
      <w:r w:rsidR="0073318F">
        <w:rPr>
          <w:noProof/>
        </w:rPr>
        <mc:AlternateContent>
          <mc:Choice Requires="wps">
            <w:drawing>
              <wp:anchor distT="0" distB="0" distL="114300" distR="114300" simplePos="0" relativeHeight="251657728" behindDoc="1" locked="0" layoutInCell="0" allowOverlap="1" wp14:anchorId="729ADD32" wp14:editId="7E08D3AE">
                <wp:simplePos x="0" y="0"/>
                <wp:positionH relativeFrom="page">
                  <wp:posOffset>6769100</wp:posOffset>
                </wp:positionH>
                <wp:positionV relativeFrom="page">
                  <wp:posOffset>10081260</wp:posOffset>
                </wp:positionV>
                <wp:extent cx="647700" cy="396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wps:spPr>
                      <wps:txbx>
                        <w:txbxContent>
                          <w:p w14:paraId="79610E7F" w14:textId="77777777" w:rsidR="00DB53C1" w:rsidRPr="00260E65" w:rsidRDefault="00DB53C1">
                            <w:pPr>
                              <w:jc w:val="center"/>
                              <w:rPr>
                                <w:rFonts w:ascii="Arial" w:hAnsi="Arial" w:cs="Arial"/>
                                <w:b/>
                                <w:bCs/>
                                <w:sz w:val="48"/>
                              </w:rPr>
                            </w:pPr>
                            <w:r>
                              <w:rPr>
                                <w:rFonts w:ascii="Arial" w:hAnsi="Arial"/>
                                <w:b/>
                                <w:sz w:val="48"/>
                              </w:rPr>
                              <w:t>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ADD32" id="_x0000_t202" coordsize="21600,21600" o:spt="202" path="m,l,21600r21600,l21600,xe">
                <v:stroke joinstyle="miter"/>
                <v:path gradientshapeok="t" o:connecttype="rect"/>
              </v:shapetype>
              <v:shape id="Text Box 2" o:spid="_x0000_s1026" type="#_x0000_t202" style="position:absolute;left:0;text-align:left;margin-left:533pt;margin-top:793.8pt;width:51pt;height:3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" o:allowincell="f" filled="f" stroked="f">
                <v:textbox>
                  <w:txbxContent>
                    <w:p w14:paraId="79610E7F" w14:textId="77777777" w:rsidR="00DB53C1" w:rsidRPr="00260E65" w:rsidRDefault="00DB53C1">
                      <w:pPr>
                        <w:jc w:val="center"/>
                        <w:rPr>
                          <w:rFonts w:ascii="Arial" w:hAnsi="Arial" w:cs="Arial"/>
                          <w:b/>
                          <w:bCs/>
                          <w:sz w:val="48"/>
                        </w:rPr>
                      </w:pPr>
                      <w:r>
                        <w:rPr>
                          <w:rFonts w:ascii="Arial" w:hAnsi="Arial"/>
                          <w:b/>
                          <w:sz w:val="48"/>
                        </w:rPr>
                        <w:t>PT</w:t>
                      </w:r>
                    </w:p>
                  </w:txbxContent>
                </v:textbox>
                <w10:wrap anchorx="page" anchory="page"/>
              </v:shape>
            </w:pict>
          </mc:Fallback>
        </mc:AlternateContent>
      </w:r>
    </w:p>
    <w:p w14:paraId="2F2F423C" w14:textId="77777777" w:rsidR="003E0EB4" w:rsidRPr="00BF727A" w:rsidRDefault="003E0EB4" w:rsidP="003216CC">
      <w:pPr>
        <w:overflowPunct/>
        <w:adjustRightInd/>
        <w:jc w:val="left"/>
        <w:textAlignment w:val="auto"/>
        <w:rPr>
          <w:szCs w:val="22"/>
        </w:rPr>
      </w:pPr>
    </w:p>
    <w:p w14:paraId="430CD72E" w14:textId="078BAB7F" w:rsidR="00646AC2" w:rsidRPr="00BF727A" w:rsidRDefault="00306551" w:rsidP="003216CC">
      <w:pPr>
        <w:overflowPunct/>
        <w:adjustRightInd/>
        <w:jc w:val="right"/>
        <w:textAlignment w:val="auto"/>
        <w:rPr>
          <w:b/>
          <w:szCs w:val="22"/>
        </w:rPr>
      </w:pPr>
      <w:r>
        <w:rPr>
          <w:b/>
        </w:rPr>
        <w:t>ECO/691</w:t>
      </w:r>
    </w:p>
    <w:p w14:paraId="69A218C3" w14:textId="596171D6" w:rsidR="001960C6" w:rsidRPr="00BF727A" w:rsidRDefault="00306551" w:rsidP="003216CC">
      <w:pPr>
        <w:overflowPunct/>
        <w:adjustRightInd/>
        <w:jc w:val="right"/>
        <w:textAlignment w:val="auto"/>
        <w:rPr>
          <w:szCs w:val="22"/>
        </w:rPr>
      </w:pPr>
      <w:r>
        <w:rPr>
          <w:b/>
        </w:rPr>
        <w:t>Propostas de reformas e investimentos nacionais e sua aplicação: ciclo do Semestre Europeu 2025-2026</w:t>
      </w:r>
    </w:p>
    <w:p w14:paraId="0A9CDACB" w14:textId="77777777" w:rsidR="009B30AA" w:rsidRPr="00BF727A" w:rsidRDefault="009B30AA" w:rsidP="003216CC">
      <w:pPr>
        <w:overflowPunct/>
        <w:adjustRightInd/>
        <w:textAlignment w:val="auto"/>
        <w:rPr>
          <w:szCs w:val="22"/>
        </w:rPr>
      </w:pPr>
    </w:p>
    <w:p w14:paraId="3E824B14" w14:textId="77777777" w:rsidR="009B30AA" w:rsidRPr="00BF727A" w:rsidRDefault="009B30AA" w:rsidP="003216CC">
      <w:pPr>
        <w:overflowPunct/>
        <w:adjustRightInd/>
        <w:textAlignment w:val="auto"/>
        <w:rPr>
          <w:szCs w:val="22"/>
        </w:rPr>
      </w:pPr>
    </w:p>
    <w:p w14:paraId="278713FC" w14:textId="0A469A4A" w:rsidR="00357217" w:rsidRPr="00BF727A" w:rsidRDefault="008709FB" w:rsidP="003216CC">
      <w:pPr>
        <w:overflowPunct/>
        <w:adjustRightInd/>
        <w:jc w:val="center"/>
        <w:textAlignment w:val="auto"/>
        <w:rPr>
          <w:b/>
          <w:szCs w:val="22"/>
        </w:rPr>
      </w:pPr>
      <w:r>
        <w:rPr>
          <w:b/>
          <w:sz w:val="28"/>
        </w:rPr>
        <w:t>RELATÓRIO DE INFORMAÇÃO</w:t>
      </w:r>
    </w:p>
    <w:p w14:paraId="04167C99" w14:textId="77777777" w:rsidR="00357217" w:rsidRPr="00BF727A" w:rsidRDefault="00357217" w:rsidP="003216CC">
      <w:pPr>
        <w:overflowPunct/>
        <w:adjustRightInd/>
        <w:jc w:val="center"/>
        <w:textAlignment w:val="auto"/>
        <w:rPr>
          <w:b/>
          <w:szCs w:val="22"/>
        </w:rPr>
      </w:pPr>
    </w:p>
    <w:p w14:paraId="6DB6A916" w14:textId="77777777" w:rsidR="00357217" w:rsidRPr="00BF727A" w:rsidRDefault="00306551" w:rsidP="003216CC">
      <w:pPr>
        <w:overflowPunct/>
        <w:adjustRightInd/>
        <w:jc w:val="center"/>
        <w:textAlignment w:val="auto"/>
        <w:rPr>
          <w:szCs w:val="22"/>
        </w:rPr>
      </w:pPr>
      <w:r>
        <w:t>Secção da União Económica e Monetária e Coesão Económica e Social</w:t>
      </w:r>
    </w:p>
    <w:p w14:paraId="138190FA" w14:textId="77777777" w:rsidR="00357217" w:rsidRPr="00BF727A" w:rsidRDefault="00357217" w:rsidP="003216CC">
      <w:pPr>
        <w:overflowPunct/>
        <w:adjustRightInd/>
        <w:jc w:val="center"/>
        <w:textAlignment w:val="auto"/>
        <w:rPr>
          <w:b/>
          <w:szCs w:val="22"/>
        </w:rPr>
      </w:pPr>
    </w:p>
    <w:p w14:paraId="5A859A04" w14:textId="0D36B8F8" w:rsidR="00357217" w:rsidRPr="00BF727A" w:rsidRDefault="00A51541" w:rsidP="003216CC">
      <w:pPr>
        <w:overflowPunct/>
        <w:adjustRightInd/>
        <w:jc w:val="center"/>
        <w:textAlignment w:val="auto"/>
        <w:rPr>
          <w:b/>
          <w:szCs w:val="22"/>
        </w:rPr>
      </w:pPr>
      <w:r>
        <w:rPr>
          <w:b/>
        </w:rPr>
        <w:t>O ponto de vista da sociedade civil organizada dos Estados-Membros sobre as propostas nacionais de reformas e investimentos e a respetiva aplicação</w:t>
      </w:r>
      <w:r w:rsidR="007C6521">
        <w:rPr>
          <w:b/>
        </w:rPr>
        <w:br/>
      </w:r>
      <w:r>
        <w:rPr>
          <w:b/>
        </w:rPr>
        <w:t>(ciclo do Semestre Europeu 2025</w:t>
      </w:r>
      <w:r w:rsidR="007C6521">
        <w:rPr>
          <w:b/>
        </w:rPr>
        <w:noBreakHyphen/>
      </w:r>
      <w:r>
        <w:rPr>
          <w:b/>
        </w:rPr>
        <w:t>2026)</w:t>
      </w:r>
    </w:p>
    <w:p w14:paraId="52727447" w14:textId="77777777" w:rsidR="009B30AA" w:rsidRPr="00BF727A" w:rsidRDefault="009B30AA" w:rsidP="003216CC">
      <w:pPr>
        <w:overflowPunct/>
        <w:adjustRightInd/>
        <w:jc w:val="center"/>
        <w:textAlignment w:val="auto"/>
        <w:rPr>
          <w:szCs w:val="22"/>
        </w:r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D44B2B" w:rsidRPr="00BF727A" w14:paraId="329C3F91" w14:textId="77777777" w:rsidTr="00DA02D5">
        <w:tc>
          <w:tcPr>
            <w:tcW w:w="3085" w:type="dxa"/>
          </w:tcPr>
          <w:p w14:paraId="7EA71BF0" w14:textId="3B052E84" w:rsidR="00D44B2B" w:rsidRPr="00BF727A" w:rsidRDefault="00D44B2B" w:rsidP="003216CC">
            <w:pPr>
              <w:overflowPunct/>
              <w:adjustRightInd/>
              <w:jc w:val="left"/>
              <w:textAlignment w:val="auto"/>
              <w:rPr>
                <w:szCs w:val="22"/>
              </w:rPr>
            </w:pPr>
            <w:r>
              <w:t>Contacto</w:t>
            </w:r>
          </w:p>
        </w:tc>
        <w:tc>
          <w:tcPr>
            <w:tcW w:w="6204" w:type="dxa"/>
          </w:tcPr>
          <w:p w14:paraId="6BE7B1C8" w14:textId="6E2974E1" w:rsidR="00D44B2B" w:rsidRPr="00BF727A" w:rsidRDefault="00163C72" w:rsidP="003216CC">
            <w:pPr>
              <w:overflowPunct/>
              <w:adjustRightInd/>
              <w:jc w:val="left"/>
              <w:textAlignment w:val="auto"/>
              <w:rPr>
                <w:szCs w:val="22"/>
              </w:rPr>
            </w:pPr>
            <w:hyperlink r:id="rId12" w:history="1">
              <w:r w:rsidR="003562D8">
                <w:rPr>
                  <w:rStyle w:val="Hyperlink"/>
                </w:rPr>
                <w:t>eco@eesc.europa.eu</w:t>
              </w:r>
            </w:hyperlink>
          </w:p>
        </w:tc>
      </w:tr>
      <w:tr w:rsidR="00D44B2B" w:rsidRPr="00BF727A" w14:paraId="275E91C2" w14:textId="77777777" w:rsidTr="00DA02D5">
        <w:tc>
          <w:tcPr>
            <w:tcW w:w="3085" w:type="dxa"/>
          </w:tcPr>
          <w:p w14:paraId="2F3F6589" w14:textId="77777777" w:rsidR="00D44B2B" w:rsidRPr="00BF727A" w:rsidRDefault="00D44B2B" w:rsidP="003216CC">
            <w:pPr>
              <w:overflowPunct/>
              <w:adjustRightInd/>
              <w:jc w:val="left"/>
              <w:textAlignment w:val="auto"/>
              <w:rPr>
                <w:szCs w:val="22"/>
              </w:rPr>
            </w:pPr>
            <w:r>
              <w:t>Administrador</w:t>
            </w:r>
          </w:p>
        </w:tc>
        <w:tc>
          <w:tcPr>
            <w:tcW w:w="6204" w:type="dxa"/>
          </w:tcPr>
          <w:p w14:paraId="2E26F3AA" w14:textId="77777777" w:rsidR="00D44B2B" w:rsidRPr="00BF727A" w:rsidRDefault="00D44B2B" w:rsidP="003216CC">
            <w:pPr>
              <w:overflowPunct/>
              <w:adjustRightInd/>
              <w:jc w:val="left"/>
              <w:textAlignment w:val="auto"/>
              <w:rPr>
                <w:szCs w:val="22"/>
              </w:rPr>
            </w:pPr>
            <w:r>
              <w:t>Colombe Grégoire</w:t>
            </w:r>
          </w:p>
        </w:tc>
      </w:tr>
      <w:tr w:rsidR="00D44B2B" w:rsidRPr="00BF727A" w14:paraId="16BBD0BD" w14:textId="77777777" w:rsidTr="00DA02D5">
        <w:tc>
          <w:tcPr>
            <w:tcW w:w="3085" w:type="dxa"/>
          </w:tcPr>
          <w:p w14:paraId="720A8083" w14:textId="77777777" w:rsidR="00D44B2B" w:rsidRPr="00BF727A" w:rsidRDefault="00D44B2B" w:rsidP="003216CC">
            <w:pPr>
              <w:overflowPunct/>
              <w:adjustRightInd/>
              <w:jc w:val="left"/>
              <w:textAlignment w:val="auto"/>
              <w:rPr>
                <w:szCs w:val="22"/>
              </w:rPr>
            </w:pPr>
            <w:r>
              <w:t>Data do documento</w:t>
            </w:r>
          </w:p>
        </w:tc>
        <w:tc>
          <w:tcPr>
            <w:tcW w:w="6204" w:type="dxa"/>
          </w:tcPr>
          <w:p w14:paraId="17F114E8" w14:textId="57E3FD32" w:rsidR="00D44B2B" w:rsidRPr="00BF727A" w:rsidRDefault="003216CC" w:rsidP="003216CC">
            <w:pPr>
              <w:overflowPunct/>
              <w:adjustRightInd/>
              <w:jc w:val="left"/>
              <w:textAlignment w:val="auto"/>
              <w:rPr>
                <w:szCs w:val="22"/>
              </w:rPr>
            </w:pPr>
            <w:r>
              <w:t>9/6/2026</w:t>
            </w:r>
          </w:p>
        </w:tc>
      </w:tr>
    </w:tbl>
    <w:p w14:paraId="3E43AEF0" w14:textId="44684F07" w:rsidR="00306551" w:rsidRPr="00BF727A" w:rsidRDefault="007F5E0D" w:rsidP="003216CC">
      <w:pPr>
        <w:tabs>
          <w:tab w:val="center" w:pos="4536"/>
          <w:tab w:val="left" w:pos="6795"/>
        </w:tabs>
        <w:overflowPunct/>
        <w:adjustRightInd/>
        <w:jc w:val="center"/>
        <w:textAlignment w:val="auto"/>
        <w:rPr>
          <w:b/>
          <w:szCs w:val="22"/>
        </w:rPr>
      </w:pPr>
      <w:r>
        <w:t xml:space="preserve">Relatores: </w:t>
      </w:r>
      <w:r>
        <w:rPr>
          <w:b/>
        </w:rPr>
        <w:t>Gonçalo Lobo Xavier</w:t>
      </w:r>
    </w:p>
    <w:p w14:paraId="459B0394" w14:textId="7AD373E1" w:rsidR="00306551" w:rsidRPr="00BF727A" w:rsidRDefault="00761545" w:rsidP="003216CC">
      <w:pPr>
        <w:overflowPunct/>
        <w:adjustRightInd/>
        <w:jc w:val="center"/>
        <w:textAlignment w:val="auto"/>
        <w:rPr>
          <w:b/>
          <w:szCs w:val="22"/>
        </w:rPr>
      </w:pPr>
      <w:r>
        <w:rPr>
          <w:b/>
        </w:rPr>
        <w:t>Andrea Mone</w:t>
      </w:r>
    </w:p>
    <w:p w14:paraId="66E52F29" w14:textId="77777777" w:rsidR="00704FBB" w:rsidRPr="00BF727A" w:rsidRDefault="00306551" w:rsidP="003216CC">
      <w:pPr>
        <w:overflowPunct/>
        <w:adjustRightInd/>
        <w:jc w:val="center"/>
        <w:textAlignment w:val="auto"/>
        <w:rPr>
          <w:szCs w:val="22"/>
        </w:rPr>
      </w:pPr>
      <w:r>
        <w:rPr>
          <w:b/>
        </w:rPr>
        <w:t>Luca Jahier</w:t>
      </w:r>
    </w:p>
    <w:p w14:paraId="014F3567" w14:textId="77777777" w:rsidR="002C29E6" w:rsidRPr="00BF727A" w:rsidRDefault="002C29E6" w:rsidP="003216CC">
      <w:pPr>
        <w:overflowPunct/>
        <w:adjustRightInd/>
        <w:jc w:val="center"/>
        <w:textAlignment w:val="auto"/>
        <w:rPr>
          <w:szCs w:val="22"/>
        </w:rPr>
      </w:pPr>
    </w:p>
    <w:p w14:paraId="56C06D69" w14:textId="77777777" w:rsidR="00704FBB" w:rsidRPr="00BF727A" w:rsidRDefault="00704FBB" w:rsidP="003216CC">
      <w:pPr>
        <w:overflowPunct/>
        <w:adjustRightInd/>
        <w:jc w:val="left"/>
        <w:textAlignment w:val="auto"/>
        <w:rPr>
          <w:szCs w:val="22"/>
        </w:rPr>
      </w:pPr>
    </w:p>
    <w:p w14:paraId="2F322971" w14:textId="77777777" w:rsidR="00646AC2" w:rsidRPr="00BF727A" w:rsidRDefault="00646AC2" w:rsidP="003216CC">
      <w:pPr>
        <w:overflowPunct/>
        <w:adjustRightInd/>
        <w:textAlignment w:val="auto"/>
        <w:rPr>
          <w:szCs w:val="22"/>
        </w:rPr>
      </w:pPr>
    </w:p>
    <w:p w14:paraId="326CA041" w14:textId="77777777" w:rsidR="00646AC2" w:rsidRPr="00BF727A" w:rsidRDefault="00646AC2" w:rsidP="003216CC">
      <w:pPr>
        <w:overflowPunct/>
        <w:adjustRightInd/>
        <w:textAlignment w:val="auto"/>
        <w:rPr>
          <w:szCs w:val="22"/>
        </w:rPr>
        <w:sectPr w:rsidR="00646AC2" w:rsidRPr="00BF727A" w:rsidSect="003216CC">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55"/>
        <w:gridCol w:w="6018"/>
      </w:tblGrid>
      <w:tr w:rsidR="003B363C" w:rsidRPr="003216CC" w14:paraId="556F1F29" w14:textId="77777777" w:rsidTr="00DA02D5">
        <w:trPr>
          <w:trHeight w:val="250"/>
        </w:trPr>
        <w:tc>
          <w:tcPr>
            <w:tcW w:w="3055" w:type="dxa"/>
          </w:tcPr>
          <w:p w14:paraId="4D371C23" w14:textId="397C74B4" w:rsidR="00CB5880" w:rsidRPr="00BF727A" w:rsidRDefault="00CB5880" w:rsidP="003216CC">
            <w:pPr>
              <w:overflowPunct/>
              <w:adjustRightInd/>
              <w:jc w:val="left"/>
              <w:textAlignment w:val="auto"/>
              <w:rPr>
                <w:szCs w:val="22"/>
              </w:rPr>
            </w:pPr>
            <w:r>
              <w:lastRenderedPageBreak/>
              <w:t>Conselheiros</w:t>
            </w:r>
          </w:p>
        </w:tc>
        <w:tc>
          <w:tcPr>
            <w:tcW w:w="6018" w:type="dxa"/>
          </w:tcPr>
          <w:p w14:paraId="045835AB" w14:textId="6AA79793" w:rsidR="00CB5880" w:rsidRPr="00A74EAF" w:rsidRDefault="00167F6A" w:rsidP="003216CC">
            <w:pPr>
              <w:overflowPunct/>
              <w:adjustRightInd/>
              <w:jc w:val="left"/>
              <w:textAlignment w:val="auto"/>
              <w:rPr>
                <w:szCs w:val="22"/>
              </w:rPr>
            </w:pPr>
            <w:r>
              <w:t>Anna Colombo (do relator Luca Jahier)</w:t>
            </w:r>
          </w:p>
          <w:p w14:paraId="563F4CB8" w14:textId="3A6ECD07" w:rsidR="00167F6A" w:rsidRPr="00D57DC2" w:rsidRDefault="00167F6A" w:rsidP="003216CC">
            <w:pPr>
              <w:overflowPunct/>
              <w:adjustRightInd/>
              <w:jc w:val="left"/>
              <w:textAlignment w:val="auto"/>
              <w:rPr>
                <w:szCs w:val="22"/>
              </w:rPr>
            </w:pPr>
            <w:r>
              <w:t>Marco Cilento (do relator Andrea Mone)</w:t>
            </w:r>
          </w:p>
        </w:tc>
      </w:tr>
      <w:tr w:rsidR="003B363C" w:rsidRPr="003216CC" w14:paraId="79CC1BD8" w14:textId="77777777" w:rsidTr="00DA02D5">
        <w:trPr>
          <w:trHeight w:val="250"/>
        </w:trPr>
        <w:tc>
          <w:tcPr>
            <w:tcW w:w="3055" w:type="dxa"/>
          </w:tcPr>
          <w:p w14:paraId="230B4C73" w14:textId="77777777" w:rsidR="00CB5880" w:rsidRPr="00D57DC2" w:rsidRDefault="00CB5880" w:rsidP="003216CC">
            <w:pPr>
              <w:overflowPunct/>
              <w:adjustRightInd/>
              <w:jc w:val="left"/>
              <w:textAlignment w:val="auto"/>
              <w:rPr>
                <w:szCs w:val="22"/>
                <w:lang w:val="it-IT"/>
              </w:rPr>
            </w:pPr>
          </w:p>
        </w:tc>
        <w:tc>
          <w:tcPr>
            <w:tcW w:w="6018" w:type="dxa"/>
          </w:tcPr>
          <w:p w14:paraId="0380A87B" w14:textId="77777777" w:rsidR="00CB5880" w:rsidRPr="00D57DC2" w:rsidRDefault="00CB5880" w:rsidP="003216CC">
            <w:pPr>
              <w:overflowPunct/>
              <w:adjustRightInd/>
              <w:jc w:val="left"/>
              <w:textAlignment w:val="auto"/>
              <w:rPr>
                <w:szCs w:val="22"/>
                <w:lang w:val="it-IT"/>
              </w:rPr>
            </w:pPr>
          </w:p>
        </w:tc>
      </w:tr>
      <w:tr w:rsidR="003B363C" w:rsidRPr="00BF727A" w14:paraId="6DF81F8A" w14:textId="77777777" w:rsidTr="00DA02D5">
        <w:trPr>
          <w:trHeight w:val="250"/>
        </w:trPr>
        <w:tc>
          <w:tcPr>
            <w:tcW w:w="3055" w:type="dxa"/>
          </w:tcPr>
          <w:p w14:paraId="26553145" w14:textId="77777777" w:rsidR="002C1D46" w:rsidRPr="00BF727A" w:rsidRDefault="002C1D46" w:rsidP="003216CC">
            <w:pPr>
              <w:overflowPunct/>
              <w:adjustRightInd/>
              <w:jc w:val="left"/>
              <w:textAlignment w:val="auto"/>
              <w:rPr>
                <w:szCs w:val="22"/>
              </w:rPr>
            </w:pPr>
            <w:r>
              <w:t>Decisão da Plenária</w:t>
            </w:r>
          </w:p>
        </w:tc>
        <w:tc>
          <w:tcPr>
            <w:tcW w:w="6018" w:type="dxa"/>
          </w:tcPr>
          <w:p w14:paraId="2D4FEB06" w14:textId="54EEE48B" w:rsidR="002C1D46" w:rsidRPr="00BF727A" w:rsidRDefault="003C48E4" w:rsidP="003216CC">
            <w:pPr>
              <w:overflowPunct/>
              <w:adjustRightInd/>
              <w:jc w:val="left"/>
              <w:textAlignment w:val="auto"/>
              <w:rPr>
                <w:szCs w:val="22"/>
              </w:rPr>
            </w:pPr>
            <w:r>
              <w:t>4/12/2025</w:t>
            </w:r>
          </w:p>
        </w:tc>
      </w:tr>
      <w:tr w:rsidR="003B363C" w:rsidRPr="00BF727A" w14:paraId="3879CFFD" w14:textId="77777777" w:rsidTr="00DA02D5">
        <w:tc>
          <w:tcPr>
            <w:tcW w:w="3055" w:type="dxa"/>
          </w:tcPr>
          <w:p w14:paraId="62DEF395" w14:textId="77777777" w:rsidR="00243E36" w:rsidRPr="00BF727A" w:rsidRDefault="00243E36" w:rsidP="003216CC">
            <w:pPr>
              <w:overflowPunct/>
              <w:adjustRightInd/>
              <w:jc w:val="left"/>
              <w:textAlignment w:val="auto"/>
              <w:rPr>
                <w:szCs w:val="22"/>
              </w:rPr>
            </w:pPr>
            <w:r>
              <w:t>Base jurídica</w:t>
            </w:r>
          </w:p>
        </w:tc>
        <w:tc>
          <w:tcPr>
            <w:tcW w:w="6018" w:type="dxa"/>
          </w:tcPr>
          <w:p w14:paraId="1E337E1D" w14:textId="77777777" w:rsidR="00243E36" w:rsidRPr="00BF727A" w:rsidRDefault="00755426" w:rsidP="003216CC">
            <w:pPr>
              <w:overflowPunct/>
              <w:adjustRightInd/>
              <w:jc w:val="left"/>
              <w:textAlignment w:val="auto"/>
              <w:rPr>
                <w:szCs w:val="22"/>
              </w:rPr>
            </w:pPr>
            <w:r>
              <w:t>Artigo 52.º, n.º 3, do Regimento</w:t>
            </w:r>
          </w:p>
        </w:tc>
      </w:tr>
      <w:tr w:rsidR="003B363C" w:rsidRPr="00BF727A" w14:paraId="000D3830" w14:textId="77777777" w:rsidTr="00DA02D5">
        <w:tc>
          <w:tcPr>
            <w:tcW w:w="3055" w:type="dxa"/>
          </w:tcPr>
          <w:p w14:paraId="342CF241" w14:textId="77777777" w:rsidR="00DF5B64" w:rsidRPr="00BF727A" w:rsidRDefault="00AD4B4F" w:rsidP="003216CC">
            <w:pPr>
              <w:overflowPunct/>
              <w:adjustRightInd/>
              <w:jc w:val="left"/>
              <w:textAlignment w:val="auto"/>
              <w:rPr>
                <w:szCs w:val="22"/>
              </w:rPr>
            </w:pPr>
            <w:r>
              <w:t>Competência</w:t>
            </w:r>
          </w:p>
        </w:tc>
        <w:tc>
          <w:tcPr>
            <w:tcW w:w="6018" w:type="dxa"/>
          </w:tcPr>
          <w:p w14:paraId="3B567D2F" w14:textId="77777777" w:rsidR="00DF5B64" w:rsidRPr="00BF727A" w:rsidRDefault="00F86734" w:rsidP="003216CC">
            <w:pPr>
              <w:overflowPunct/>
              <w:adjustRightInd/>
              <w:jc w:val="left"/>
              <w:textAlignment w:val="auto"/>
              <w:rPr>
                <w:szCs w:val="22"/>
              </w:rPr>
            </w:pPr>
            <w:r>
              <w:t>Secção da União Económica e Monetária e Coesão Económica e Social</w:t>
            </w:r>
          </w:p>
        </w:tc>
      </w:tr>
      <w:tr w:rsidR="003B363C" w:rsidRPr="00BF727A" w14:paraId="2EB9C406" w14:textId="77777777" w:rsidTr="00DA02D5">
        <w:tc>
          <w:tcPr>
            <w:tcW w:w="3055" w:type="dxa"/>
          </w:tcPr>
          <w:p w14:paraId="16314130" w14:textId="77777777" w:rsidR="00A156E6" w:rsidRPr="00BF727A" w:rsidRDefault="003433F3" w:rsidP="003216CC">
            <w:pPr>
              <w:overflowPunct/>
              <w:adjustRightInd/>
              <w:jc w:val="left"/>
              <w:textAlignment w:val="auto"/>
              <w:rPr>
                <w:szCs w:val="22"/>
              </w:rPr>
            </w:pPr>
            <w:r>
              <w:t>Adoção em secção</w:t>
            </w:r>
          </w:p>
        </w:tc>
        <w:tc>
          <w:tcPr>
            <w:tcW w:w="6018" w:type="dxa"/>
          </w:tcPr>
          <w:p w14:paraId="7A9E874E" w14:textId="1FFF3BA5" w:rsidR="00A156E6" w:rsidRPr="00BF727A" w:rsidRDefault="00904F39" w:rsidP="003216CC">
            <w:pPr>
              <w:overflowPunct/>
              <w:adjustRightInd/>
              <w:jc w:val="left"/>
              <w:textAlignment w:val="auto"/>
              <w:rPr>
                <w:szCs w:val="22"/>
              </w:rPr>
            </w:pPr>
            <w:r>
              <w:t>4/6/2026</w:t>
            </w:r>
          </w:p>
        </w:tc>
      </w:tr>
      <w:tr w:rsidR="003B363C" w:rsidRPr="00BF727A" w14:paraId="4D46FFAD" w14:textId="77777777" w:rsidTr="00DA02D5">
        <w:tc>
          <w:tcPr>
            <w:tcW w:w="3055" w:type="dxa"/>
          </w:tcPr>
          <w:p w14:paraId="27A1F837" w14:textId="77777777" w:rsidR="00D423D4" w:rsidRPr="00BF727A" w:rsidRDefault="0043024C" w:rsidP="003216CC">
            <w:pPr>
              <w:overflowPunct/>
              <w:adjustRightInd/>
              <w:jc w:val="left"/>
              <w:rPr>
                <w:szCs w:val="22"/>
              </w:rPr>
            </w:pPr>
            <w:r>
              <w:t>Resultado da votação</w:t>
            </w:r>
            <w:r>
              <w:br/>
              <w:t>(votos a favor/votos contra/abstenções)</w:t>
            </w:r>
          </w:p>
        </w:tc>
        <w:tc>
          <w:tcPr>
            <w:tcW w:w="6018" w:type="dxa"/>
            <w:vAlign w:val="bottom"/>
          </w:tcPr>
          <w:p w14:paraId="0BBC2E40" w14:textId="286C2776" w:rsidR="00A156E6" w:rsidRPr="00BF727A" w:rsidRDefault="008E6F7D" w:rsidP="003216CC">
            <w:pPr>
              <w:overflowPunct/>
              <w:adjustRightInd/>
              <w:jc w:val="left"/>
              <w:textAlignment w:val="auto"/>
              <w:rPr>
                <w:szCs w:val="22"/>
              </w:rPr>
            </w:pPr>
            <w:r>
              <w:t>42/1/1</w:t>
            </w:r>
          </w:p>
        </w:tc>
      </w:tr>
      <w:tr w:rsidR="003B363C" w:rsidRPr="00BF727A" w14:paraId="74432C64" w14:textId="77777777" w:rsidTr="00DA02D5">
        <w:tc>
          <w:tcPr>
            <w:tcW w:w="3055" w:type="dxa"/>
          </w:tcPr>
          <w:p w14:paraId="37CB730E" w14:textId="77777777" w:rsidR="006E64DF" w:rsidRPr="00BF727A" w:rsidRDefault="003433F3" w:rsidP="003216CC">
            <w:pPr>
              <w:overflowPunct/>
              <w:adjustRightInd/>
              <w:jc w:val="left"/>
              <w:rPr>
                <w:szCs w:val="22"/>
              </w:rPr>
            </w:pPr>
            <w:r>
              <w:t>Adoção em plenária</w:t>
            </w:r>
          </w:p>
        </w:tc>
        <w:tc>
          <w:tcPr>
            <w:tcW w:w="6018" w:type="dxa"/>
            <w:vAlign w:val="bottom"/>
          </w:tcPr>
          <w:p w14:paraId="1309A672" w14:textId="77777777" w:rsidR="006E64DF" w:rsidRPr="00BF727A" w:rsidRDefault="0067591A" w:rsidP="003216CC">
            <w:pPr>
              <w:overflowPunct/>
              <w:adjustRightInd/>
              <w:jc w:val="left"/>
              <w:textAlignment w:val="auto"/>
              <w:rPr>
                <w:szCs w:val="22"/>
              </w:rPr>
            </w:pPr>
            <w:r>
              <w:t>D/M/YYYY</w:t>
            </w:r>
          </w:p>
        </w:tc>
      </w:tr>
      <w:tr w:rsidR="003B363C" w:rsidRPr="00BF727A" w14:paraId="45DB981E" w14:textId="77777777" w:rsidTr="00DA02D5">
        <w:tc>
          <w:tcPr>
            <w:tcW w:w="3055" w:type="dxa"/>
          </w:tcPr>
          <w:p w14:paraId="500AF562" w14:textId="77777777" w:rsidR="0067591A" w:rsidRPr="00BF727A" w:rsidRDefault="0067591A" w:rsidP="003216CC">
            <w:pPr>
              <w:overflowPunct/>
              <w:adjustRightInd/>
              <w:jc w:val="left"/>
              <w:rPr>
                <w:szCs w:val="22"/>
              </w:rPr>
            </w:pPr>
            <w:r>
              <w:t>Reunião plenária n.º</w:t>
            </w:r>
          </w:p>
        </w:tc>
        <w:tc>
          <w:tcPr>
            <w:tcW w:w="6018" w:type="dxa"/>
            <w:vAlign w:val="bottom"/>
          </w:tcPr>
          <w:p w14:paraId="4F749096" w14:textId="77777777" w:rsidR="0067591A" w:rsidRPr="00BF727A" w:rsidRDefault="0067591A" w:rsidP="003216CC">
            <w:pPr>
              <w:overflowPunct/>
              <w:adjustRightInd/>
              <w:jc w:val="left"/>
              <w:textAlignment w:val="auto"/>
              <w:rPr>
                <w:szCs w:val="22"/>
              </w:rPr>
            </w:pPr>
          </w:p>
        </w:tc>
      </w:tr>
      <w:tr w:rsidR="003433F3" w:rsidRPr="00BF727A" w14:paraId="2051C836" w14:textId="77777777" w:rsidTr="00DA02D5">
        <w:tc>
          <w:tcPr>
            <w:tcW w:w="3055" w:type="dxa"/>
          </w:tcPr>
          <w:p w14:paraId="146797A2" w14:textId="77777777" w:rsidR="003433F3" w:rsidRPr="00BF727A" w:rsidRDefault="003433F3" w:rsidP="003216CC">
            <w:pPr>
              <w:overflowPunct/>
              <w:adjustRightInd/>
              <w:jc w:val="left"/>
              <w:rPr>
                <w:szCs w:val="22"/>
              </w:rPr>
            </w:pPr>
            <w:r>
              <w:t>Resultado da votação</w:t>
            </w:r>
            <w:r>
              <w:br/>
              <w:t>(votos a favor/votos contra/abstenções)</w:t>
            </w:r>
          </w:p>
        </w:tc>
        <w:tc>
          <w:tcPr>
            <w:tcW w:w="6018" w:type="dxa"/>
            <w:vAlign w:val="bottom"/>
          </w:tcPr>
          <w:p w14:paraId="6530E86F" w14:textId="77777777" w:rsidR="003433F3" w:rsidRPr="00BF727A" w:rsidRDefault="003433F3" w:rsidP="003216CC">
            <w:pPr>
              <w:overflowPunct/>
              <w:adjustRightInd/>
              <w:jc w:val="left"/>
              <w:textAlignment w:val="auto"/>
              <w:rPr>
                <w:szCs w:val="22"/>
              </w:rPr>
            </w:pPr>
            <w:r>
              <w:t>…/…/…</w:t>
            </w:r>
          </w:p>
        </w:tc>
      </w:tr>
    </w:tbl>
    <w:p w14:paraId="7C7A89F1" w14:textId="77777777" w:rsidR="0090053A" w:rsidRPr="00BF727A" w:rsidRDefault="0090053A" w:rsidP="003216CC">
      <w:pPr>
        <w:overflowPunct/>
        <w:adjustRightInd/>
        <w:textAlignment w:val="auto"/>
        <w:rPr>
          <w:szCs w:val="22"/>
        </w:rPr>
      </w:pPr>
    </w:p>
    <w:p w14:paraId="040AE9F3" w14:textId="77777777" w:rsidR="00646AC2" w:rsidRPr="00BF727A" w:rsidRDefault="00646AC2" w:rsidP="003216CC">
      <w:pPr>
        <w:overflowPunct/>
        <w:adjustRightInd/>
        <w:textAlignment w:val="auto"/>
        <w:rPr>
          <w:szCs w:val="22"/>
        </w:rPr>
      </w:pPr>
      <w:r>
        <w:br w:type="page"/>
      </w:r>
    </w:p>
    <w:p w14:paraId="31BDCB72" w14:textId="77777777" w:rsidR="00A86BA8" w:rsidRPr="00BF727A" w:rsidRDefault="00A86BA8" w:rsidP="003216CC">
      <w:pPr>
        <w:pStyle w:val="Heading1"/>
        <w:ind w:left="567" w:hanging="567"/>
        <w:rPr>
          <w:b/>
          <w:szCs w:val="22"/>
        </w:rPr>
      </w:pPr>
      <w:r>
        <w:rPr>
          <w:b/>
        </w:rPr>
        <w:lastRenderedPageBreak/>
        <w:t>Introdução</w:t>
      </w:r>
    </w:p>
    <w:p w14:paraId="45A175A8" w14:textId="77777777" w:rsidR="003C48E4" w:rsidRPr="00BF727A" w:rsidRDefault="003C48E4" w:rsidP="003216CC"/>
    <w:p w14:paraId="0781EEBB" w14:textId="0C3C17DB" w:rsidR="00A86BA8" w:rsidRPr="00D57DC2" w:rsidRDefault="00650F0F" w:rsidP="003216CC">
      <w:pPr>
        <w:pStyle w:val="Heading2"/>
        <w:ind w:left="567" w:hanging="567"/>
      </w:pPr>
      <w:r>
        <w:t>O presente relatório de informação faz parte de um pacote que inclui uma resolução</w:t>
      </w:r>
      <w:r w:rsidRPr="00BF727A">
        <w:rPr>
          <w:rStyle w:val="FootnoteReference"/>
          <w:sz w:val="22"/>
          <w:szCs w:val="22"/>
        </w:rPr>
        <w:footnoteReference w:id="2"/>
      </w:r>
      <w:r>
        <w:t xml:space="preserve"> e dá seguimento aos trabalhos do Grupo do Semestre Europeu do Comité Económico e Social Europeu (CESE), que consultou os conselhos económicos e sociais nacionais, os parceiros sociais e as organizações da sociedade civil dos Estados-Membros da União Europeia (UE) sobre temas centrais do Semestre Europeu. O presente relatório de informação recolhe os pontos de vista dos parceiros sociais e das organizações da sociedade civil dos Estados-Membros. Os resultados pormenorizados desta consulta constam do anexo</w:t>
      </w:r>
      <w:r w:rsidR="00C30E75" w:rsidRPr="00BF727A">
        <w:rPr>
          <w:rStyle w:val="FootnoteReference"/>
          <w:sz w:val="22"/>
          <w:szCs w:val="22"/>
        </w:rPr>
        <w:footnoteReference w:id="3"/>
      </w:r>
      <w:r>
        <w:t>.</w:t>
      </w:r>
    </w:p>
    <w:p w14:paraId="1EB028E5" w14:textId="77777777" w:rsidR="00A86BA8" w:rsidRPr="00BF727A" w:rsidRDefault="00A86BA8" w:rsidP="003216CC">
      <w:pPr>
        <w:rPr>
          <w:szCs w:val="22"/>
        </w:rPr>
      </w:pPr>
    </w:p>
    <w:p w14:paraId="671D8C11" w14:textId="28BA6CDB" w:rsidR="00EF3E11" w:rsidRPr="00BF727A" w:rsidRDefault="00A46347" w:rsidP="003216CC">
      <w:pPr>
        <w:pStyle w:val="Heading1"/>
        <w:keepNext/>
        <w:ind w:left="567" w:hanging="567"/>
        <w:rPr>
          <w:b/>
          <w:szCs w:val="22"/>
        </w:rPr>
      </w:pPr>
      <w:r>
        <w:rPr>
          <w:b/>
        </w:rPr>
        <w:t>Enquadramento</w:t>
      </w:r>
    </w:p>
    <w:p w14:paraId="12EED186" w14:textId="77777777" w:rsidR="00CB0192" w:rsidRPr="00BF727A" w:rsidRDefault="00CB0192" w:rsidP="003216CC">
      <w:pPr>
        <w:keepNext/>
        <w:rPr>
          <w:szCs w:val="22"/>
        </w:rPr>
      </w:pPr>
    </w:p>
    <w:p w14:paraId="2517E89F" w14:textId="123DDCCA" w:rsidR="00D03363" w:rsidRPr="00BF727A" w:rsidRDefault="00650F0F" w:rsidP="003216CC">
      <w:pPr>
        <w:pStyle w:val="Heading2"/>
        <w:ind w:left="567" w:hanging="567"/>
      </w:pPr>
      <w:r>
        <w:t>A consulta deste ano centra-se nas medidas de reforma e de investimento dos Estados-Membros, em particular as que se baseiam nas recomendações específicas por país (REP) de 2025</w:t>
      </w:r>
      <w:r w:rsidRPr="00BF727A">
        <w:rPr>
          <w:rStyle w:val="FootnoteReference"/>
          <w:sz w:val="22"/>
        </w:rPr>
        <w:footnoteReference w:id="4"/>
      </w:r>
      <w:r>
        <w:t>, e na sua aplicação. O objetivo é avaliar a eficácia destas medidas e identificar formas de direcionar melhor as propostas, melhorar a aplicação e reforçar o acompanhamento através da participação da sociedade civil organizada.</w:t>
      </w:r>
    </w:p>
    <w:p w14:paraId="3BB06423" w14:textId="77777777" w:rsidR="003C48E4" w:rsidRPr="00BF727A" w:rsidRDefault="003C48E4" w:rsidP="003216CC"/>
    <w:p w14:paraId="2D1A3BBB" w14:textId="6A4BE23C" w:rsidR="00D03363" w:rsidRPr="00BF727A" w:rsidRDefault="00D03363" w:rsidP="003216CC">
      <w:pPr>
        <w:pStyle w:val="Heading2"/>
        <w:ind w:left="567" w:hanging="567"/>
      </w:pPr>
      <w:r>
        <w:t>Com base em exercícios anteriores, a presente consulta analisa os progressos realizados na conclusão e na aplicação das reformas e dos investimentos previstos nos planos nacionais de recuperação e resiliência, bem como os principais ensinamentos positivos e negativos retirados deste instrumento.</w:t>
      </w:r>
    </w:p>
    <w:p w14:paraId="7F0C0492" w14:textId="77777777" w:rsidR="00D03363" w:rsidRPr="00BF727A" w:rsidRDefault="00D03363" w:rsidP="003216CC">
      <w:pPr>
        <w:pStyle w:val="Heading2"/>
        <w:numPr>
          <w:ilvl w:val="0"/>
          <w:numId w:val="0"/>
        </w:numPr>
        <w:ind w:left="567" w:hanging="567"/>
      </w:pPr>
    </w:p>
    <w:p w14:paraId="555A8211" w14:textId="736056BD" w:rsidR="00A81FA0" w:rsidRPr="00BF727A" w:rsidRDefault="00D03363" w:rsidP="003216CC">
      <w:pPr>
        <w:pStyle w:val="Heading2"/>
        <w:ind w:left="567" w:hanging="567"/>
      </w:pPr>
      <w:r>
        <w:t>Além disso, a consulta aborda a execução e o acompanhamento dos planos orçamentais</w:t>
      </w:r>
      <w:r w:rsidR="007C6521">
        <w:noBreakHyphen/>
      </w:r>
      <w:r>
        <w:t>estruturais de médio prazo</w:t>
      </w:r>
      <w:r w:rsidR="00650F0F" w:rsidRPr="00244BD5">
        <w:rPr>
          <w:rStyle w:val="FootnoteReference"/>
          <w:sz w:val="22"/>
        </w:rPr>
        <w:footnoteReference w:id="5"/>
      </w:r>
      <w:r>
        <w:t xml:space="preserve"> introduzidos na sequência da revisão do quadro de governação económica</w:t>
      </w:r>
      <w:r w:rsidR="00650F0F" w:rsidRPr="00244BD5">
        <w:rPr>
          <w:rStyle w:val="FootnoteReference"/>
          <w:sz w:val="22"/>
        </w:rPr>
        <w:footnoteReference w:id="6"/>
      </w:r>
      <w:r>
        <w:t>. A elaboração, a execução e o acompanhamento destes planos foram integrados no Semestre Europeu.</w:t>
      </w:r>
    </w:p>
    <w:p w14:paraId="28440128" w14:textId="77777777" w:rsidR="00A81FA0" w:rsidRPr="00BF727A" w:rsidRDefault="00A81FA0" w:rsidP="003216CC">
      <w:pPr>
        <w:pStyle w:val="Heading2"/>
        <w:numPr>
          <w:ilvl w:val="0"/>
          <w:numId w:val="0"/>
        </w:numPr>
        <w:ind w:left="567"/>
      </w:pPr>
    </w:p>
    <w:p w14:paraId="73934ED3" w14:textId="20F3C1A7" w:rsidR="00650F0F" w:rsidRPr="00BF727A" w:rsidRDefault="00650F0F" w:rsidP="003216CC">
      <w:pPr>
        <w:pStyle w:val="Heading2"/>
        <w:ind w:left="567" w:hanging="567"/>
      </w:pPr>
      <w:r>
        <w:t>Por último, avalia também os pontos de vista dos parceiros sociais e das organizações da sociedade civil no que respeita à ligação entre o próximo Quadro Financeiro Plurianual (QFP) e o Semestre Europeu. Inclui-se aqui a forma de assegurar a sua participação significativa e eficaz, bem como a análise dos potenciais benefícios, riscos e obstáculos associados a esta ligação.</w:t>
      </w:r>
    </w:p>
    <w:p w14:paraId="4A351164" w14:textId="77777777" w:rsidR="00EF3E11" w:rsidRPr="00BF727A" w:rsidRDefault="00EF3E11" w:rsidP="003216CC">
      <w:pPr>
        <w:rPr>
          <w:szCs w:val="22"/>
        </w:rPr>
      </w:pPr>
    </w:p>
    <w:p w14:paraId="70E9184B" w14:textId="039E699F" w:rsidR="00EF3E11" w:rsidRPr="00BF727A" w:rsidRDefault="00A46347" w:rsidP="003216CC">
      <w:pPr>
        <w:pStyle w:val="Heading1"/>
        <w:keepNext/>
        <w:ind w:left="567" w:hanging="567"/>
        <w:rPr>
          <w:b/>
          <w:szCs w:val="22"/>
        </w:rPr>
      </w:pPr>
      <w:r>
        <w:rPr>
          <w:b/>
        </w:rPr>
        <w:lastRenderedPageBreak/>
        <w:t>Metodologia</w:t>
      </w:r>
      <w:r w:rsidR="00F458A6" w:rsidRPr="00BF727A">
        <w:rPr>
          <w:rStyle w:val="FootnoteReference"/>
          <w:b/>
          <w:sz w:val="22"/>
          <w:szCs w:val="22"/>
        </w:rPr>
        <w:footnoteReference w:id="7"/>
      </w:r>
    </w:p>
    <w:p w14:paraId="2553BAE9" w14:textId="77777777" w:rsidR="00CB0192" w:rsidRPr="00BF727A" w:rsidRDefault="00CB0192" w:rsidP="003216CC">
      <w:pPr>
        <w:keepNext/>
        <w:rPr>
          <w:szCs w:val="22"/>
        </w:rPr>
      </w:pPr>
    </w:p>
    <w:p w14:paraId="4E0D0C2E" w14:textId="1088B29F" w:rsidR="00A947A8" w:rsidRPr="00D57DC2" w:rsidRDefault="007F7B77" w:rsidP="003216CC">
      <w:pPr>
        <w:pStyle w:val="Heading2"/>
        <w:ind w:left="567" w:hanging="567"/>
      </w:pPr>
      <w:r>
        <w:t>Os dados e as informações que serviram para compilar o presente relatório foram recolhidos entre janeiro e março de 2026. No total, foram recebidos 27 contributos nacionais (22 respostas escritas ao questionário</w:t>
      </w:r>
      <w:r w:rsidR="00005D99" w:rsidRPr="00D57DC2">
        <w:rPr>
          <w:rStyle w:val="FootnoteReference"/>
          <w:bCs/>
          <w:sz w:val="22"/>
          <w:szCs w:val="22"/>
        </w:rPr>
        <w:footnoteReference w:id="8"/>
      </w:r>
      <w:r>
        <w:t xml:space="preserve"> e cinco relatórios sobre as missões de recolha de informações por país</w:t>
      </w:r>
      <w:r w:rsidR="00005D99" w:rsidRPr="00D57DC2">
        <w:rPr>
          <w:rStyle w:val="FootnoteReference"/>
          <w:bCs/>
          <w:sz w:val="22"/>
          <w:szCs w:val="22"/>
        </w:rPr>
        <w:footnoteReference w:id="9"/>
      </w:r>
      <w:r>
        <w:t>).</w:t>
      </w:r>
    </w:p>
    <w:p w14:paraId="32DEA238" w14:textId="77777777" w:rsidR="008C6CF8" w:rsidRPr="00BF727A" w:rsidRDefault="008C6CF8" w:rsidP="003216CC">
      <w:pPr>
        <w:ind w:left="567" w:hanging="567"/>
      </w:pPr>
    </w:p>
    <w:p w14:paraId="61389A3E" w14:textId="49FBF326" w:rsidR="00A947A8" w:rsidRPr="00BF727A" w:rsidRDefault="00A46610" w:rsidP="003216CC">
      <w:pPr>
        <w:pStyle w:val="Heading2"/>
        <w:ind w:left="567" w:hanging="567"/>
      </w:pPr>
      <w:r>
        <w:rPr>
          <w:color w:val="000000"/>
        </w:rPr>
        <w:t>Os contributos escritos de cada uma das 22 delegações nacionais</w:t>
      </w:r>
      <w:r w:rsidRPr="00D57DC2">
        <w:rPr>
          <w:rStyle w:val="FootnoteReference"/>
          <w:color w:val="000000"/>
          <w:sz w:val="22"/>
          <w:szCs w:val="22"/>
        </w:rPr>
        <w:footnoteReference w:id="10"/>
      </w:r>
      <w:r>
        <w:rPr>
          <w:color w:val="000000"/>
        </w:rPr>
        <w:t xml:space="preserve"> basearam-se nos conhecimentos próprios dos relatores (um relator de cada um dos três grupos) e/ou na consulta prévia dos parceiros sociais e das organizações da sociedade civil nacionais. Os relatórios das cinco missões de recolha de informações contêm os principais pontos suscitados nas reuniões realizadas nesses países com os parceiros sociais e as organizações da sociedade civil nacionais. Além disso, em alguns destes países, participaram os conselhos económicos e sociais nacionais ou instituições similares.</w:t>
      </w:r>
      <w:r>
        <w:t xml:space="preserve"> Os pontos, preocupações e recomendações suscitados nestes 27 contributos (respostas escritas e relatórios por país) foram compilados, resumidos e são apresentados no presente documento. </w:t>
      </w:r>
    </w:p>
    <w:p w14:paraId="62986C6B" w14:textId="77777777" w:rsidR="00A947A8" w:rsidRPr="00BF727A" w:rsidRDefault="00A947A8" w:rsidP="003216CC">
      <w:pPr>
        <w:pStyle w:val="Heading2"/>
        <w:numPr>
          <w:ilvl w:val="0"/>
          <w:numId w:val="0"/>
        </w:numPr>
        <w:ind w:left="567" w:hanging="567"/>
      </w:pPr>
    </w:p>
    <w:p w14:paraId="3955F5D3" w14:textId="7B1104F1" w:rsidR="00EF3E11" w:rsidRPr="00BF727A" w:rsidRDefault="00FD298F" w:rsidP="003216CC">
      <w:pPr>
        <w:pStyle w:val="Heading2"/>
        <w:ind w:left="567" w:hanging="567"/>
      </w:pPr>
      <w:r>
        <w:t>O anexo do presente documento contém todos os resultados recolhidos para cada Estado</w:t>
      </w:r>
      <w:r w:rsidR="007C6521">
        <w:noBreakHyphen/>
      </w:r>
      <w:r>
        <w:t>Membro em resposta a cada pergunta, apresentados sob a forma de quadros e gráficos. Inclui igualmente as respostas de dois membros do Grupo de Ligação do CESE</w:t>
      </w:r>
      <w:r w:rsidR="003808E2" w:rsidRPr="00BF727A">
        <w:rPr>
          <w:rStyle w:val="FootnoteReference"/>
          <w:sz w:val="22"/>
          <w:szCs w:val="22"/>
        </w:rPr>
        <w:footnoteReference w:id="11"/>
      </w:r>
      <w:r>
        <w:t>.</w:t>
      </w:r>
    </w:p>
    <w:p w14:paraId="31C46DCE" w14:textId="77777777" w:rsidR="00EF3E11" w:rsidRPr="00BF727A" w:rsidRDefault="00EF3E11" w:rsidP="003216CC">
      <w:pPr>
        <w:ind w:left="567"/>
        <w:rPr>
          <w:szCs w:val="22"/>
        </w:rPr>
      </w:pPr>
    </w:p>
    <w:p w14:paraId="57B53C9E" w14:textId="56D458E1" w:rsidR="00A46347" w:rsidRPr="00D57DC2" w:rsidRDefault="00A46347" w:rsidP="003216CC">
      <w:pPr>
        <w:pStyle w:val="Heading1"/>
        <w:keepNext/>
        <w:ind w:left="567" w:hanging="567"/>
        <w:rPr>
          <w:b/>
          <w:szCs w:val="22"/>
        </w:rPr>
      </w:pPr>
      <w:r>
        <w:rPr>
          <w:b/>
        </w:rPr>
        <w:t>Observações sobre os resultados da consulta</w:t>
      </w:r>
    </w:p>
    <w:p w14:paraId="5EE36FDC" w14:textId="77777777" w:rsidR="00A46347" w:rsidRPr="00BF727A" w:rsidRDefault="00A46347" w:rsidP="003216CC">
      <w:pPr>
        <w:keepNext/>
        <w:rPr>
          <w:szCs w:val="22"/>
        </w:rPr>
      </w:pPr>
    </w:p>
    <w:p w14:paraId="56472B6E" w14:textId="45A33C18" w:rsidR="00650F0F" w:rsidRPr="00BF727A" w:rsidRDefault="00A46347" w:rsidP="003216CC">
      <w:pPr>
        <w:pStyle w:val="Heading2"/>
        <w:ind w:left="567" w:hanging="567"/>
      </w:pPr>
      <w:r>
        <w:t>Secção I – As medidas de reforma e de investimento dos Estados-Membros, em particular as que radicam nas REP de 2025, e a sua aplicação</w:t>
      </w:r>
    </w:p>
    <w:p w14:paraId="0359F301" w14:textId="77777777" w:rsidR="00650F0F" w:rsidRPr="00BF727A" w:rsidRDefault="00650F0F" w:rsidP="003216CC">
      <w:pPr>
        <w:keepNext/>
        <w:rPr>
          <w:i/>
          <w:iCs/>
          <w:szCs w:val="22"/>
        </w:rPr>
      </w:pPr>
    </w:p>
    <w:p w14:paraId="2CCC3140" w14:textId="52E8A35D" w:rsidR="00544B51" w:rsidRPr="00BF727A" w:rsidRDefault="00650F0F" w:rsidP="003216CC">
      <w:pPr>
        <w:rPr>
          <w:kern w:val="28"/>
          <w:szCs w:val="22"/>
          <w:u w:val="single"/>
        </w:rPr>
      </w:pPr>
      <w:r>
        <w:rPr>
          <w:u w:val="single"/>
        </w:rPr>
        <w:t>Pergunta 1:</w:t>
      </w:r>
      <w:r>
        <w:t xml:space="preserve"> </w:t>
      </w:r>
      <w:r>
        <w:rPr>
          <w:b/>
        </w:rPr>
        <w:t>Qual é a sua opinião, em geral, sobre as REP da Comissão Europeia aplicáveis ao seu país em 2025?</w:t>
      </w:r>
    </w:p>
    <w:p w14:paraId="308A2D75" w14:textId="77777777" w:rsidR="00650F0F" w:rsidRPr="00BF727A" w:rsidRDefault="00650F0F" w:rsidP="003216CC">
      <w:pPr>
        <w:pStyle w:val="Heading3"/>
        <w:numPr>
          <w:ilvl w:val="0"/>
          <w:numId w:val="0"/>
        </w:numPr>
        <w:ind w:left="720"/>
      </w:pPr>
    </w:p>
    <w:p w14:paraId="21C09E22" w14:textId="0B8CC2D4" w:rsidR="00AF5948" w:rsidRPr="00BF727A" w:rsidRDefault="00AF5948" w:rsidP="003216CC">
      <w:pPr>
        <w:pStyle w:val="Heading3"/>
        <w:ind w:left="567" w:hanging="567"/>
      </w:pPr>
      <w:r>
        <w:t>Na AT, na BG, em CY (Grupos</w:t>
      </w:r>
      <w:r w:rsidR="00F95C2C">
        <w:rPr>
          <w:rStyle w:val="FootnoteReference"/>
        </w:rPr>
        <w:footnoteReference w:id="12"/>
      </w:r>
      <w:r>
        <w:t> II e III), na CZ (GI e GII), na EL, em ES (GI), na FI, em FR, na HR (GI</w:t>
      </w:r>
      <w:r w:rsidR="006E32A2" w:rsidRPr="00BF727A">
        <w:rPr>
          <w:rStyle w:val="FootnoteReference"/>
          <w:szCs w:val="22"/>
        </w:rPr>
        <w:footnoteReference w:id="13"/>
      </w:r>
      <w:r>
        <w:t>, GIII), na IE, em IT</w:t>
      </w:r>
      <w:r w:rsidR="006E32A2" w:rsidRPr="00BF727A">
        <w:rPr>
          <w:rStyle w:val="FootnoteReference"/>
          <w:szCs w:val="22"/>
        </w:rPr>
        <w:footnoteReference w:id="14"/>
      </w:r>
      <w:r>
        <w:t xml:space="preserve">, na LT, na LV, em MT, em PT, na RO (GI e GII) e na SK, os parceiros sociais e as organizações da sociedade civil consideram que as REP são, de um modo </w:t>
      </w:r>
      <w:r>
        <w:lastRenderedPageBreak/>
        <w:t>geral, pertinentes, bem direcionadas, sólidas do ponto de vista analítico e consentâneas com os desafios nacionais reais.</w:t>
      </w:r>
    </w:p>
    <w:p w14:paraId="757F442F" w14:textId="77777777" w:rsidR="00AF5948" w:rsidRPr="00BF727A" w:rsidRDefault="00AF5948" w:rsidP="00266D04">
      <w:pPr>
        <w:ind w:left="567" w:hanging="567"/>
        <w:rPr>
          <w:szCs w:val="22"/>
        </w:rPr>
      </w:pPr>
    </w:p>
    <w:p w14:paraId="50B35946" w14:textId="0DF332A7" w:rsidR="00650F0F" w:rsidRPr="00BF727A" w:rsidRDefault="00AF5948" w:rsidP="003216CC">
      <w:pPr>
        <w:pStyle w:val="Heading3"/>
        <w:ind w:left="567" w:hanging="567"/>
      </w:pPr>
      <w:r>
        <w:t>Na BE, na DE, na DK (GII e GIII), na ES (GII e GIII), na HR (GI</w:t>
      </w:r>
      <w:r w:rsidR="006E32A2" w:rsidRPr="00BF727A">
        <w:rPr>
          <w:rStyle w:val="FootnoteReference"/>
          <w:szCs w:val="22"/>
        </w:rPr>
        <w:footnoteReference w:id="15"/>
      </w:r>
      <w:r>
        <w:t xml:space="preserve"> e GII), na HU, em IT (GIII</w:t>
      </w:r>
      <w:r w:rsidR="006E32A2" w:rsidRPr="00BF727A">
        <w:rPr>
          <w:rStyle w:val="FootnoteReference"/>
          <w:szCs w:val="22"/>
        </w:rPr>
        <w:footnoteReference w:id="16"/>
      </w:r>
      <w:r>
        <w:t>), no LU, nos NL, na PL, na SE e na SI, a tendência prevalecente não é a rejeição das REP, mas sim uma aceitação diferenciada: as partes interessadas veem algum valor nas REP, mas salientam sistematicamente lacunas, omissões ou falta de contextualização. Por exemplo, embora as considerem úteis, muitos deles salientam que as dimensões sociais não têm peso suficiente e preconizam uma maior integração da justiça social, dos salários e da proteção laboral. Destacam igualmente os desequilíbrios entre as prioridades políticas (por exemplo, defesa, ambiente, economia).</w:t>
      </w:r>
    </w:p>
    <w:p w14:paraId="0B74BC3B" w14:textId="77777777" w:rsidR="00544B51" w:rsidRPr="00BF727A" w:rsidRDefault="00544B51" w:rsidP="003216CC">
      <w:pPr>
        <w:rPr>
          <w:szCs w:val="22"/>
          <w:lang w:eastAsia="fr-BE"/>
        </w:rPr>
      </w:pPr>
    </w:p>
    <w:p w14:paraId="1865E932" w14:textId="39EB36B5" w:rsidR="00544B51" w:rsidRPr="00BF727A" w:rsidRDefault="00544B51" w:rsidP="00266D04">
      <w:pPr>
        <w:keepNext/>
        <w:keepLines/>
        <w:rPr>
          <w:szCs w:val="22"/>
        </w:rPr>
      </w:pPr>
      <w:r>
        <w:rPr>
          <w:u w:val="single"/>
        </w:rPr>
        <w:t>Pergunta 2:</w:t>
      </w:r>
      <w:r>
        <w:rPr>
          <w:b/>
        </w:rPr>
        <w:t xml:space="preserve"> Estas recomendações abordam os desafios que o seu país enfrenta?</w:t>
      </w:r>
    </w:p>
    <w:p w14:paraId="2833A07B" w14:textId="77777777" w:rsidR="00AF5948" w:rsidRPr="00BF727A" w:rsidRDefault="00AF5948" w:rsidP="00266D04">
      <w:pPr>
        <w:keepNext/>
        <w:keepLines/>
        <w:rPr>
          <w:szCs w:val="22"/>
        </w:rPr>
      </w:pPr>
    </w:p>
    <w:p w14:paraId="073AB529" w14:textId="72F7EFCF" w:rsidR="00AF5948" w:rsidRPr="00BF727A" w:rsidRDefault="00AF5948" w:rsidP="003216CC">
      <w:pPr>
        <w:pStyle w:val="Heading3"/>
        <w:ind w:left="567" w:hanging="567"/>
      </w:pPr>
      <w:r>
        <w:t>Os parceiros sociais e as organizações da sociedade civil na BE, na BG, em CY, na CZ (GI e GII), na DK (GII), na EL, em ES, na FI, em FR, na HR (GI e GIII), na IE, em IT</w:t>
      </w:r>
      <w:r w:rsidR="0048232D" w:rsidRPr="00BF727A">
        <w:rPr>
          <w:rStyle w:val="FootnoteReference"/>
          <w:szCs w:val="22"/>
        </w:rPr>
        <w:footnoteReference w:id="17"/>
      </w:r>
      <w:r>
        <w:t xml:space="preserve">, na LT, na LV, em MT, nos NL, na PL, em PT, na RO (GI e GII), na SE, na SI e na SK concordam, de um modo geral, que as REP identificam corretamente os principais desafios nacionais, em especial as questões estruturais, económicas e do mercado de trabalho. No entanto, embora sejam, de um modo geral, exatas, são frequentemente consideradas incompletas: embora fortes no que diz respeito às orientações de política macroeconómica e estrutural, são consideradas como não dando suficiente atenção às questões sociais. </w:t>
      </w:r>
    </w:p>
    <w:p w14:paraId="72448F7A" w14:textId="77777777" w:rsidR="00AF5948" w:rsidRPr="00BF727A" w:rsidRDefault="00AF5948" w:rsidP="003216CC">
      <w:pPr>
        <w:pStyle w:val="Heading3"/>
        <w:numPr>
          <w:ilvl w:val="0"/>
          <w:numId w:val="0"/>
        </w:numPr>
        <w:ind w:left="720"/>
      </w:pPr>
    </w:p>
    <w:p w14:paraId="18134693" w14:textId="64EBAF33" w:rsidR="00544B51" w:rsidRPr="00BF727A" w:rsidRDefault="00AF5948" w:rsidP="003216CC">
      <w:pPr>
        <w:pStyle w:val="Heading3"/>
        <w:ind w:left="567" w:hanging="567"/>
      </w:pPr>
      <w:r>
        <w:t>Em contrapartida, os parceiros sociais e as organizações da sociedade civil na AT, na CZ (GIII), na DE, na DK (GIII), na HR (GII), na HU, em IT (GII)</w:t>
      </w:r>
      <w:r w:rsidR="0048232D" w:rsidRPr="00BF727A">
        <w:rPr>
          <w:rStyle w:val="FootnoteReference"/>
          <w:szCs w:val="22"/>
        </w:rPr>
        <w:footnoteReference w:id="18"/>
      </w:r>
      <w:r>
        <w:t xml:space="preserve"> e no LU tendem a considerar as recomendações demasiado genéricas, tendo pouco em conta as características específicas de cada país e faltando-lhes orientações concretas e direcionadas. Revelam igualmente preocupação com o facto de as REP subestimarem as realidades sociais e do mercado de trabalho.</w:t>
      </w:r>
    </w:p>
    <w:p w14:paraId="7D966A9C" w14:textId="77777777" w:rsidR="00544B51" w:rsidRPr="00BF727A" w:rsidRDefault="00544B51" w:rsidP="003216CC">
      <w:pPr>
        <w:rPr>
          <w:szCs w:val="22"/>
          <w:lang w:eastAsia="fr-BE"/>
        </w:rPr>
      </w:pPr>
    </w:p>
    <w:p w14:paraId="0E84D9BC" w14:textId="7B2D3D7C" w:rsidR="00544B51" w:rsidRPr="00BF727A" w:rsidRDefault="00544B51" w:rsidP="00266D04">
      <w:pPr>
        <w:keepNext/>
        <w:keepLines/>
        <w:rPr>
          <w:b/>
          <w:szCs w:val="22"/>
        </w:rPr>
      </w:pPr>
      <w:r>
        <w:rPr>
          <w:u w:val="single"/>
        </w:rPr>
        <w:t>Pergunta 3:</w:t>
      </w:r>
      <w:r>
        <w:t xml:space="preserve"> </w:t>
      </w:r>
      <w:r>
        <w:rPr>
          <w:b/>
        </w:rPr>
        <w:t>O que pensa da forma como o seu governo traduz estas recomendações em medidas políticas concretas?</w:t>
      </w:r>
    </w:p>
    <w:p w14:paraId="3F41FF57" w14:textId="77777777" w:rsidR="004D0DB0" w:rsidRPr="00BF727A" w:rsidRDefault="004D0DB0" w:rsidP="00266D04">
      <w:pPr>
        <w:keepNext/>
        <w:keepLines/>
        <w:rPr>
          <w:b/>
          <w:szCs w:val="22"/>
        </w:rPr>
      </w:pPr>
    </w:p>
    <w:p w14:paraId="44EE4AAA" w14:textId="21FC840F" w:rsidR="00AF5948" w:rsidRPr="00BF727A" w:rsidRDefault="00AF5948" w:rsidP="003216CC">
      <w:pPr>
        <w:pStyle w:val="Heading3"/>
        <w:ind w:left="567" w:hanging="567"/>
      </w:pPr>
      <w:r>
        <w:t xml:space="preserve">Os parceiros sociais e as organizações da sociedade civil em CY (GIII), na EL, em ES (GII e GIII), na HR, na HU, em IT (GI) e em MT consideram que os respetivos governos nacionais convertem ativamente as REP em medidas políticas, mas pensam que a aplicação não foi plenamente alcançada e continua a ser desigual entre setores. Por exemplo, na EL, em ES e na HU, registaram-se melhorias económicas e orçamentais (crescimento, redução da dívida, </w:t>
      </w:r>
      <w:r>
        <w:lastRenderedPageBreak/>
        <w:t>estabilidade), enquanto em CY, na EL, em ES e em MT os desafios sociais persistentes ainda não foram plenamente abordados (salários, pensões, desigualdade, habitação).</w:t>
      </w:r>
    </w:p>
    <w:p w14:paraId="04B34556" w14:textId="77777777" w:rsidR="00AF5948" w:rsidRPr="00BF727A" w:rsidRDefault="00AF5948" w:rsidP="003216CC">
      <w:pPr>
        <w:pStyle w:val="Heading3"/>
        <w:numPr>
          <w:ilvl w:val="0"/>
          <w:numId w:val="0"/>
        </w:numPr>
        <w:ind w:left="720"/>
      </w:pPr>
    </w:p>
    <w:p w14:paraId="6C77A518" w14:textId="61521BCF" w:rsidR="00AF5948" w:rsidRPr="00BF727A" w:rsidRDefault="00B758A0" w:rsidP="003216CC">
      <w:pPr>
        <w:pStyle w:val="Heading3"/>
        <w:ind w:left="567" w:hanging="567"/>
      </w:pPr>
      <w:r>
        <w:t>Os parceiros sociais e as organizações da sociedade civil na BG, em CY (GI), na DE, na DK (GII), em ES (GI), na FI, na HR (GII), na IE, na PL, em PT, na SI e na SK reconhecem os esforços efetuados pelos respetivos governos na tomada de medidas e no avanço na direção certa. No entanto, consideram que a falta de clareza e coerência, bem como as lacunas na aplicação e o impacto limitado, impedem que estas medidas sejam plenamente eficazes.</w:t>
      </w:r>
    </w:p>
    <w:p w14:paraId="4505740B" w14:textId="77777777" w:rsidR="00AF5948" w:rsidRPr="00BF727A" w:rsidRDefault="00AF5948" w:rsidP="003216CC">
      <w:pPr>
        <w:pStyle w:val="Heading3"/>
        <w:numPr>
          <w:ilvl w:val="0"/>
          <w:numId w:val="0"/>
        </w:numPr>
        <w:ind w:left="720"/>
      </w:pPr>
    </w:p>
    <w:p w14:paraId="7D419A3E" w14:textId="7B90F084" w:rsidR="00AF5948" w:rsidRPr="00BF727A" w:rsidRDefault="00AF5948" w:rsidP="003216CC">
      <w:pPr>
        <w:pStyle w:val="Heading3"/>
        <w:ind w:left="567" w:hanging="567"/>
      </w:pPr>
      <w:r>
        <w:t>Na AT, na BE, em CY (GII), na CZ (GI e GII), na DK (GIII), na EE, em IT (GII e GIII), na LT, no LU, na LV, nos NL, na RO (GI e GII) e na SE, de acordo com os parceiros sociais e as organizações da sociedade civil, os governos nacionais não estão a transpor eficazmente as REP em políticas concretas, sendo a aplicação frequentemente descrita como parcial, fraca, lenta ou incompleta.</w:t>
      </w:r>
    </w:p>
    <w:p w14:paraId="58C72AF7" w14:textId="77777777" w:rsidR="00AF5948" w:rsidRPr="00BF727A" w:rsidRDefault="00AF5948" w:rsidP="003216CC">
      <w:pPr>
        <w:pStyle w:val="Heading3"/>
        <w:numPr>
          <w:ilvl w:val="0"/>
          <w:numId w:val="0"/>
        </w:numPr>
        <w:ind w:left="720"/>
      </w:pPr>
    </w:p>
    <w:p w14:paraId="7EDEBE22" w14:textId="5DF0A3C8" w:rsidR="000D640C" w:rsidRPr="00BF727A" w:rsidRDefault="00B758A0" w:rsidP="003216CC">
      <w:pPr>
        <w:pStyle w:val="Heading3"/>
        <w:ind w:left="567" w:hanging="567"/>
      </w:pPr>
      <w:r>
        <w:t>Os parceiros sociais e as organizações da sociedade civil da AT, de IT, de PT e da SK sublinham que existe um grande fosso entre a conceção das políticas e a execução em condições reais.</w:t>
      </w:r>
    </w:p>
    <w:p w14:paraId="166582AC" w14:textId="77777777" w:rsidR="000D640C" w:rsidRPr="00D57DC2" w:rsidRDefault="000D640C" w:rsidP="00266D04">
      <w:pPr>
        <w:pStyle w:val="ListParagraph"/>
        <w:spacing w:line="288" w:lineRule="auto"/>
        <w:ind w:left="-115"/>
        <w:jc w:val="both"/>
        <w:rPr>
          <w:rFonts w:ascii="Times New Roman" w:eastAsia="Times New Roman" w:hAnsi="Times New Roman" w:cs="Times New Roman"/>
          <w:noProof w:val="0"/>
          <w:sz w:val="22"/>
          <w:szCs w:val="22"/>
        </w:rPr>
      </w:pPr>
    </w:p>
    <w:p w14:paraId="19A1CCE7" w14:textId="328D52AD" w:rsidR="00544B51" w:rsidRPr="00BF727A" w:rsidRDefault="00B758A0" w:rsidP="003216CC">
      <w:pPr>
        <w:pStyle w:val="Heading3"/>
        <w:ind w:left="567" w:hanging="567"/>
      </w:pPr>
      <w:r>
        <w:t>Alguns representantes da EL, de IT e da LV salientam que a mera identificação dos desafios não é suficiente, uma vez que a principal dificuldade reside na aplicação e execução. Consideram que é necessária uma vontade política forte para assegurar que as REP se traduzem efetivamente em medidas políticas concretas.</w:t>
      </w:r>
    </w:p>
    <w:p w14:paraId="64585433" w14:textId="77777777" w:rsidR="00544B51" w:rsidRPr="00BF727A" w:rsidRDefault="00544B51" w:rsidP="003216CC">
      <w:pPr>
        <w:rPr>
          <w:kern w:val="28"/>
          <w:szCs w:val="22"/>
          <w:u w:val="single"/>
        </w:rPr>
      </w:pPr>
    </w:p>
    <w:p w14:paraId="2BA31C85" w14:textId="72A9873E" w:rsidR="00544B51" w:rsidRPr="00BF727A" w:rsidRDefault="00544B51" w:rsidP="00266D04">
      <w:pPr>
        <w:keepNext/>
        <w:keepLines/>
        <w:rPr>
          <w:b/>
          <w:szCs w:val="22"/>
        </w:rPr>
      </w:pPr>
      <w:r>
        <w:rPr>
          <w:u w:val="single"/>
        </w:rPr>
        <w:t>Pergunta 4:</w:t>
      </w:r>
      <w:r>
        <w:t xml:space="preserve"> </w:t>
      </w:r>
      <w:r>
        <w:rPr>
          <w:b/>
        </w:rPr>
        <w:t>A participação dos parceiros sociais e das organizações da sociedade civil no diálogo entre o seu governo e a Comissão Europeia melhorou em 2025? Como avalia essa participação? O que permitiria melhorar a participação dos parceiros sociais e das organizações da sociedade civil?</w:t>
      </w:r>
    </w:p>
    <w:p w14:paraId="1F2A46AA" w14:textId="77777777" w:rsidR="000D640C" w:rsidRPr="00BF727A" w:rsidRDefault="000D640C" w:rsidP="00266D04">
      <w:pPr>
        <w:keepNext/>
        <w:keepLines/>
        <w:rPr>
          <w:b/>
          <w:szCs w:val="22"/>
        </w:rPr>
      </w:pPr>
    </w:p>
    <w:p w14:paraId="6671F894" w14:textId="17331454" w:rsidR="000D640C" w:rsidRPr="00BF727A" w:rsidRDefault="000D640C" w:rsidP="003216CC">
      <w:pPr>
        <w:pStyle w:val="Heading3"/>
        <w:ind w:left="567" w:hanging="567"/>
      </w:pPr>
      <w:r>
        <w:t>Em CY, na EL, na HR (GI e GIII), na HU, em IT (GI e GIII), na LT, na PL, na RO (GI) e na SI, os parceiros sociais e as organizações da sociedade civil consideram que houve um aumento da consulta e do diálogo com o seu governo e a Comissão Europeia em 2025. Consideram que o diálogo melhorou na forma, mas não totalmente na substância, e que continua a ser insuficiente em termos de qualidade, profundidade e influência real na elaboração de políticas.</w:t>
      </w:r>
    </w:p>
    <w:p w14:paraId="3D5A3928" w14:textId="77777777" w:rsidR="000D640C" w:rsidRPr="00BF727A" w:rsidRDefault="000D640C" w:rsidP="003216CC">
      <w:pPr>
        <w:pStyle w:val="Heading3"/>
        <w:numPr>
          <w:ilvl w:val="0"/>
          <w:numId w:val="0"/>
        </w:numPr>
        <w:ind w:left="720"/>
      </w:pPr>
    </w:p>
    <w:p w14:paraId="494F82E1" w14:textId="208388CB" w:rsidR="000D640C" w:rsidRPr="00BF727A" w:rsidRDefault="000D640C" w:rsidP="003216CC">
      <w:pPr>
        <w:pStyle w:val="Heading3"/>
        <w:ind w:left="567" w:hanging="567"/>
      </w:pPr>
      <w:r>
        <w:t>Na AT, na BE, na BG, na CZ, na DE, na DK (GII e GIII), na EE (GII e GIII), na ES, na FI, em FR, na HR (GII), na IE, em IT (GII e GIII), na LV, no LU, em MT, nos NL, em PT, na RO (GII e GIII), na SE e na SK, a participação dos parceiros sociais e das organizações da sociedade civil não sofreu grandes alterações, sendo, em grande medida, processual ou insuficiente. Em 2025, não se registaram progressos substanciais e, em alguns casos, até houve retrocessos. A participação é frequentemente vista como uma conformidade simbólica e não como um verdadeiro instrumento de decisão ou conceção conjunta. Muitas vezes, não existe um quadro nacional coerente que articule as consultas com os processos de diálogo da UE.</w:t>
      </w:r>
    </w:p>
    <w:p w14:paraId="0A5CD94B" w14:textId="77777777" w:rsidR="000D640C" w:rsidRPr="00BF727A" w:rsidRDefault="000D640C" w:rsidP="003216CC">
      <w:pPr>
        <w:pStyle w:val="Heading3"/>
        <w:numPr>
          <w:ilvl w:val="0"/>
          <w:numId w:val="0"/>
        </w:numPr>
        <w:ind w:left="720"/>
      </w:pPr>
    </w:p>
    <w:p w14:paraId="2708C6C6" w14:textId="39946315" w:rsidR="000D640C" w:rsidRPr="00BF727A" w:rsidRDefault="00143034" w:rsidP="003216CC">
      <w:pPr>
        <w:pStyle w:val="Heading3"/>
        <w:ind w:left="567" w:hanging="567"/>
      </w:pPr>
      <w:r>
        <w:t xml:space="preserve">Relativamente à participação dos parceiros sociais e das organizações da sociedade civil no diálogo entre os governos e a Comissão Europeia sobre as REP, as avaliações por país foram as </w:t>
      </w:r>
      <w:r>
        <w:lastRenderedPageBreak/>
        <w:t>que se seguem: «participação ativa» na HR (GI e GIII), na HU e na SE; «participação visível, mas não suficiente» na BE, em CY, na CZ (GI e GII), na EL, na FI, em FR, na HR, (GII), em IT, (GI e para alguns representantes do GIII), na LV, na LT, no LU, na PL, na RO (GI), na SI e na SK; «fraca participação» na AT, na BG, na DE, na DK (GII e GIII), na EE (GII e GIII), em ES (GI e GIII), na IE, em IT (GII e para alguns representantes do GIII), em MT, nos NL, em PT e na RO (GII); e «participação inexistente» na CZ (GIII) e em ES (GII).</w:t>
      </w:r>
    </w:p>
    <w:p w14:paraId="16BE5A12" w14:textId="77777777" w:rsidR="000D640C" w:rsidRPr="00BF727A" w:rsidRDefault="000D640C" w:rsidP="003216CC">
      <w:pPr>
        <w:pStyle w:val="Heading3"/>
        <w:numPr>
          <w:ilvl w:val="0"/>
          <w:numId w:val="0"/>
        </w:numPr>
        <w:ind w:left="720"/>
      </w:pPr>
    </w:p>
    <w:p w14:paraId="7F20CD73" w14:textId="3D49A5A3" w:rsidR="00456658" w:rsidRPr="00BF727A" w:rsidRDefault="000D640C" w:rsidP="003216CC">
      <w:pPr>
        <w:pStyle w:val="Heading3"/>
        <w:ind w:left="567" w:hanging="567"/>
      </w:pPr>
      <w:r>
        <w:t xml:space="preserve">Por último, na maioria dos Estados-Membros, os parceiros sociais e as organizações da sociedade civil sublinham a necessidade de uma participação mais precoce, mais estruturada e mais substantiva em todo o ciclo político (da conceção à aplicação e avaliação), em vez de consultas tardias, processuais ou realizadas numa base </w:t>
      </w:r>
      <w:r>
        <w:rPr>
          <w:i/>
        </w:rPr>
        <w:t>ad hoc</w:t>
      </w:r>
      <w:r>
        <w:t>. Na BE, na DE, em ES (GIII), na PL, em PT, na SI e na SK, os inquiridos consideram que os governos devem responder aos contributos e explicar por que razão as propostas são aceites ou rejeitadas. Os inquiridos da BE, da CZ, da HU, de MT e da PL salientam a necessidade de reforçar a capacidade e os recursos dos parceiros sociais e das organizações da sociedade civil, em especial através da melhoria do apoio financeiro, das oportunidades de formação e do reforço das capacidades institucionais, a fim de permitir uma participação mais eficaz no processo do Semestre Europeu. Os inquiridos de AT, da DK (GII e GIII), da EL, de ES (GII e GIII), da HR (GII e GIII), de IT, do LU e da SI salientam a necessidade de mecanismos de diálogo mais estruturados e institucionalizados, incluindo quadros formalizados, processos de consulta estáveis e previsíveis e fóruns regularmente agendados para assegurar uma participação sistemática e contínua.</w:t>
      </w:r>
    </w:p>
    <w:p w14:paraId="6CC4D608" w14:textId="77777777" w:rsidR="00A46347" w:rsidRPr="00BF727A" w:rsidRDefault="00A46347" w:rsidP="003216CC">
      <w:pPr>
        <w:rPr>
          <w:szCs w:val="22"/>
        </w:rPr>
      </w:pPr>
    </w:p>
    <w:p w14:paraId="5653E771" w14:textId="4D64282B" w:rsidR="00A46347" w:rsidRPr="00BF727A" w:rsidRDefault="00A46347" w:rsidP="003216CC">
      <w:pPr>
        <w:pStyle w:val="Heading2"/>
        <w:keepNext/>
        <w:rPr>
          <w:szCs w:val="22"/>
        </w:rPr>
      </w:pPr>
      <w:r>
        <w:rPr>
          <w:i/>
        </w:rPr>
        <w:t>Secção II: Execução e acompanhamento dos planos orçamentais-estruturais nacionais de médio prazo</w:t>
      </w:r>
    </w:p>
    <w:p w14:paraId="690038E2" w14:textId="77777777" w:rsidR="003E4090" w:rsidRPr="00BF727A" w:rsidRDefault="003E4090" w:rsidP="003216CC">
      <w:pPr>
        <w:keepNext/>
        <w:rPr>
          <w:szCs w:val="22"/>
        </w:rPr>
      </w:pPr>
    </w:p>
    <w:p w14:paraId="65D31355" w14:textId="77777777" w:rsidR="000D640C" w:rsidRPr="00BF727A" w:rsidRDefault="000D640C" w:rsidP="003216CC">
      <w:pPr>
        <w:rPr>
          <w:b/>
          <w:szCs w:val="22"/>
        </w:rPr>
      </w:pPr>
      <w:r>
        <w:rPr>
          <w:u w:val="single"/>
        </w:rPr>
        <w:t>Pergunta 5:</w:t>
      </w:r>
      <w:r>
        <w:t xml:space="preserve"> </w:t>
      </w:r>
      <w:r>
        <w:rPr>
          <w:b/>
        </w:rPr>
        <w:t>Dispõe das capacidades e dos recursos necessários (administrativos, conhecimentos, tempo, etc.) para acompanhar a execução do plano do seu país e do relatório anual sobre os progressos? Em caso negativo, do que necessita para assegurar essas capacidades?</w:t>
      </w:r>
    </w:p>
    <w:p w14:paraId="2FFB57CF" w14:textId="77777777" w:rsidR="00F6672F" w:rsidRPr="00BF727A" w:rsidRDefault="00F6672F" w:rsidP="003216CC">
      <w:pPr>
        <w:rPr>
          <w:szCs w:val="22"/>
        </w:rPr>
      </w:pPr>
    </w:p>
    <w:p w14:paraId="6D9984E9" w14:textId="20720450" w:rsidR="000D640C" w:rsidRPr="00BF727A" w:rsidRDefault="00FA59C6" w:rsidP="003216CC">
      <w:pPr>
        <w:pStyle w:val="Heading3"/>
        <w:ind w:left="567" w:hanging="567"/>
      </w:pPr>
      <w:r>
        <w:t>Os parceiros sociais e as organizações da sociedade civil na maioria dos Estados-Membros consideram que dispõem de capacidade administrativa suficiente para acompanhar a execução em teoria, mas salientam que a capacidade é desigual na prática e fortemente limitada pela pressão do tempo, pela carga de trabalho e pelos recursos limitados (especialmente para as organizações de menor dimensão). A assimetria de capacidade entre organizações é uma questão estrutural recorrente. Além disso, os inquiridos indicam geralmente que possuem os conhecimentos e a compreensão analítica necessários. No entanto, estes estão distribuídos de forma desigual e insuficientemente estruturados.</w:t>
      </w:r>
    </w:p>
    <w:p w14:paraId="358CC11A" w14:textId="77777777" w:rsidR="000D640C" w:rsidRPr="00BF727A" w:rsidRDefault="000D640C" w:rsidP="003216CC">
      <w:pPr>
        <w:pStyle w:val="Heading3"/>
        <w:numPr>
          <w:ilvl w:val="0"/>
          <w:numId w:val="0"/>
        </w:numPr>
        <w:ind w:left="720"/>
      </w:pPr>
    </w:p>
    <w:p w14:paraId="73D8CFFE" w14:textId="3F507E39" w:rsidR="000D640C" w:rsidRPr="00BF727A" w:rsidRDefault="00C76E5D" w:rsidP="003216CC">
      <w:pPr>
        <w:pStyle w:val="Heading3"/>
        <w:ind w:left="567" w:hanging="567"/>
      </w:pPr>
      <w:r>
        <w:t>Os parceiros sociais e as organizações da sociedade civil na BE, na BG, na DK (GII), em ES (GII), em FR, na HR, em IT (GII), em PT e na SI informam que, embora tenham tempo para acompanhar o processo, é insuficiente para analisar de forma adequada as informações, efetuar consultas e fornecer contributos substantivos.</w:t>
      </w:r>
    </w:p>
    <w:p w14:paraId="5FB04366" w14:textId="77777777" w:rsidR="000D640C" w:rsidRPr="00BF727A" w:rsidRDefault="000D640C" w:rsidP="003216CC">
      <w:pPr>
        <w:pStyle w:val="Heading3"/>
        <w:numPr>
          <w:ilvl w:val="0"/>
          <w:numId w:val="0"/>
        </w:numPr>
        <w:ind w:left="720"/>
      </w:pPr>
    </w:p>
    <w:p w14:paraId="08169146" w14:textId="41E49A1F" w:rsidR="000D640C" w:rsidRPr="00BF727A" w:rsidRDefault="000D640C" w:rsidP="003216CC">
      <w:pPr>
        <w:pStyle w:val="Heading3"/>
        <w:ind w:left="567" w:hanging="567"/>
      </w:pPr>
      <w:r>
        <w:t xml:space="preserve">Além disso, os inquiridos na BE, na DE, em IT (GIII) e na LT sublinham que, mesmo quando existe capacidade, o acompanhamento é limitado pela falta de transparência, pela fragmentação </w:t>
      </w:r>
      <w:r>
        <w:lastRenderedPageBreak/>
        <w:t>da comunicação de informações e pelo fornecimento insuficiente de dados atempados ou utilizáveis por parte dos poderes públicos.</w:t>
      </w:r>
    </w:p>
    <w:p w14:paraId="64CFEF83" w14:textId="77777777" w:rsidR="000D640C" w:rsidRPr="00BF727A" w:rsidRDefault="000D640C" w:rsidP="003216CC">
      <w:pPr>
        <w:pStyle w:val="Heading3"/>
        <w:numPr>
          <w:ilvl w:val="0"/>
          <w:numId w:val="0"/>
        </w:numPr>
        <w:ind w:left="720"/>
      </w:pPr>
    </w:p>
    <w:p w14:paraId="0EE3CB25" w14:textId="5165A5A5" w:rsidR="000D640C" w:rsidRPr="00BF727A" w:rsidRDefault="000D640C" w:rsidP="003216CC">
      <w:pPr>
        <w:pStyle w:val="Heading3"/>
        <w:ind w:left="567" w:hanging="567"/>
        <w:rPr>
          <w:kern w:val="28"/>
          <w:u w:val="single"/>
        </w:rPr>
      </w:pPr>
      <w:r>
        <w:t>Por último, os parceiros sociais e a sociedade civil da CZ (GIII), da DK (GIII), da HU, da IE, de IT (GIII), de MT, dos NL, da PL, da RO (GI e GIII), da SI e da SK salientam que não dispõem de recursos institucionais suficientes para acompanhar sistematicamente a execução, mesmo quando possuem alguns conhecimentos técnicos.</w:t>
      </w:r>
    </w:p>
    <w:p w14:paraId="4752E47D" w14:textId="77777777" w:rsidR="00B6623A" w:rsidRPr="00BF727A" w:rsidRDefault="00B6623A" w:rsidP="003216CC">
      <w:pPr>
        <w:rPr>
          <w:szCs w:val="22"/>
        </w:rPr>
      </w:pPr>
    </w:p>
    <w:p w14:paraId="52147563" w14:textId="52AB0762" w:rsidR="00A46347" w:rsidRPr="00BF727A" w:rsidRDefault="00A46347" w:rsidP="003216CC">
      <w:pPr>
        <w:pStyle w:val="Heading2"/>
        <w:keepNext/>
        <w:ind w:left="567" w:hanging="567"/>
        <w:rPr>
          <w:szCs w:val="22"/>
        </w:rPr>
      </w:pPr>
      <w:r>
        <w:rPr>
          <w:i/>
        </w:rPr>
        <w:t>Secção III: Conclusão das reformas e dos investimentos previstos nos planos nacionais de recuperação e resiliência</w:t>
      </w:r>
    </w:p>
    <w:p w14:paraId="75E838F8" w14:textId="77777777" w:rsidR="00656F0B" w:rsidRPr="00BF727A" w:rsidRDefault="00656F0B" w:rsidP="003216CC">
      <w:pPr>
        <w:keepNext/>
        <w:rPr>
          <w:kern w:val="28"/>
          <w:szCs w:val="22"/>
          <w:u w:val="single"/>
        </w:rPr>
      </w:pPr>
    </w:p>
    <w:p w14:paraId="7125102B" w14:textId="6EB0DF06" w:rsidR="000D640C" w:rsidRPr="00BF727A" w:rsidRDefault="000D640C" w:rsidP="003216CC">
      <w:pPr>
        <w:rPr>
          <w:b/>
          <w:szCs w:val="22"/>
        </w:rPr>
      </w:pPr>
      <w:r>
        <w:rPr>
          <w:u w:val="single"/>
        </w:rPr>
        <w:t>Pergunta 6:</w:t>
      </w:r>
      <w:r>
        <w:rPr>
          <w:b/>
        </w:rPr>
        <w:t xml:space="preserve"> Como avalia os progressos realizados na execução do plano nacional de recuperação e resiliência do seu país?</w:t>
      </w:r>
    </w:p>
    <w:p w14:paraId="6FFCBEE8" w14:textId="77777777" w:rsidR="000D640C" w:rsidRPr="00BF727A" w:rsidRDefault="000D640C" w:rsidP="003216CC">
      <w:pPr>
        <w:rPr>
          <w:b/>
          <w:szCs w:val="22"/>
        </w:rPr>
      </w:pPr>
    </w:p>
    <w:p w14:paraId="73E1EB92" w14:textId="61A850FC" w:rsidR="000D640C" w:rsidRPr="00BF727A" w:rsidRDefault="000D640C" w:rsidP="003216CC">
      <w:pPr>
        <w:pStyle w:val="Heading3"/>
        <w:ind w:left="567" w:hanging="567"/>
      </w:pPr>
      <w:r>
        <w:t>Na AT (GI), na BG, em CY (GIII), na CZ (GI e GIII), na EE (GI), na EL, em ES, em FR, na HR, na IE, em IT (GI e GIII ), no LU, em MT, em PT, na SE e na SI, os parceiros sociais e as organizações da sociedade civil consideram que a execução dos planos nacionais de recuperação e resiliência está a progredir bem, com o cumprimento de muitos marcos e metas, e que as reformas e os investimentos estão a avançar, mesmo que de forma desigual ou incompleta.</w:t>
      </w:r>
    </w:p>
    <w:p w14:paraId="3D17438B" w14:textId="77777777" w:rsidR="000D640C" w:rsidRPr="00BF727A" w:rsidRDefault="000D640C" w:rsidP="003216CC">
      <w:pPr>
        <w:pStyle w:val="Heading3"/>
        <w:numPr>
          <w:ilvl w:val="0"/>
          <w:numId w:val="0"/>
        </w:numPr>
        <w:ind w:left="720"/>
      </w:pPr>
    </w:p>
    <w:p w14:paraId="4086ED82" w14:textId="22073AC0" w:rsidR="000D640C" w:rsidRPr="00BF727A" w:rsidRDefault="000D640C" w:rsidP="003216CC">
      <w:pPr>
        <w:pStyle w:val="Heading3"/>
        <w:ind w:left="567" w:hanging="567"/>
      </w:pPr>
      <w:r>
        <w:t>No entanto, muitos realçam os desafios de execução que subsistem. Por exemplo, sublinham os atuais condicionalismos que afetam a rapidez e a eficácia da execução. Os inquiridos da EL referem atrasos causados pela organização dos serviços responsáveis pela gestão dos recursos e pela sua escassez de pessoal, a falta de prazos intercalares obrigatórios para a execução dos projetos para além das fases acordadas com a UE e um acompanhamento insuficiente da execução dos projetos. Na HR e em IT, os inquiridos consideram que um dos principais desafios à execução é a necessidade de reforçar a capacidade administrativa. Os inquiridos de PT observam igualmente que é pouco provável que o país seja capaz de executar todo o plano.</w:t>
      </w:r>
    </w:p>
    <w:p w14:paraId="13526F0B" w14:textId="77777777" w:rsidR="000D640C" w:rsidRPr="00BF727A" w:rsidRDefault="000D640C" w:rsidP="003216CC">
      <w:pPr>
        <w:rPr>
          <w:szCs w:val="22"/>
        </w:rPr>
      </w:pPr>
    </w:p>
    <w:p w14:paraId="5C7AB22A" w14:textId="10DDF89E" w:rsidR="000D640C" w:rsidRPr="00BF727A" w:rsidRDefault="000D640C" w:rsidP="003216CC">
      <w:pPr>
        <w:pStyle w:val="Heading3"/>
        <w:ind w:left="567" w:hanging="567"/>
      </w:pPr>
      <w:r>
        <w:t>Além disso, alguns inquiridos sublinham igualmente a importância das reformas para além das despesas, salientando que o impacto estrutural ainda é incerto e que a execução financeira ainda não se traduziu plenamente numa transformação estrutural mais profunda. Por exemplo, os inquiridos da SI afirmam que o impacto global destas medidas continua a ser pouco claro, enquanto os de IT observam que o plano ainda não produziu efeitos visíveis em termos de reformas administrativas, modernização das infraestruturas, maior competitividade do sistema de produção no seu conjunto ou aumento do capital humano e das competências necessárias para o desenvolvimento. Além disso, os inquiridos da IE, de IT e da LT sublinham os desafios sociais remanescentes, como a pobreza e as insuficiências na habitação social e a preços acessíveis e na integração de grupos vulneráveis no mercado de trabalho.</w:t>
      </w:r>
    </w:p>
    <w:p w14:paraId="6A11E5CC" w14:textId="77777777" w:rsidR="000D640C" w:rsidRPr="00BF727A" w:rsidRDefault="000D640C" w:rsidP="003216CC">
      <w:pPr>
        <w:pStyle w:val="Heading3"/>
        <w:numPr>
          <w:ilvl w:val="0"/>
          <w:numId w:val="0"/>
        </w:numPr>
        <w:ind w:left="720"/>
      </w:pPr>
    </w:p>
    <w:p w14:paraId="4BA9BC91" w14:textId="1955DC08" w:rsidR="000D640C" w:rsidRPr="00BF727A" w:rsidRDefault="000D640C" w:rsidP="003216CC">
      <w:pPr>
        <w:pStyle w:val="Heading3"/>
        <w:ind w:left="567" w:hanging="567"/>
      </w:pPr>
      <w:r>
        <w:t>Na AT (GII), na CY (GI), na DE, na DK (GII e GIII), na FI, em IT (GII e GIII), na LV, na PL e na SK, os parceiros sociais e as organizações da sociedade civil são neutros nesta matéria. De um modo geral, consideram que se registaram progressos, mas que ainda é difícil avaliá-los plenamente. O impacto, o ritmo e a eficácia reais da execução continuam a ser incertos ou limitados por questões administrativas e processuais.</w:t>
      </w:r>
    </w:p>
    <w:p w14:paraId="49B3F160" w14:textId="77777777" w:rsidR="000D640C" w:rsidRPr="00BF727A" w:rsidRDefault="000D640C" w:rsidP="003216CC">
      <w:pPr>
        <w:pStyle w:val="Heading3"/>
        <w:numPr>
          <w:ilvl w:val="0"/>
          <w:numId w:val="0"/>
        </w:numPr>
        <w:ind w:left="720"/>
      </w:pPr>
    </w:p>
    <w:p w14:paraId="4BE0FBD2" w14:textId="5D0911DD" w:rsidR="000D640C" w:rsidRPr="00BF727A" w:rsidRDefault="000D640C" w:rsidP="003216CC">
      <w:pPr>
        <w:pStyle w:val="Heading3"/>
        <w:ind w:left="567" w:hanging="567"/>
        <w:rPr>
          <w:kern w:val="28"/>
          <w:u w:val="single"/>
        </w:rPr>
      </w:pPr>
      <w:r>
        <w:lastRenderedPageBreak/>
        <w:t>Em AT (GIII), na EE (GII e GIII), em ES (GI), na HU, em IT (GII), nos NL e na RO, os parceiros sociais e as organizações da sociedade civil têm uma perceção negativa dos progressos realizados na execução do plano nacional de recuperação e resiliência do seu país. De um modo geral, destacam a sua fraca participação, o que contribui para planos mal concebidos, baixa apropriação e falhas de execução. Além disso, a maioria comunicou graves problemas de execução, incluindo atrasos, reformas estagnadas ou a incapacidade de cumprir prazos e metas. De acordo com os inquiridos na AT (GIII), em ES (GI) e na RO, a fraca capacidade administrativa e os procedimentos onerosos estão a atrasar a execução e a absorção dos fundos. Os problemas recorrentes são os processos pouco claros, a falta de informações acessíveis e a fraca responsabilização.</w:t>
      </w:r>
    </w:p>
    <w:p w14:paraId="69EA1C97" w14:textId="77777777" w:rsidR="000D640C" w:rsidRPr="00BF727A" w:rsidRDefault="000D640C" w:rsidP="003216CC">
      <w:pPr>
        <w:rPr>
          <w:kern w:val="28"/>
          <w:szCs w:val="22"/>
          <w:u w:val="single"/>
        </w:rPr>
      </w:pPr>
    </w:p>
    <w:p w14:paraId="68DE7269" w14:textId="042DC64D" w:rsidR="00656F0B" w:rsidRPr="00BF727A" w:rsidRDefault="00656F0B" w:rsidP="00266D04">
      <w:pPr>
        <w:keepNext/>
        <w:keepLines/>
        <w:rPr>
          <w:b/>
          <w:szCs w:val="22"/>
        </w:rPr>
      </w:pPr>
      <w:r>
        <w:rPr>
          <w:u w:val="single"/>
        </w:rPr>
        <w:t>Pergunta 7:</w:t>
      </w:r>
      <w:r>
        <w:t xml:space="preserve"> </w:t>
      </w:r>
      <w:r>
        <w:rPr>
          <w:b/>
        </w:rPr>
        <w:t>Visto que se prevê que o Mecanismo de Recuperação e Resiliência (MRR) termine no final de 2026, quais são as principais lições aprendidas com este instrumento, tanto positivas como negativas?</w:t>
      </w:r>
    </w:p>
    <w:p w14:paraId="3971F47C" w14:textId="77777777" w:rsidR="000D640C" w:rsidRPr="00BF727A" w:rsidRDefault="000D640C" w:rsidP="00266D04">
      <w:pPr>
        <w:keepNext/>
        <w:keepLines/>
        <w:rPr>
          <w:kern w:val="28"/>
          <w:szCs w:val="22"/>
          <w:u w:val="single"/>
        </w:rPr>
      </w:pPr>
    </w:p>
    <w:p w14:paraId="0BBB5DB6" w14:textId="58DE7204" w:rsidR="000D640C" w:rsidRPr="00BF727A" w:rsidRDefault="000D640C" w:rsidP="003216CC">
      <w:pPr>
        <w:pStyle w:val="Heading3"/>
        <w:ind w:left="567" w:hanging="567"/>
      </w:pPr>
      <w:r>
        <w:rPr>
          <w:b/>
        </w:rPr>
        <w:t>Quanto aos ensinamentos positivos retirados</w:t>
      </w:r>
      <w:r>
        <w:t>, os parceiros sociais e as organizações da sociedade civil da BE, da CZ (GI e GII), da EL, de ES, da IE, de IT, da LV, de MT, da PL, da RO (GI e GIII), da SE, da SI e de SK afirmam que o MRR associa com êxito as reformas aos investimentos, impulsionando simultaneamente as prioridades estratégicas (ecológica, digital e de resiliência), tanto a nível nacional como da UE. O MRR é, em geral, valorizado por articular financiamento com reformas e por coadunar as despesas com as prioridades a longo prazo da UE, o que o torna mais estratégico do que os instrumentos tradicionais.</w:t>
      </w:r>
    </w:p>
    <w:p w14:paraId="2E06B867" w14:textId="77777777" w:rsidR="000D640C" w:rsidRPr="00BF727A" w:rsidRDefault="000D640C" w:rsidP="003216CC">
      <w:pPr>
        <w:pStyle w:val="Heading3"/>
        <w:numPr>
          <w:ilvl w:val="0"/>
          <w:numId w:val="0"/>
        </w:numPr>
        <w:ind w:left="720"/>
      </w:pPr>
    </w:p>
    <w:p w14:paraId="52DD247A" w14:textId="2F9DA485" w:rsidR="000D640C" w:rsidRPr="00BF727A" w:rsidRDefault="000D640C" w:rsidP="003216CC">
      <w:pPr>
        <w:pStyle w:val="Heading3"/>
        <w:ind w:left="567" w:hanging="567"/>
      </w:pPr>
      <w:r>
        <w:t xml:space="preserve">Além disso, de acordo com os inquiridos na DE, em ES (GI e GII), em IT, na LT e na SK, o MRR demonstrou um forte valor acrescentado da UE através da solidariedade, da escala e da coordenação, especialmente em situações de crise. Consideram que gera efeitos indiretos positivos no interior dos Estados-Membros e entre eles. </w:t>
      </w:r>
    </w:p>
    <w:p w14:paraId="08CD4D17" w14:textId="77777777" w:rsidR="000D640C" w:rsidRPr="00BF727A" w:rsidRDefault="000D640C" w:rsidP="003216CC">
      <w:pPr>
        <w:pStyle w:val="Heading3"/>
        <w:numPr>
          <w:ilvl w:val="0"/>
          <w:numId w:val="0"/>
        </w:numPr>
        <w:ind w:left="720"/>
      </w:pPr>
    </w:p>
    <w:p w14:paraId="47132CFE" w14:textId="4C360E83" w:rsidR="000D640C" w:rsidRPr="00BF727A" w:rsidRDefault="000D640C" w:rsidP="003216CC">
      <w:pPr>
        <w:pStyle w:val="Heading3"/>
        <w:ind w:left="567" w:hanging="567"/>
      </w:pPr>
      <w:r>
        <w:t>Além disso, outra lição fundamental que os inquiridos da CZ (GI e GII), da EL, de ES (GI), de IT, da RO (GI) e da SI sublinham é a eficácia de uma abordagem de governação baseada no desempenho (baseada nos resultados), que, na sua opinião, reforça a execução das políticas.</w:t>
      </w:r>
    </w:p>
    <w:p w14:paraId="45B1EA9C" w14:textId="77777777" w:rsidR="000D640C" w:rsidRPr="00BF727A" w:rsidRDefault="000D640C" w:rsidP="003216CC">
      <w:pPr>
        <w:pStyle w:val="Heading3"/>
        <w:numPr>
          <w:ilvl w:val="0"/>
          <w:numId w:val="0"/>
        </w:numPr>
        <w:ind w:left="720"/>
      </w:pPr>
    </w:p>
    <w:p w14:paraId="55823072" w14:textId="50D7A80E" w:rsidR="000D640C" w:rsidRPr="00BF727A" w:rsidRDefault="000D640C" w:rsidP="003216CC">
      <w:pPr>
        <w:pStyle w:val="Heading3"/>
        <w:ind w:left="567" w:hanging="567"/>
      </w:pPr>
      <w:r>
        <w:t>Por último, alguns inquiridos na BE, na DK (GII), na HR (GI), em IT e na RO observam igualmente que o MRR contribui para melhorar as práticas de governação e a coordenação entre os intervenientes.</w:t>
      </w:r>
    </w:p>
    <w:p w14:paraId="7E897414" w14:textId="77777777" w:rsidR="000D640C" w:rsidRPr="00D57DC2" w:rsidRDefault="000D640C" w:rsidP="00266D04">
      <w:pPr>
        <w:pStyle w:val="ListParagraph"/>
        <w:spacing w:line="288" w:lineRule="auto"/>
        <w:ind w:left="-115"/>
        <w:jc w:val="both"/>
        <w:rPr>
          <w:rFonts w:ascii="Times New Roman" w:hAnsi="Times New Roman" w:cs="Times New Roman"/>
          <w:noProof w:val="0"/>
          <w:sz w:val="22"/>
          <w:szCs w:val="22"/>
        </w:rPr>
      </w:pPr>
    </w:p>
    <w:p w14:paraId="7A372E54" w14:textId="62563CCF" w:rsidR="000D640C" w:rsidRPr="00BF727A" w:rsidRDefault="000D640C" w:rsidP="003216CC">
      <w:pPr>
        <w:pStyle w:val="Heading3"/>
        <w:ind w:left="567" w:hanging="567"/>
      </w:pPr>
      <w:r>
        <w:rPr>
          <w:b/>
        </w:rPr>
        <w:t>Quanto aos ensinamentos negativos retirados</w:t>
      </w:r>
      <w:r>
        <w:t>, os parceiros sociais e as organizações da sociedade civil da AT, da BE, de CY, da EL, de ES, de FR, da HR, de IT e da SK dão conta que o instrumento constitui um encargo administrativo pesado que é extremamente complexo, muitas vezes associado a limitações de capacidade e aos consequentes atrasos ou ineficiências na execução. O MRR é amplamente considerado demasiado complexo e oneroso, o que atrasa a execução, limita o acesso e reduz a eficácia global.</w:t>
      </w:r>
    </w:p>
    <w:p w14:paraId="31F95184" w14:textId="77777777" w:rsidR="000D640C" w:rsidRPr="00BF727A" w:rsidRDefault="000D640C" w:rsidP="003216CC">
      <w:pPr>
        <w:pStyle w:val="Heading3"/>
        <w:numPr>
          <w:ilvl w:val="0"/>
          <w:numId w:val="0"/>
        </w:numPr>
        <w:ind w:left="720"/>
      </w:pPr>
    </w:p>
    <w:p w14:paraId="162DDDEF" w14:textId="4EA46C71" w:rsidR="00770974" w:rsidRPr="00BF727A" w:rsidRDefault="000D640C" w:rsidP="003216CC">
      <w:pPr>
        <w:pStyle w:val="Heading3"/>
        <w:ind w:left="567" w:hanging="567"/>
      </w:pPr>
      <w:r>
        <w:t xml:space="preserve">Acresce que o grau de participação dos parceiros sociais e da sociedade civil é frequentemente criticado nas respostas da AT, da CZ, da DK, da EL, de ES, de IT, dos NL, da RO e da SI, sendo muitas vezes considerado insuficiente, tardio ou meramente processual, o que enfraquece </w:t>
      </w:r>
      <w:r>
        <w:lastRenderedPageBreak/>
        <w:t>a apropriação e a qualidade das políticas. Os inquiridos da BE, de ES, de IT e da RO salientam igualmente que a governação é frequentemente considerada demasiado centralizada, insuficientemente transparente e não inclusiva.</w:t>
      </w:r>
    </w:p>
    <w:p w14:paraId="4795182A" w14:textId="77777777" w:rsidR="00770974" w:rsidRPr="00BF727A" w:rsidRDefault="00770974" w:rsidP="003216CC">
      <w:pPr>
        <w:pStyle w:val="Heading3"/>
        <w:numPr>
          <w:ilvl w:val="0"/>
          <w:numId w:val="0"/>
        </w:numPr>
        <w:ind w:left="720"/>
      </w:pPr>
    </w:p>
    <w:p w14:paraId="22952410" w14:textId="4EE17CF5" w:rsidR="00656F0B" w:rsidRPr="00BF727A" w:rsidRDefault="000D640C" w:rsidP="003216CC">
      <w:pPr>
        <w:pStyle w:val="Heading3"/>
      </w:pPr>
      <w:r>
        <w:t>Além disso, alguns inquiridos de ES, da PL, da SI e da SK salientam os limites da abordagem baseada no desempenho (marcos): embora útil, é também criticada por incentivar o cumprimento formal em detrimento do impacto real. Pode criar rigidez e centrar-se mais nos procedimentos do que nos resultados.</w:t>
      </w:r>
    </w:p>
    <w:p w14:paraId="20F8011F" w14:textId="77777777" w:rsidR="00F6672F" w:rsidRPr="00BF727A" w:rsidRDefault="00F6672F" w:rsidP="003216CC"/>
    <w:p w14:paraId="2E481799" w14:textId="38A7033C" w:rsidR="00770974" w:rsidRPr="00BF727A" w:rsidRDefault="00976333" w:rsidP="003216CC">
      <w:pPr>
        <w:pStyle w:val="Heading3"/>
      </w:pPr>
      <w:r>
        <w:t>Os parceiros sociais e as organizações da sociedade civil de IT, dos NL, da RO e da SI sublinham o calendário apertado, por muitos perspetivado como problemático. O prazo cria pressão e riscos para a qualidade e provoca uma execução apressada.</w:t>
      </w:r>
    </w:p>
    <w:p w14:paraId="31415D17" w14:textId="77777777" w:rsidR="00770974" w:rsidRPr="00BF727A" w:rsidRDefault="00770974" w:rsidP="003216CC">
      <w:pPr>
        <w:pStyle w:val="Heading3"/>
        <w:numPr>
          <w:ilvl w:val="0"/>
          <w:numId w:val="0"/>
        </w:numPr>
        <w:ind w:left="720"/>
      </w:pPr>
    </w:p>
    <w:p w14:paraId="7304F23C" w14:textId="69FADB3F" w:rsidR="000D640C" w:rsidRPr="00BF727A" w:rsidRDefault="000D640C" w:rsidP="003216CC">
      <w:pPr>
        <w:pStyle w:val="Heading3"/>
        <w:ind w:left="567" w:hanging="567"/>
      </w:pPr>
      <w:r>
        <w:t>Por último, os inquiridos de CY, de ES, da HR e da SK salientam o acesso limitado e a participação desigual (especialmente para as PME), salientando que os intervenientes de menor dimensão enfrentam desvantagens estruturais e que o sistema tende a favorecer os intervenientes de maior dimensão.</w:t>
      </w:r>
    </w:p>
    <w:p w14:paraId="42B60013" w14:textId="77777777" w:rsidR="000D640C" w:rsidRPr="00BF727A" w:rsidRDefault="000D640C" w:rsidP="003216CC">
      <w:pPr>
        <w:rPr>
          <w:szCs w:val="22"/>
        </w:rPr>
      </w:pPr>
    </w:p>
    <w:p w14:paraId="5B2DB67D" w14:textId="13691DA3" w:rsidR="000D640C" w:rsidRPr="00BF727A" w:rsidRDefault="000D640C" w:rsidP="003216CC">
      <w:pPr>
        <w:pStyle w:val="Heading3"/>
        <w:ind w:left="567" w:hanging="567"/>
      </w:pPr>
      <w:r>
        <w:t>Secção IV: Ligação entre o QFP e o Semestre Europeu</w:t>
      </w:r>
    </w:p>
    <w:p w14:paraId="452ED896" w14:textId="77777777" w:rsidR="000D640C" w:rsidRPr="00BF727A" w:rsidRDefault="000D640C" w:rsidP="003216CC">
      <w:pPr>
        <w:rPr>
          <w:kern w:val="28"/>
          <w:szCs w:val="22"/>
        </w:rPr>
      </w:pPr>
    </w:p>
    <w:p w14:paraId="01D14EBC" w14:textId="282B0491" w:rsidR="003B363C" w:rsidRPr="00BF727A" w:rsidRDefault="000D640C" w:rsidP="00266D04">
      <w:pPr>
        <w:keepNext/>
        <w:keepLines/>
        <w:rPr>
          <w:b/>
          <w:szCs w:val="22"/>
        </w:rPr>
      </w:pPr>
      <w:r>
        <w:rPr>
          <w:u w:val="single"/>
        </w:rPr>
        <w:t>Pergunta 8</w:t>
      </w:r>
      <w:r>
        <w:t xml:space="preserve">: </w:t>
      </w:r>
      <w:r>
        <w:rPr>
          <w:b/>
        </w:rPr>
        <w:t>Que opinião tem da ligação que será estabelecida entre o Semestre Europeu e o próximo QFP?</w:t>
      </w:r>
    </w:p>
    <w:p w14:paraId="41DD1B7A" w14:textId="77777777" w:rsidR="00053CC9" w:rsidRPr="00BF727A" w:rsidRDefault="00053CC9" w:rsidP="00266D04">
      <w:pPr>
        <w:keepNext/>
        <w:keepLines/>
        <w:rPr>
          <w:b/>
          <w:szCs w:val="22"/>
        </w:rPr>
      </w:pPr>
    </w:p>
    <w:p w14:paraId="237F787B" w14:textId="14292EE6" w:rsidR="00053CC9" w:rsidRPr="00BF727A" w:rsidRDefault="00D56C6D" w:rsidP="003216CC">
      <w:pPr>
        <w:pStyle w:val="Heading3"/>
        <w:ind w:left="567" w:hanging="567"/>
      </w:pPr>
      <w:r>
        <w:t xml:space="preserve">Os parceiros sociais e as organizações da sociedade civil na AT, em CY (GI), na CZ (GI e GII), na EL, em ES, na FI, na HR (GI), na IE, em IT (GIII), na LT, na LV, em MT, em PT, na RO (GI) e na SK têm uma visão positiva da ligação que será estabelecida entre o Semestre Europeu e o próximo QFP. </w:t>
      </w:r>
    </w:p>
    <w:p w14:paraId="6C3DBFED" w14:textId="77777777" w:rsidR="00053CC9" w:rsidRPr="00BF727A" w:rsidRDefault="00053CC9" w:rsidP="003216CC">
      <w:pPr>
        <w:pStyle w:val="Heading3"/>
        <w:numPr>
          <w:ilvl w:val="0"/>
          <w:numId w:val="0"/>
        </w:numPr>
        <w:ind w:left="720"/>
      </w:pPr>
    </w:p>
    <w:p w14:paraId="17F8DE9C" w14:textId="0AF8FBC9" w:rsidR="00053CC9" w:rsidRPr="00BF727A" w:rsidRDefault="00053CC9" w:rsidP="003216CC">
      <w:pPr>
        <w:pStyle w:val="Heading3"/>
        <w:ind w:left="567" w:hanging="567"/>
      </w:pPr>
      <w:r>
        <w:t xml:space="preserve">Além disso, os inquiridos da EL, de ES, da IE, da LT, da LV, da RO e da SK observam que associar o Semestre Europeu ao próximo QFP reforçaria a coordenação entre as recomendações da UE, as reformas nacionais e o financiamento da UE, tornando a execução das políticas mais coerente e eficaz. </w:t>
      </w:r>
    </w:p>
    <w:p w14:paraId="4180D5B9" w14:textId="77777777" w:rsidR="00053CC9" w:rsidRPr="00BF727A" w:rsidRDefault="00053CC9" w:rsidP="003216CC">
      <w:pPr>
        <w:pStyle w:val="Heading3"/>
        <w:numPr>
          <w:ilvl w:val="0"/>
          <w:numId w:val="0"/>
        </w:numPr>
        <w:ind w:left="720"/>
      </w:pPr>
    </w:p>
    <w:p w14:paraId="0693E5E3" w14:textId="0A1D1B4F" w:rsidR="00053CC9" w:rsidRPr="00BF727A" w:rsidRDefault="00701C9E" w:rsidP="003216CC">
      <w:pPr>
        <w:pStyle w:val="Heading3"/>
        <w:ind w:left="567" w:hanging="567"/>
      </w:pPr>
      <w:r>
        <w:t>Os inquiridos da AT, da CZ, da EL, de ES e de MT sublinham que, em princípio, apoiam a ligação, mas salientam que a condicionalidade não deve reduzir a autonomia e a flexibilidade nacionais. Alguns inquiridos da AT, de ES (GII) e de IT (GIII) alertam para a transferência excessiva de poder para o nível da UE ou para os governos centrais, acreditando que a centralização pode enfraquecer a legitimidade democrática.</w:t>
      </w:r>
    </w:p>
    <w:p w14:paraId="72E6FA79" w14:textId="77777777" w:rsidR="00053CC9" w:rsidRPr="00BF727A" w:rsidRDefault="00053CC9" w:rsidP="003216CC">
      <w:pPr>
        <w:pStyle w:val="Heading3"/>
        <w:numPr>
          <w:ilvl w:val="0"/>
          <w:numId w:val="0"/>
        </w:numPr>
        <w:ind w:left="720"/>
      </w:pPr>
    </w:p>
    <w:p w14:paraId="2223D8F6" w14:textId="1837CBAC" w:rsidR="00053CC9" w:rsidRPr="00BF727A" w:rsidRDefault="000972F0" w:rsidP="003216CC">
      <w:pPr>
        <w:pStyle w:val="Heading3"/>
        <w:ind w:left="567" w:hanging="567"/>
      </w:pPr>
      <w:r>
        <w:t xml:space="preserve">Os parceiros sociais e as organizações da sociedade civil da BE, da BG, de FR, da HR (GIII), da HU, de IT (GII e GIII), do LU, da RO (GII), da SE e da SI são neutros nesta matéria. Os da BE, de FR, da HR (GIII), da HU, de IT (GII), da SE e da SI mostram-se cautelosos quanto às implicações em termos de governação da ligação do financiamento da UE ao Semestre Europeu e particularmente preocupados com a condicionalidade, o poder de decisão e o equilíbrio institucional. Mesmo aqueles que não são contra a ligação consideram-na politicamente sensível, exigindo salvaguardas. </w:t>
      </w:r>
    </w:p>
    <w:p w14:paraId="54472983" w14:textId="77777777" w:rsidR="00053CC9" w:rsidRPr="00BF727A" w:rsidRDefault="00053CC9" w:rsidP="003216CC">
      <w:pPr>
        <w:pStyle w:val="Heading3"/>
        <w:numPr>
          <w:ilvl w:val="0"/>
          <w:numId w:val="0"/>
        </w:numPr>
        <w:ind w:left="720"/>
      </w:pPr>
    </w:p>
    <w:p w14:paraId="3904159E" w14:textId="328C3CE5" w:rsidR="00954E59" w:rsidRPr="00BF727A" w:rsidRDefault="00053CC9" w:rsidP="003216CC">
      <w:pPr>
        <w:pStyle w:val="Heading3"/>
        <w:ind w:left="567" w:hanging="567"/>
      </w:pPr>
      <w:r>
        <w:t xml:space="preserve">Além disso, os inquiridos da BE, da BG, de FR, da RO (GII) e da SI reconhecem as potenciais vantagens de associar o Semestre Europeu ao QFP, mas, de um modo geral, apenas em determinadas condições. Consideram que a abordagem poderia melhorar a coerência e a eficácia do financiamento da UE e o alinhamento das reformas, mas que o seu êxito depende da forma como essa ligação é concebida e aplicada. Tal como referido pelos inquiridos da SI, poderia coadunar melhor as prioridades de reformas com o financiamento da UE. No entanto, os inquiridos da RO (GII) consideram que, embora estejam a ser envidados esforços para melhorar o alinhamento, tal não garante uma aplicação eficiente, ao passo que, em FR, a ligação é considerada lógica e desejável, mas ainda pouco clara na sua forma prática. Do mesmo modo, os inquiridos da BE sublinham que pode ter efeitos positivos e negativos, dependendo da ambição e dos recursos, e salientam a natureza condicional e incerta dos seus potenciais benefícios. </w:t>
      </w:r>
    </w:p>
    <w:p w14:paraId="074DDB72" w14:textId="77777777" w:rsidR="00954E59" w:rsidRPr="00BF727A" w:rsidRDefault="00954E59" w:rsidP="003216CC">
      <w:pPr>
        <w:pStyle w:val="Heading3"/>
        <w:numPr>
          <w:ilvl w:val="0"/>
          <w:numId w:val="0"/>
        </w:numPr>
        <w:ind w:left="720"/>
      </w:pPr>
    </w:p>
    <w:p w14:paraId="49105FC1" w14:textId="4908E173" w:rsidR="00053CC9" w:rsidRPr="00BF727A" w:rsidRDefault="00053CC9" w:rsidP="003216CC">
      <w:pPr>
        <w:pStyle w:val="Heading3"/>
        <w:ind w:left="567" w:hanging="567"/>
      </w:pPr>
      <w:r>
        <w:t>Em IT (GII), no LU e na SI, uma preocupação recorrente é que os objetivos sociais e de coesão possam ser diluídos num modelo de financiamento mais centralizado. Os inquiridos consideram que a governação económica não deve ser feita em detrimento dos objetivos sociais.</w:t>
      </w:r>
    </w:p>
    <w:p w14:paraId="14364ECD" w14:textId="77777777" w:rsidR="00053CC9" w:rsidRPr="00BF727A" w:rsidRDefault="00053CC9" w:rsidP="003216CC">
      <w:pPr>
        <w:pStyle w:val="Heading3"/>
        <w:numPr>
          <w:ilvl w:val="0"/>
          <w:numId w:val="0"/>
        </w:numPr>
        <w:ind w:left="720"/>
      </w:pPr>
    </w:p>
    <w:p w14:paraId="29C40A6D" w14:textId="5FD0010D" w:rsidR="00053CC9" w:rsidRPr="00BF727A" w:rsidRDefault="00232131" w:rsidP="003216CC">
      <w:pPr>
        <w:pStyle w:val="Heading3"/>
        <w:ind w:left="567" w:hanging="567"/>
      </w:pPr>
      <w:r>
        <w:t>Os parceiros sociais e as organizações da sociedade civil na DE, na DK (GII e GIII), em IT (GI e GII), nos NL e na RO (GIII) têm uma visão negativa da ligação que será estabelecida entre o Semestre Europeu e o próximo QFP. A principal preocupação manifestada, nomeadamente na DK (GII e GIII), em IT (GI e GII) e nos NL, é que a ligação do Semestre Europeu ao próximo QFP pode reduzir o controlo democrático e limitar a participação significativa dos parceiros sociais, da sociedade civil e dos parlamentos nacionais, transferindo simultaneamente a tomada de decisões para processos tecnocráticos a nível da UE. Os inquiridos em IT, nos NL e na RO (GIII) estão preocupados com o risco de desequilíbrio entre as políticas e os objetivos sociais, económicos e ambientais. Os inquiridos da DK e de IT alertam igualmente para o risco de condicionalidade excessiva e de encargos administrativos excessivos: mais regras, mais burocracia e execução mais lenta dos fundos.</w:t>
      </w:r>
    </w:p>
    <w:p w14:paraId="75D57792" w14:textId="77777777" w:rsidR="00053CC9" w:rsidRPr="00BF727A" w:rsidRDefault="00053CC9" w:rsidP="003216CC">
      <w:pPr>
        <w:rPr>
          <w:b/>
          <w:szCs w:val="22"/>
        </w:rPr>
      </w:pPr>
    </w:p>
    <w:p w14:paraId="68AB3D39" w14:textId="2C99F6E2" w:rsidR="00053CC9" w:rsidRPr="00BF727A" w:rsidRDefault="00053CC9" w:rsidP="00266D04">
      <w:pPr>
        <w:keepNext/>
        <w:keepLines/>
        <w:rPr>
          <w:b/>
          <w:szCs w:val="22"/>
        </w:rPr>
      </w:pPr>
      <w:r>
        <w:rPr>
          <w:u w:val="single"/>
        </w:rPr>
        <w:t>Pergunta 9</w:t>
      </w:r>
      <w:r>
        <w:t xml:space="preserve">: </w:t>
      </w:r>
      <w:r>
        <w:rPr>
          <w:b/>
        </w:rPr>
        <w:t>Enquanto se aguardam os debates e as futuras negociações entre os colegisladores sobre a proposta da Comissão Europeia (que poderão ser concluídos em 2026 ou prolongar-se até 2027), com base na sua experiência, quais são os potenciais benefícios desse novo sistema e, ao mesmo tempo, os seus riscos e obstáculos?</w:t>
      </w:r>
    </w:p>
    <w:p w14:paraId="5BAB76C6" w14:textId="77777777" w:rsidR="00F6672F" w:rsidRPr="00BF727A" w:rsidRDefault="00F6672F" w:rsidP="00266D04">
      <w:pPr>
        <w:keepNext/>
        <w:keepLines/>
        <w:rPr>
          <w:b/>
          <w:szCs w:val="22"/>
        </w:rPr>
      </w:pPr>
    </w:p>
    <w:p w14:paraId="5DB76DD6" w14:textId="66CBE906" w:rsidR="00053CC9" w:rsidRPr="00BF727A" w:rsidRDefault="00053CC9" w:rsidP="003216CC">
      <w:pPr>
        <w:pStyle w:val="Heading3"/>
        <w:ind w:left="567" w:hanging="567"/>
      </w:pPr>
      <w:r>
        <w:rPr>
          <w:b/>
        </w:rPr>
        <w:t>Quanto aos potenciais benefícios</w:t>
      </w:r>
      <w:r>
        <w:t xml:space="preserve">, os parceiros sociais e as organizações da sociedade civil na BG, na CZ, em ES (GIII), na FI, na HR, em IT, na RO (GI) e na SI consideram que o novo sistema poderia melhorar a coerência estratégica, alinhando melhor o financiamento da UE pelas prioridades do Semestre Europeu (reformas, recomendações e necessidades de investimento). Tornaria as políticas mais coerentes, direcionadas e estrategicamente alinhadas. Na EL, na HR, em IT, na LV e em PT, os inquiridos esperam um sistema mais racionalizado, com menos encargos administrativos, simplificação e maior eficiência. Os inquiridos de ES (GII), da HR, de IT, da LV e da RO (GI) sublinham a eventual maior flexibilidade e adaptabilidade do financiamento. Uma vantagem recorrente salientada nas respostas da CZ, da EL, da HR, de IT e da SE é a melhoria da definição de prioridades e a ênfase nos resultados. Por último, os inquiridos da BE, da DE, da EL, de ES (GII), da HR (GIII), da PL e da SI salientam </w:t>
      </w:r>
      <w:r>
        <w:lastRenderedPageBreak/>
        <w:t>que a eficácia e os benefícios dependem do grau de inclusividade e transparência da governação, da legitimidade democrática e da participação das partes interessadas.</w:t>
      </w:r>
    </w:p>
    <w:p w14:paraId="58F5D100" w14:textId="77777777" w:rsidR="00F6672F" w:rsidRPr="00BF727A" w:rsidRDefault="00F6672F" w:rsidP="003216CC"/>
    <w:p w14:paraId="7B4F5D37" w14:textId="5885F128" w:rsidR="00053CC9" w:rsidRPr="00BF727A" w:rsidRDefault="00053CC9" w:rsidP="003216CC">
      <w:pPr>
        <w:pStyle w:val="Heading3"/>
        <w:ind w:left="567" w:hanging="567"/>
      </w:pPr>
      <w:r>
        <w:rPr>
          <w:b/>
        </w:rPr>
        <w:t>Quanto aos riscos potenciais</w:t>
      </w:r>
      <w:r>
        <w:t>, os parceiros sociais e as organizações da sociedade civil na AT, na DE, em ES (GII), em FR, na HR, em IT, na LV, na PL, em PT, na RO (GI e GII), na SE e na SI identificam o risco de centralização excessiva e perda de subsidiariedade, o que reduziria a autonomia nacional, regional e local na tomada de decisões. Esta situação é frequentemente combinada com preocupações quanto à diminuição da legitimidade democrática e à participação limitada das partes interessadas. Os inquiridos da BE, da CZ, da EL, de ES, de FR, da HR e da SK salientam o risco de aumento da burocracia e da complexidade e de uma maior carga administrativa. Além disso, os inquiridos da BG, da CZ, da EE, da EL, da IE e da SI assinalam o risco potencial de uma condicionalidade rígida, que poderia reduzir a adaptabilidade (flexibilidade) e abrandar a execução. Os inquiridos de ES, de FR, de IT, dos NL, da RO (GIII) e da SI salientam o risco potencial de um fraco equilíbrio social e de políticas sociais mais fracas.</w:t>
      </w:r>
    </w:p>
    <w:p w14:paraId="33B8C467" w14:textId="77777777" w:rsidR="00F6672F" w:rsidRPr="00BF727A" w:rsidRDefault="00F6672F" w:rsidP="003216CC"/>
    <w:p w14:paraId="18E7B123" w14:textId="1A043616" w:rsidR="00053CC9" w:rsidRPr="00BF727A" w:rsidRDefault="00053CC9" w:rsidP="003216CC">
      <w:pPr>
        <w:pStyle w:val="Heading3"/>
        <w:ind w:left="567" w:hanging="567"/>
        <w:rPr>
          <w:b/>
        </w:rPr>
      </w:pPr>
      <w:r>
        <w:rPr>
          <w:b/>
        </w:rPr>
        <w:t>Quanto aos potenciais obstáculos</w:t>
      </w:r>
      <w:r>
        <w:t>, os parceiros sociais e as organizações da sociedade civil na BE, na EL, em ES (GIII), em FR, na HR, em IT e nos NL consideram que o principal obstáculo potencial é o elevado risco de complexidade em matéria de governação e execução, especialmente devido aos desafios de coordenação a vários níveis (UE, nacional, regional), aos pesados encargos administrativos e à sobrecarga processual. Consideram que o sistema pode tornar-se demasiado complexo para ser gerido de forma eficaz, conduzindo a atrasos, ineficiências e problemas de coordenação entre os níveis de governação. Os inquiridos na BG, na CZ, em PT e na SI também destacam o desacordo político e a instabilidade a nível nacional como obstáculos que podem abrandar a execução.</w:t>
      </w:r>
    </w:p>
    <w:p w14:paraId="5C9AB65E" w14:textId="77777777" w:rsidR="00053CC9" w:rsidRPr="00BF727A" w:rsidRDefault="00053CC9" w:rsidP="003216CC">
      <w:pPr>
        <w:rPr>
          <w:b/>
          <w:szCs w:val="22"/>
        </w:rPr>
      </w:pPr>
    </w:p>
    <w:p w14:paraId="4B14B706" w14:textId="24713031" w:rsidR="00053CC9" w:rsidRPr="00BF727A" w:rsidRDefault="00053CC9" w:rsidP="00266D04">
      <w:pPr>
        <w:keepNext/>
        <w:keepLines/>
        <w:rPr>
          <w:b/>
          <w:szCs w:val="22"/>
        </w:rPr>
      </w:pPr>
      <w:r>
        <w:rPr>
          <w:u w:val="single"/>
        </w:rPr>
        <w:t>Pergunta 10</w:t>
      </w:r>
      <w:r>
        <w:t xml:space="preserve">: </w:t>
      </w:r>
      <w:r>
        <w:rPr>
          <w:b/>
        </w:rPr>
        <w:t>Na sua opinião, como poderemos assegurar uma participação forte e eficaz dos parceiros locais e regionais, dos parceiros sociais e das organizações da sociedade civil, bem como dos representantes dos setores e das indústrias?</w:t>
      </w:r>
    </w:p>
    <w:p w14:paraId="37BFD5ED" w14:textId="77777777" w:rsidR="00053CC9" w:rsidRPr="00BF727A" w:rsidRDefault="00053CC9" w:rsidP="00266D04">
      <w:pPr>
        <w:keepNext/>
        <w:keepLines/>
        <w:rPr>
          <w:b/>
          <w:szCs w:val="22"/>
        </w:rPr>
      </w:pPr>
    </w:p>
    <w:p w14:paraId="312C748E" w14:textId="24EBDFA3" w:rsidR="00053CC9" w:rsidRPr="00BF727A" w:rsidRDefault="00053CC9" w:rsidP="003216CC">
      <w:pPr>
        <w:pStyle w:val="Heading3"/>
        <w:ind w:left="567" w:hanging="567"/>
      </w:pPr>
      <w:r>
        <w:t>Em primeiro lugar, os parceiros sociais e as organizações da sociedade civil na maioria dos Estados-Membros sublinham que é fundamental que a Comissão Europeia elabore um regulamento da UE com orientações claras para os Estados-Membros sobre a forma de envolver os parceiros sociais e as organizações da sociedade civil de forma estrutural e significativa.</w:t>
      </w:r>
    </w:p>
    <w:p w14:paraId="11803B3D" w14:textId="77777777" w:rsidR="00053CC9" w:rsidRPr="00BF727A" w:rsidRDefault="00053CC9" w:rsidP="003216CC">
      <w:pPr>
        <w:pStyle w:val="Heading3"/>
        <w:numPr>
          <w:ilvl w:val="0"/>
          <w:numId w:val="0"/>
        </w:numPr>
        <w:ind w:left="720"/>
      </w:pPr>
    </w:p>
    <w:p w14:paraId="7F6D49DB" w14:textId="7CAE5F3D" w:rsidR="00053CC9" w:rsidRPr="00BF727A" w:rsidRDefault="00053CC9" w:rsidP="003216CC">
      <w:pPr>
        <w:pStyle w:val="Heading3"/>
        <w:ind w:left="567" w:hanging="567"/>
      </w:pPr>
      <w:r>
        <w:t>Em segundo lugar, os parceiros sociais e as organizações da sociedade civil na AT, na CZ, na DK (GII e GIII), na EE, em ES, na FI, em FR, na HR (GI e GIII), na HU, em IT, na LV, nos NL, em PT e na SI salientam que a Comissão Europeia deve propor também uma «verificação na ótica da sociedade civil», a fim de continuar a garantir a plena participação dos representantes nacionais da sociedade civil na elaboração, execução e avaliação dos planos.</w:t>
      </w:r>
    </w:p>
    <w:p w14:paraId="1EB74754" w14:textId="77777777" w:rsidR="00053CC9" w:rsidRPr="00BF727A" w:rsidRDefault="00053CC9" w:rsidP="003216CC">
      <w:pPr>
        <w:pStyle w:val="Heading3"/>
        <w:numPr>
          <w:ilvl w:val="0"/>
          <w:numId w:val="0"/>
        </w:numPr>
        <w:ind w:left="720"/>
      </w:pPr>
    </w:p>
    <w:p w14:paraId="7838233A" w14:textId="16471782" w:rsidR="00053CC9" w:rsidRPr="00BF727A" w:rsidRDefault="00053CC9" w:rsidP="003216CC">
      <w:pPr>
        <w:pStyle w:val="Heading3"/>
        <w:ind w:left="567" w:hanging="567"/>
      </w:pPr>
      <w:r>
        <w:t xml:space="preserve">Em terceiro lugar, os inquiridos da BG, da CZ, da DE, da DK, da EL, de ES, de FR (GIII), da HR (GI e GII), de IT, de MT, de PT, da SE, da SI e da SK consideram que a Comissão Europeia deve pedir aos parceiros sociais e às organizações da sociedade civil nacionais que apresentem propostas destinadas a dar resposta aos desafios identificados no Semestre Europeu, tomando como base os fatores impulsionadores das políticas, em especial quando esses desafios estão </w:t>
      </w:r>
      <w:r>
        <w:lastRenderedPageBreak/>
        <w:t>relacionados com questões sociais, laborais e do mercado de trabalho, conforme definidas no Quadro de Convergência Social.</w:t>
      </w:r>
    </w:p>
    <w:p w14:paraId="1CAC4D60" w14:textId="77777777" w:rsidR="00053CC9" w:rsidRPr="00BF727A" w:rsidRDefault="00053CC9" w:rsidP="003216CC">
      <w:pPr>
        <w:pStyle w:val="Heading3"/>
        <w:numPr>
          <w:ilvl w:val="0"/>
          <w:numId w:val="0"/>
        </w:numPr>
        <w:ind w:left="720"/>
      </w:pPr>
    </w:p>
    <w:p w14:paraId="19212588" w14:textId="75C832E3" w:rsidR="00053CC9" w:rsidRPr="00BF727A" w:rsidRDefault="00053CC9" w:rsidP="003216CC">
      <w:pPr>
        <w:pStyle w:val="Heading3"/>
        <w:ind w:left="567" w:hanging="567"/>
      </w:pPr>
      <w:r>
        <w:t>Em quarto lugar, os inquiridos da BG, da CZ, da EL, de ES, da IE, de IT (GII e GIII), da LV, de MT, de PT, da SI e da SK instam a Comissão Europeia a fazer da participação significativa dos parceiros sociais e das organizações da sociedade civil um critério para aprovar ou, na ausência de tal participação, rejeitar os planos nacionais.</w:t>
      </w:r>
    </w:p>
    <w:p w14:paraId="27A99B17" w14:textId="77777777" w:rsidR="00053CC9" w:rsidRPr="00BF727A" w:rsidRDefault="00053CC9" w:rsidP="003216CC">
      <w:pPr>
        <w:shd w:val="clear" w:color="auto" w:fill="FFFFFF" w:themeFill="background1"/>
        <w:rPr>
          <w:szCs w:val="22"/>
        </w:rPr>
      </w:pPr>
    </w:p>
    <w:p w14:paraId="30AF7C2D" w14:textId="02933B19" w:rsidR="00053CC9" w:rsidRPr="00BF727A" w:rsidRDefault="00053CC9" w:rsidP="003216CC">
      <w:pPr>
        <w:pStyle w:val="Heading3"/>
        <w:ind w:left="567" w:hanging="567"/>
      </w:pPr>
      <w:r>
        <w:t>Em quinto lugar, os parceiros sociais e as organizações da sociedade civil na DE, na EL, em ES, na HR, na IE, em IT, na LT, na LV, na PL e na SI salientam que a Comissão Europeia deve reforçar o princípio da parceria, melhorando o código de conduta que rege a sua aplicação, e assegurar o financiamento do desenvolvimento das capacidades e da assistência técnica. Consideram que todas as partes interessadas devem participar efetivamente em todos os níveis na tomada de decisões sobre a afetação dos recursos, as prioridades estratégicas, os programas, os indicadores e a avaliação.</w:t>
      </w:r>
    </w:p>
    <w:p w14:paraId="573B9460" w14:textId="77777777" w:rsidR="00053CC9" w:rsidRPr="00BF727A" w:rsidRDefault="00053CC9" w:rsidP="003216CC">
      <w:pPr>
        <w:pStyle w:val="Heading3"/>
        <w:numPr>
          <w:ilvl w:val="0"/>
          <w:numId w:val="0"/>
        </w:numPr>
        <w:ind w:left="720"/>
      </w:pPr>
    </w:p>
    <w:p w14:paraId="7EB0EE75" w14:textId="4C85D96E" w:rsidR="00053CC9" w:rsidRPr="00E66C2D" w:rsidRDefault="00053CC9" w:rsidP="003216CC">
      <w:pPr>
        <w:pStyle w:val="Heading3"/>
        <w:ind w:left="567" w:hanging="567"/>
        <w:rPr>
          <w:b/>
        </w:rPr>
      </w:pPr>
      <w:r>
        <w:t>Por último, os inquiridos da IE propõem que a Comissão elabore princípios orientadores sob a forma de uma diretiva, em vez de um regulamento, para que possa ser facilmente adaptada aos diversos mecanismos nacionais de diálogo. Alguns representantes das empresas de IT sugerem a criação de um observatório europeu permanente e a elaboração de um relatório anual sobre boas práticas em matéria de políticas e programas para o desenvolvimento das PME.</w:t>
      </w:r>
    </w:p>
    <w:p w14:paraId="55C6426F" w14:textId="77777777" w:rsidR="00A46347" w:rsidRPr="00EE18EC" w:rsidRDefault="00A46347" w:rsidP="003216CC">
      <w:pPr>
        <w:ind w:left="567"/>
        <w:rPr>
          <w:szCs w:val="22"/>
        </w:rPr>
      </w:pPr>
    </w:p>
    <w:p w14:paraId="18FB211D" w14:textId="7CEF9DE1" w:rsidR="00835C6C" w:rsidRPr="00E66C2D" w:rsidRDefault="00716DCD" w:rsidP="00266D04">
      <w:pPr>
        <w:pStyle w:val="Heading1"/>
        <w:keepNext/>
        <w:keepLines/>
        <w:ind w:left="567" w:hanging="567"/>
      </w:pPr>
      <w:r>
        <w:rPr>
          <w:b/>
        </w:rPr>
        <w:t>Conclusões</w:t>
      </w:r>
    </w:p>
    <w:p w14:paraId="3575F6E5" w14:textId="77777777" w:rsidR="00835C6C" w:rsidRPr="00EE18EC" w:rsidRDefault="00835C6C" w:rsidP="00266D04">
      <w:pPr>
        <w:keepNext/>
        <w:keepLines/>
        <w:rPr>
          <w:szCs w:val="22"/>
        </w:rPr>
      </w:pPr>
    </w:p>
    <w:p w14:paraId="353D83AB" w14:textId="74123A19" w:rsidR="006F61DA" w:rsidRPr="00BF727A" w:rsidRDefault="003C7171" w:rsidP="003216CC">
      <w:pPr>
        <w:pStyle w:val="Heading3"/>
        <w:ind w:left="567" w:hanging="567"/>
      </w:pPr>
      <w:r>
        <w:t>Em todos os Estados-Membros, as recomendações específicas por país são amplamente aceites pelos parceiros sociais e pelas organizações da sociedade civil como sendo, de um modo geral, pertinentes e consentâneas com os principais desafios económicos e estruturais nacionais. No entanto, esta aceitação é sistematicamente acompanhada da comunicação de lacunas no que respeita à transformação destas recomendações em medidas estratégicas concretas pelos governos nacionais, bem como à participação dos parceiros sociais e da sociedade civil. Além disso, as partes interessadas apontam frequentemente para um desequilíbrio nas prioridades estratégicas, sendo os objetivos económicos e orçamentais considerados mais fortemente tidos em conta do que as considerações sociais. As dimensões sociais, incluindo as condições do mercado de trabalho, os salários e as desigualdades, são frequentemente consideradas sub</w:t>
      </w:r>
      <w:r w:rsidR="007C6521">
        <w:noBreakHyphen/>
      </w:r>
      <w:r>
        <w:t>representadas nos vários quadros estratégicos. Considera-se que este desequilíbrio contribui para um défice democrático estrutural mais vasto no Semestre Europeu, o que pode comprometer tanto a legitimidade como a eficácia da coordenação das políticas da UE. Acresce ainda que o nível de execução das recomendações sociais específicas por país é frequentemente considerado insuficiente, ineficaz ou inexistente, mesmo quando desencadeiam alguma dinâmica nacional de reformas ao longo do tempo.</w:t>
      </w:r>
    </w:p>
    <w:p w14:paraId="69343482" w14:textId="77777777" w:rsidR="00387FB1" w:rsidRPr="00BF727A" w:rsidRDefault="00387FB1" w:rsidP="003216CC">
      <w:pPr>
        <w:pStyle w:val="Heading3"/>
        <w:numPr>
          <w:ilvl w:val="0"/>
          <w:numId w:val="0"/>
        </w:numPr>
        <w:ind w:left="720"/>
      </w:pPr>
    </w:p>
    <w:p w14:paraId="349BC12A" w14:textId="4B4E035E" w:rsidR="006F61DA" w:rsidRPr="00BF727A" w:rsidRDefault="006F61DA" w:rsidP="003216CC">
      <w:pPr>
        <w:pStyle w:val="Heading3"/>
        <w:ind w:left="567" w:hanging="567"/>
      </w:pPr>
      <w:r>
        <w:t xml:space="preserve">No que respeita à execução do MRR, muitas partes interessadas encontram lacunas entre a conceção e a execução efetiva das políticas, sendo que a execução é descrita como desigual, parcial ou limitada por constrangimentos administrativos e institucionais. Uma preocupação recorrente é o papel da capacidade administrativa e a complexidade processual. </w:t>
      </w:r>
    </w:p>
    <w:p w14:paraId="08F54D5B" w14:textId="77777777" w:rsidR="006F61DA" w:rsidRPr="00BF727A" w:rsidRDefault="006F61DA" w:rsidP="003216CC">
      <w:pPr>
        <w:pStyle w:val="Heading3"/>
        <w:numPr>
          <w:ilvl w:val="0"/>
          <w:numId w:val="0"/>
        </w:numPr>
        <w:ind w:left="720"/>
      </w:pPr>
    </w:p>
    <w:p w14:paraId="1D73F3A3" w14:textId="57A5CB7E" w:rsidR="006F61DA" w:rsidRPr="00BF727A" w:rsidRDefault="006F61DA" w:rsidP="003216CC">
      <w:pPr>
        <w:pStyle w:val="Heading3"/>
        <w:ind w:left="567" w:hanging="567"/>
        <w:rPr>
          <w:b/>
          <w:bCs/>
        </w:rPr>
      </w:pPr>
      <w:r>
        <w:lastRenderedPageBreak/>
        <w:t>Relativamente aos recursos à disposição dos parceiros sociais e das organizações da sociedade civil e à sua capacidade para acompanhar a execução do plano orçamental-estrutural nacional de médio prazo e do relatório anual de progresso, os inquiridos salientam que os recursos limitados, os pesados encargos administrativos e os processos fragmentados afetam tanto a execução das reformas como a sua capacidade para acompanhar eficazmente os progressos realizados. Estas limitações são frequentemente agravadas pela falta de transparência e pela disponibilidade limitada de dados atempados e utilizáveis.</w:t>
      </w:r>
    </w:p>
    <w:p w14:paraId="725D1EC3" w14:textId="77777777" w:rsidR="006F61DA" w:rsidRPr="00BF727A" w:rsidRDefault="006F61DA" w:rsidP="003216CC">
      <w:pPr>
        <w:rPr>
          <w:szCs w:val="22"/>
        </w:rPr>
      </w:pPr>
    </w:p>
    <w:p w14:paraId="033932F1" w14:textId="4A6946AD" w:rsidR="006F61DA" w:rsidRPr="00BF727A" w:rsidRDefault="006F61DA" w:rsidP="003216CC">
      <w:pPr>
        <w:pStyle w:val="Heading3"/>
        <w:ind w:left="567" w:hanging="567"/>
      </w:pPr>
      <w:r>
        <w:t>Outra constatação sistemática diz respeito à participação dos parceiros sociais e das organizações da sociedade civil no Semestre Europeu e nos instrumentos conexos da UE. Embora existam mecanismos formais de consulta na maioria dos Estados-Membros, considera</w:t>
      </w:r>
      <w:r w:rsidR="007C6521">
        <w:noBreakHyphen/>
      </w:r>
      <w:r>
        <w:t>se que, em geral, a participação é, em substância, insuficiente, ocorrendo frequentemente numa fase demasiado tardia do processo ou tendo uma influência limitada nas decisões estratégicas finais. Tal resulta na perceção de que a participação continua a ser, em grande medida, processual, não tendo grande impacto.</w:t>
      </w:r>
    </w:p>
    <w:p w14:paraId="1CE1FE88" w14:textId="77777777" w:rsidR="006F61DA" w:rsidRPr="00BF727A" w:rsidRDefault="006F61DA" w:rsidP="003216CC">
      <w:pPr>
        <w:pStyle w:val="Heading3"/>
        <w:numPr>
          <w:ilvl w:val="0"/>
          <w:numId w:val="0"/>
        </w:numPr>
        <w:ind w:left="720"/>
      </w:pPr>
    </w:p>
    <w:p w14:paraId="74E9FD6D" w14:textId="13290454" w:rsidR="00C73F2D" w:rsidRDefault="00D40B9B" w:rsidP="003216CC">
      <w:pPr>
        <w:pStyle w:val="Heading3"/>
        <w:ind w:left="567" w:hanging="567"/>
      </w:pPr>
      <w:r>
        <w:t>Relativamente à ligação entre o QFP e o Semestre Europeu, existem pontos de vista contraditórios no que respeita, por um lado, aos esforços para reforçar a coordenação a nível da UE e, por outro, às preocupações com a centralização. Embora o alinhamento mais estreito entre os instrumentos da UE, em especial o Semestre Europeu e o próximo QFP, e as políticas nacionais seja reconhecido como uma forma eventual de melhorar a coerência e a eficácia, as partes interessadas de vários Estados-Membros manifestam preocupação quanto às suas implicações. Incluem-se aqui potenciais impactos na autonomia nacional, riscos para o controlo democrático e possíveis desequilíbrios nos processos de decisão, em especial se a governação se tornar mais centralizada ou se a condicionalidade aumentar.</w:t>
      </w:r>
    </w:p>
    <w:p w14:paraId="18B3C8F0" w14:textId="77777777" w:rsidR="00023309" w:rsidRDefault="00023309" w:rsidP="003216CC"/>
    <w:p w14:paraId="443050F1" w14:textId="393870BE" w:rsidR="00023309" w:rsidRDefault="00023309" w:rsidP="003216CC">
      <w:r>
        <w:t>Bruxelas, 4 de junho de 2026</w:t>
      </w:r>
    </w:p>
    <w:p w14:paraId="0C9DF868" w14:textId="77777777" w:rsidR="00023309" w:rsidRDefault="00023309" w:rsidP="003216CC"/>
    <w:p w14:paraId="234F72DE" w14:textId="77777777" w:rsidR="00023309" w:rsidRDefault="00023309" w:rsidP="003216CC"/>
    <w:p w14:paraId="3ED6D800" w14:textId="77777777" w:rsidR="00023309" w:rsidRPr="00513042" w:rsidRDefault="00023309" w:rsidP="003216CC">
      <w:pPr>
        <w:rPr>
          <w:i/>
          <w:iCs/>
        </w:rPr>
      </w:pPr>
      <w:r>
        <w:rPr>
          <w:i/>
        </w:rPr>
        <w:t>A Presidente da Secção da União Económica e Monetária e Coesão Económica e Social</w:t>
      </w:r>
    </w:p>
    <w:p w14:paraId="28439A3A" w14:textId="64ABD647" w:rsidR="00C73F2D" w:rsidRPr="00C73F2D" w:rsidRDefault="00023309" w:rsidP="003216CC">
      <w:r>
        <w:t>Elena-Alexandra Calistru</w:t>
      </w:r>
    </w:p>
    <w:p w14:paraId="748A0E40" w14:textId="77777777" w:rsidR="00926C67" w:rsidRPr="00BF727A" w:rsidRDefault="00926C67" w:rsidP="003216CC">
      <w:pPr>
        <w:jc w:val="center"/>
        <w:rPr>
          <w:szCs w:val="22"/>
        </w:rPr>
      </w:pPr>
    </w:p>
    <w:p w14:paraId="489BE4D0" w14:textId="4AC7F836" w:rsidR="00DA1B10" w:rsidRPr="00BF727A" w:rsidRDefault="00DA1B10" w:rsidP="003216CC">
      <w:pPr>
        <w:jc w:val="center"/>
        <w:rPr>
          <w:szCs w:val="22"/>
        </w:rPr>
      </w:pPr>
      <w:r>
        <w:t>_____________</w:t>
      </w:r>
    </w:p>
    <w:sectPr w:rsidR="00DA1B10" w:rsidRPr="00BF727A" w:rsidSect="003216CC">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9C0B7" w14:textId="77777777" w:rsidR="0011468F" w:rsidRDefault="0011468F">
      <w:r>
        <w:separator/>
      </w:r>
    </w:p>
  </w:endnote>
  <w:endnote w:type="continuationSeparator" w:id="0">
    <w:p w14:paraId="7AB9C4FD" w14:textId="77777777" w:rsidR="0011468F" w:rsidRDefault="0011468F">
      <w:r>
        <w:continuationSeparator/>
      </w:r>
    </w:p>
  </w:endnote>
  <w:endnote w:type="continuationNotice" w:id="1">
    <w:p w14:paraId="4A36E08F" w14:textId="77777777" w:rsidR="0011468F" w:rsidRDefault="001146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FBBAB" w14:textId="77777777" w:rsidR="00DC2FFE" w:rsidRPr="003216CC" w:rsidRDefault="00DC2FFE" w:rsidP="003216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D1ABE" w14:textId="29154955" w:rsidR="00CB5F3C" w:rsidRPr="003216CC" w:rsidRDefault="003216CC" w:rsidP="003216CC">
    <w:pPr>
      <w:pStyle w:val="Footer"/>
    </w:pPr>
    <w:r>
      <w:t xml:space="preserve">ECO/691 – EESC-2025-04323-00-00-RISE-TRA (EN) </w:t>
    </w:r>
    <w:r>
      <w:fldChar w:fldCharType="begin"/>
    </w:r>
    <w:r>
      <w:instrText xml:space="preserve"> PAGE  \* Arabic  \* MERGEFORMAT </w:instrText>
    </w:r>
    <w:r>
      <w:fldChar w:fldCharType="separate"/>
    </w:r>
    <w:r w:rsidR="00780EA2">
      <w:t>1</w:t>
    </w:r>
    <w:r>
      <w:fldChar w:fldCharType="end"/>
    </w:r>
    <w:r>
      <w:t>/</w:t>
    </w:r>
    <w:r w:rsidR="00163C72">
      <w:fldChar w:fldCharType="begin"/>
    </w:r>
    <w:r w:rsidR="00163C72">
      <w:instrText xml:space="preserve"> NUMPAGES </w:instrText>
    </w:r>
    <w:r w:rsidR="00163C72">
      <w:fldChar w:fldCharType="separate"/>
    </w:r>
    <w:r w:rsidR="00780EA2">
      <w:t>1</w:t>
    </w:r>
    <w:r w:rsidR="00163C7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4E4E7" w14:textId="77777777" w:rsidR="00DC2FFE" w:rsidRPr="003216CC" w:rsidRDefault="00DC2FFE" w:rsidP="003216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A6A1F" w14:textId="77777777" w:rsidR="00B43AAA" w:rsidRPr="003216CC" w:rsidRDefault="00B43AAA" w:rsidP="003216C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99064" w14:textId="547CFE60" w:rsidR="00646AC2" w:rsidRPr="003216CC" w:rsidRDefault="003216CC" w:rsidP="003216CC">
    <w:pPr>
      <w:pStyle w:val="Footer"/>
    </w:pPr>
    <w:r>
      <w:t xml:space="preserve">ECO/691 – EESC-2025-04323-00-00-RISE-TRA (EN) </w:t>
    </w:r>
    <w:r>
      <w:fldChar w:fldCharType="begin"/>
    </w:r>
    <w:r>
      <w:instrText xml:space="preserve"> PAGE  \* Arabic  \* MERGEFORMAT </w:instrText>
    </w:r>
    <w:r>
      <w:fldChar w:fldCharType="separate"/>
    </w:r>
    <w:r>
      <w:t>2</w:t>
    </w:r>
    <w:r>
      <w:fldChar w:fldCharType="end"/>
    </w:r>
    <w:r>
      <w:t>/</w:t>
    </w:r>
    <w:r w:rsidR="00163C72">
      <w:fldChar w:fldCharType="begin"/>
    </w:r>
    <w:r w:rsidR="00163C72">
      <w:instrText xml:space="preserve"> NUMPAGES </w:instrText>
    </w:r>
    <w:r w:rsidR="00163C72">
      <w:fldChar w:fldCharType="separate"/>
    </w:r>
    <w:r>
      <w:t>4</w:t>
    </w:r>
    <w:r w:rsidR="00163C72">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475EC" w14:textId="77777777" w:rsidR="00B43AAA" w:rsidRPr="003216CC" w:rsidRDefault="00B43AAA" w:rsidP="00321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DB9B5" w14:textId="77777777" w:rsidR="0011468F" w:rsidRDefault="0011468F">
      <w:r>
        <w:separator/>
      </w:r>
    </w:p>
  </w:footnote>
  <w:footnote w:type="continuationSeparator" w:id="0">
    <w:p w14:paraId="4472C925" w14:textId="77777777" w:rsidR="0011468F" w:rsidRDefault="0011468F">
      <w:r>
        <w:continuationSeparator/>
      </w:r>
    </w:p>
  </w:footnote>
  <w:footnote w:type="continuationNotice" w:id="1">
    <w:p w14:paraId="1E1B4B69" w14:textId="77777777" w:rsidR="0011468F" w:rsidRDefault="0011468F">
      <w:pPr>
        <w:spacing w:line="240" w:lineRule="auto"/>
      </w:pPr>
    </w:p>
  </w:footnote>
  <w:footnote w:id="2">
    <w:p w14:paraId="38D6C46A" w14:textId="6F27751A" w:rsidR="00650F0F" w:rsidRPr="00930103" w:rsidRDefault="00650F0F" w:rsidP="00E540C5">
      <w:pPr>
        <w:pStyle w:val="FootnoteText"/>
        <w:ind w:left="567" w:hanging="567"/>
      </w:pPr>
      <w:r>
        <w:rPr>
          <w:rStyle w:val="FootnoteReference"/>
        </w:rPr>
        <w:footnoteRef/>
      </w:r>
      <w:r>
        <w:tab/>
      </w:r>
      <w:hyperlink r:id="rId1" w:history="1">
        <w:r>
          <w:rPr>
            <w:rStyle w:val="Hyperlink"/>
          </w:rPr>
          <w:t>Recomendações do CESE sobre as propostas</w:t>
        </w:r>
        <w:r>
          <w:rPr>
            <w:rStyle w:val="Hyperlink"/>
          </w:rPr>
          <w:t xml:space="preserve"> </w:t>
        </w:r>
        <w:r>
          <w:rPr>
            <w:rStyle w:val="Hyperlink"/>
          </w:rPr>
          <w:t>de reforma e investimento formuladas no âmbito do ciclo do Semestre Europeu de 2025-2026</w:t>
        </w:r>
      </w:hyperlink>
      <w:r>
        <w:t>.</w:t>
      </w:r>
    </w:p>
  </w:footnote>
  <w:footnote w:id="3">
    <w:p w14:paraId="2239EF00" w14:textId="2AA03FEB" w:rsidR="00C30E75" w:rsidRPr="00DA02D5" w:rsidRDefault="00C30E75" w:rsidP="00E540C5">
      <w:pPr>
        <w:pStyle w:val="FootnoteText"/>
        <w:ind w:left="567" w:hanging="567"/>
      </w:pPr>
      <w:r>
        <w:rPr>
          <w:rStyle w:val="FootnoteReference"/>
        </w:rPr>
        <w:footnoteRef/>
      </w:r>
      <w:r>
        <w:tab/>
        <w:t>https://www.eesc.europa.eu/pt/our-work/opinions-information-reports/information-reports/point-view-organised-civil-society-eu-member-states-national-reform-and-investment-proposals-and-their-implementation-0/annex.</w:t>
      </w:r>
    </w:p>
  </w:footnote>
  <w:footnote w:id="4">
    <w:p w14:paraId="23929A55" w14:textId="7AF847A8" w:rsidR="00650F0F" w:rsidRPr="00447ECF" w:rsidRDefault="00650F0F" w:rsidP="00E540C5">
      <w:pPr>
        <w:pStyle w:val="FootnoteText"/>
        <w:ind w:left="567" w:hanging="567"/>
      </w:pPr>
      <w:r>
        <w:rPr>
          <w:rStyle w:val="FootnoteReference"/>
        </w:rPr>
        <w:footnoteRef/>
      </w:r>
      <w:r>
        <w:tab/>
      </w:r>
      <w:hyperlink r:id="rId2" w:history="1">
        <w:r>
          <w:rPr>
            <w:rStyle w:val="Hyperlink"/>
          </w:rPr>
          <w:t>Recomendações específicas por país de 2</w:t>
        </w:r>
        <w:r>
          <w:rPr>
            <w:rStyle w:val="Hyperlink"/>
          </w:rPr>
          <w:t>0</w:t>
        </w:r>
        <w:r>
          <w:rPr>
            <w:rStyle w:val="Hyperlink"/>
          </w:rPr>
          <w:t>25</w:t>
        </w:r>
      </w:hyperlink>
      <w:r>
        <w:t>.</w:t>
      </w:r>
    </w:p>
  </w:footnote>
  <w:footnote w:id="5">
    <w:p w14:paraId="4A3785B8" w14:textId="180D1491" w:rsidR="00650F0F" w:rsidRPr="00447ECF" w:rsidRDefault="00650F0F" w:rsidP="00E540C5">
      <w:pPr>
        <w:pStyle w:val="FootnoteText"/>
        <w:ind w:left="567" w:hanging="567"/>
      </w:pPr>
      <w:r>
        <w:rPr>
          <w:rStyle w:val="FootnoteReference"/>
        </w:rPr>
        <w:footnoteRef/>
      </w:r>
      <w:r>
        <w:tab/>
      </w:r>
      <w:hyperlink r:id="rId3" w:anchor="Hungria" w:history="1">
        <w:r>
          <w:rPr>
            <w:rStyle w:val="Hyperlink"/>
          </w:rPr>
          <w:t>Planos orçamentais-estruturais nac</w:t>
        </w:r>
        <w:r>
          <w:rPr>
            <w:rStyle w:val="Hyperlink"/>
          </w:rPr>
          <w:t>i</w:t>
        </w:r>
        <w:r>
          <w:rPr>
            <w:rStyle w:val="Hyperlink"/>
          </w:rPr>
          <w:t>onais de médio prazo – Comissão Europeia</w:t>
        </w:r>
      </w:hyperlink>
      <w:r>
        <w:t>.</w:t>
      </w:r>
    </w:p>
  </w:footnote>
  <w:footnote w:id="6">
    <w:p w14:paraId="4F11D1B0" w14:textId="7BAAAFCB" w:rsidR="00650F0F" w:rsidRPr="00447ECF" w:rsidRDefault="00650F0F" w:rsidP="00E540C5">
      <w:pPr>
        <w:pStyle w:val="FootnoteText"/>
        <w:ind w:left="567" w:hanging="567"/>
      </w:pPr>
      <w:r>
        <w:rPr>
          <w:rStyle w:val="FootnoteReference"/>
        </w:rPr>
        <w:footnoteRef/>
      </w:r>
      <w:r>
        <w:tab/>
      </w:r>
      <w:hyperlink r:id="rId4">
        <w:r>
          <w:rPr>
            <w:rStyle w:val="Hyperlink"/>
          </w:rPr>
          <w:t>Revisão do quadro de governaçã</w:t>
        </w:r>
        <w:r>
          <w:rPr>
            <w:rStyle w:val="Hyperlink"/>
          </w:rPr>
          <w:t>o</w:t>
        </w:r>
        <w:r>
          <w:rPr>
            <w:rStyle w:val="Hyperlink"/>
          </w:rPr>
          <w:t xml:space="preserve"> económica</w:t>
        </w:r>
      </w:hyperlink>
      <w:r>
        <w:t>.</w:t>
      </w:r>
    </w:p>
  </w:footnote>
  <w:footnote w:id="7">
    <w:p w14:paraId="6F46A138" w14:textId="3BBEEEC8" w:rsidR="00F458A6" w:rsidRPr="00F458A6" w:rsidRDefault="00F458A6" w:rsidP="00D73098">
      <w:pPr>
        <w:pStyle w:val="FootnoteText"/>
        <w:ind w:left="567" w:hanging="567"/>
      </w:pPr>
      <w:r>
        <w:rPr>
          <w:rStyle w:val="FootnoteReference"/>
        </w:rPr>
        <w:footnoteRef/>
      </w:r>
      <w:r>
        <w:tab/>
        <w:t>O anexo contém uma descrição mais pormenorizada da metodologia.</w:t>
      </w:r>
    </w:p>
  </w:footnote>
  <w:footnote w:id="8">
    <w:p w14:paraId="735CDF0D" w14:textId="46CF0CCD" w:rsidR="00005D99" w:rsidRPr="00005D99" w:rsidRDefault="00005D99" w:rsidP="00D73098">
      <w:pPr>
        <w:pStyle w:val="FootnoteText"/>
        <w:ind w:left="567" w:hanging="567"/>
      </w:pPr>
      <w:r>
        <w:rPr>
          <w:rStyle w:val="FootnoteReference"/>
        </w:rPr>
        <w:footnoteRef/>
      </w:r>
      <w:r>
        <w:tab/>
        <w:t>Bélgica (BE), Bulgária (BG), Croácia (HR), República Checa (CZ), Dinamarca (DK), Finlândia (FI), Alemanha (DE), Grécia (EL), Hungria (HU), Irlanda (IE), Itália (IT), Letónia (LV), Lituânia (LT), Luxemburgo (LU), Malta (MT), Países Baixos (NL), Polónia (PL), Portugal (PT), Eslováquia (SK), Eslovénia (SI), Espanha (ES) e Suécia (SE).</w:t>
      </w:r>
    </w:p>
  </w:footnote>
  <w:footnote w:id="9">
    <w:p w14:paraId="1CE9B185" w14:textId="5FBAF0EB" w:rsidR="00005D99" w:rsidRPr="00005D99" w:rsidRDefault="00005D99" w:rsidP="00D73098">
      <w:pPr>
        <w:pStyle w:val="FootnoteText"/>
        <w:ind w:left="567" w:hanging="567"/>
      </w:pPr>
      <w:r>
        <w:rPr>
          <w:rStyle w:val="FootnoteReference"/>
        </w:rPr>
        <w:footnoteRef/>
      </w:r>
      <w:r>
        <w:tab/>
        <w:t>Roménia (RO), em 3 de fevereiro de 2026 (</w:t>
      </w:r>
      <w:hyperlink r:id="rId5" w:history="1">
        <w:r>
          <w:rPr>
            <w:rStyle w:val="Hyperlink"/>
          </w:rPr>
          <w:t>relató</w:t>
        </w:r>
        <w:r>
          <w:rPr>
            <w:rStyle w:val="Hyperlink"/>
          </w:rPr>
          <w:t>r</w:t>
        </w:r>
        <w:r>
          <w:rPr>
            <w:rStyle w:val="Hyperlink"/>
          </w:rPr>
          <w:t>io</w:t>
        </w:r>
      </w:hyperlink>
      <w:r>
        <w:t>), Chipre (CY), em 4 de fevereiro de 2026 (</w:t>
      </w:r>
      <w:hyperlink r:id="rId6" w:history="1">
        <w:r>
          <w:rPr>
            <w:rStyle w:val="Hyperlink"/>
          </w:rPr>
          <w:t>relat</w:t>
        </w:r>
        <w:r>
          <w:rPr>
            <w:rStyle w:val="Hyperlink"/>
          </w:rPr>
          <w:t>ó</w:t>
        </w:r>
        <w:r>
          <w:rPr>
            <w:rStyle w:val="Hyperlink"/>
          </w:rPr>
          <w:t>rio</w:t>
        </w:r>
      </w:hyperlink>
      <w:r>
        <w:t>), Estónia (EE), em 9 de fevereiro de 2026 (</w:t>
      </w:r>
      <w:hyperlink r:id="rId7" w:history="1">
        <w:r>
          <w:rPr>
            <w:rStyle w:val="Hyperlink"/>
          </w:rPr>
          <w:t>relató</w:t>
        </w:r>
        <w:r>
          <w:rPr>
            <w:rStyle w:val="Hyperlink"/>
          </w:rPr>
          <w:t>r</w:t>
        </w:r>
        <w:r>
          <w:rPr>
            <w:rStyle w:val="Hyperlink"/>
          </w:rPr>
          <w:t>io</w:t>
        </w:r>
      </w:hyperlink>
      <w:r>
        <w:t>), Áustria (AT), em 24 de fevereiro de 2026 (</w:t>
      </w:r>
      <w:hyperlink r:id="rId8" w:history="1">
        <w:r>
          <w:rPr>
            <w:rStyle w:val="Hyperlink"/>
          </w:rPr>
          <w:t>rela</w:t>
        </w:r>
        <w:r>
          <w:rPr>
            <w:rStyle w:val="Hyperlink"/>
          </w:rPr>
          <w:t>t</w:t>
        </w:r>
        <w:r>
          <w:rPr>
            <w:rStyle w:val="Hyperlink"/>
          </w:rPr>
          <w:t>ório</w:t>
        </w:r>
      </w:hyperlink>
      <w:r>
        <w:t>), e França (FR), em 2 de março de 2026 (</w:t>
      </w:r>
      <w:hyperlink r:id="rId9" w:history="1">
        <w:r>
          <w:rPr>
            <w:rStyle w:val="Hyperlink"/>
          </w:rPr>
          <w:t>rela</w:t>
        </w:r>
        <w:r>
          <w:rPr>
            <w:rStyle w:val="Hyperlink"/>
          </w:rPr>
          <w:t>t</w:t>
        </w:r>
        <w:r>
          <w:rPr>
            <w:rStyle w:val="Hyperlink"/>
          </w:rPr>
          <w:t>ório</w:t>
        </w:r>
      </w:hyperlink>
      <w:r>
        <w:t>).</w:t>
      </w:r>
    </w:p>
  </w:footnote>
  <w:footnote w:id="10">
    <w:p w14:paraId="169977F2" w14:textId="11142B20" w:rsidR="00A46610" w:rsidRPr="00A46610" w:rsidRDefault="00A46610" w:rsidP="00D73098">
      <w:pPr>
        <w:pStyle w:val="FootnoteText"/>
        <w:ind w:left="567" w:hanging="567"/>
      </w:pPr>
      <w:r>
        <w:rPr>
          <w:rStyle w:val="FootnoteReference"/>
        </w:rPr>
        <w:footnoteRef/>
      </w:r>
      <w:r>
        <w:tab/>
        <w:t>A composição destas delegações consta do anexo.</w:t>
      </w:r>
    </w:p>
  </w:footnote>
  <w:footnote w:id="11">
    <w:p w14:paraId="70C9FB0E" w14:textId="60C0EB71" w:rsidR="003808E2" w:rsidRPr="00761545" w:rsidRDefault="003808E2" w:rsidP="00D73098">
      <w:pPr>
        <w:pStyle w:val="FootnoteText"/>
        <w:ind w:left="567" w:hanging="567"/>
      </w:pPr>
      <w:r>
        <w:rPr>
          <w:rStyle w:val="FootnoteReference"/>
        </w:rPr>
        <w:footnoteRef/>
      </w:r>
      <w:r>
        <w:tab/>
      </w:r>
      <w:hyperlink r:id="rId10" w:history="1">
        <w:r>
          <w:rPr>
            <w:rStyle w:val="Hyperlink"/>
          </w:rPr>
          <w:t>Grupo de Ligação com as Organizações e Redes Europeias d</w:t>
        </w:r>
        <w:r>
          <w:rPr>
            <w:rStyle w:val="Hyperlink"/>
          </w:rPr>
          <w:t>a</w:t>
        </w:r>
        <w:r>
          <w:rPr>
            <w:rStyle w:val="Hyperlink"/>
          </w:rPr>
          <w:t xml:space="preserve"> Sociedade Civil | CESE</w:t>
        </w:r>
      </w:hyperlink>
      <w:r>
        <w:t>.</w:t>
      </w:r>
    </w:p>
  </w:footnote>
  <w:footnote w:id="12">
    <w:p w14:paraId="321B00E1" w14:textId="2085EC3F" w:rsidR="00F95C2C" w:rsidRPr="00F95C2C" w:rsidRDefault="00F95C2C" w:rsidP="007261A0">
      <w:pPr>
        <w:pStyle w:val="FootnoteText"/>
        <w:ind w:left="567" w:hanging="567"/>
      </w:pPr>
      <w:r>
        <w:rPr>
          <w:rStyle w:val="FootnoteReference"/>
        </w:rPr>
        <w:footnoteRef/>
      </w:r>
      <w:r>
        <w:tab/>
        <w:t>GI: Grupo I (empregadores); GII: Grupo II (trabalhadores); GIII: Grupo III (organizações da sociedade civil).</w:t>
      </w:r>
    </w:p>
  </w:footnote>
  <w:footnote w:id="13">
    <w:p w14:paraId="7B08A840" w14:textId="4B3B591A" w:rsidR="006E32A2" w:rsidRPr="00954E59" w:rsidRDefault="006E32A2" w:rsidP="00D73098">
      <w:pPr>
        <w:pStyle w:val="FootnoteText"/>
        <w:ind w:left="567" w:hanging="567"/>
      </w:pPr>
      <w:r>
        <w:rPr>
          <w:rStyle w:val="FootnoteReference"/>
        </w:rPr>
        <w:footnoteRef/>
      </w:r>
      <w:r>
        <w:tab/>
        <w:t>Esta é uma opinião partilhada por, pelo menos, alguns representantes do GI na HR.</w:t>
      </w:r>
    </w:p>
  </w:footnote>
  <w:footnote w:id="14">
    <w:p w14:paraId="7F982073" w14:textId="36047405" w:rsidR="006E32A2" w:rsidRPr="00954E59" w:rsidRDefault="006E32A2" w:rsidP="00D73098">
      <w:pPr>
        <w:pStyle w:val="FootnoteText"/>
        <w:ind w:left="567" w:hanging="567"/>
      </w:pPr>
      <w:r>
        <w:rPr>
          <w:rStyle w:val="FootnoteReference"/>
        </w:rPr>
        <w:footnoteRef/>
      </w:r>
      <w:r>
        <w:tab/>
        <w:t>Esta é uma opinião partilhada pelos inquiridos do GI e do GII, bem como por, pelo menos, alguns representantes do GIII em IT.</w:t>
      </w:r>
    </w:p>
  </w:footnote>
  <w:footnote w:id="15">
    <w:p w14:paraId="40418DA7" w14:textId="63E3C273" w:rsidR="006E32A2" w:rsidRPr="00954E59" w:rsidRDefault="006E32A2" w:rsidP="00266D04">
      <w:pPr>
        <w:pStyle w:val="FootnoteText"/>
        <w:ind w:left="567" w:hanging="567"/>
      </w:pPr>
      <w:r>
        <w:rPr>
          <w:rStyle w:val="FootnoteReference"/>
        </w:rPr>
        <w:footnoteRef/>
      </w:r>
      <w:r>
        <w:tab/>
        <w:t>Esta é uma opinião partilhada por, pelo menos, alguns representantes do GI na HR.</w:t>
      </w:r>
    </w:p>
  </w:footnote>
  <w:footnote w:id="16">
    <w:p w14:paraId="58C52B36" w14:textId="33A79F6D" w:rsidR="006E32A2" w:rsidRPr="00954E59" w:rsidRDefault="006E32A2" w:rsidP="00266D04">
      <w:pPr>
        <w:pStyle w:val="FootnoteText"/>
        <w:ind w:left="567" w:hanging="567"/>
      </w:pPr>
      <w:r>
        <w:rPr>
          <w:rStyle w:val="FootnoteReference"/>
        </w:rPr>
        <w:footnoteRef/>
      </w:r>
      <w:r>
        <w:tab/>
        <w:t>Esta é uma opinião partilhada por, pelo menos, alguns representantes do GIII em IT.</w:t>
      </w:r>
    </w:p>
  </w:footnote>
  <w:footnote w:id="17">
    <w:p w14:paraId="3C7EDE47" w14:textId="3A573CDC" w:rsidR="0048232D" w:rsidRPr="00954E59" w:rsidRDefault="0048232D" w:rsidP="00266D04">
      <w:pPr>
        <w:pStyle w:val="FootnoteText"/>
        <w:ind w:left="567" w:hanging="567"/>
      </w:pPr>
      <w:r>
        <w:rPr>
          <w:rStyle w:val="FootnoteReference"/>
        </w:rPr>
        <w:footnoteRef/>
      </w:r>
      <w:r>
        <w:tab/>
        <w:t>Esta é uma opinião partilhada pelos inquiridos do GI e do GIII, bem como por, pelo menos, alguns representantes do GII em IT.</w:t>
      </w:r>
    </w:p>
  </w:footnote>
  <w:footnote w:id="18">
    <w:p w14:paraId="4699D9C4" w14:textId="3FC69478" w:rsidR="0048232D" w:rsidRPr="00954E59" w:rsidRDefault="0048232D" w:rsidP="00266D04">
      <w:pPr>
        <w:pStyle w:val="FootnoteText"/>
        <w:ind w:left="567" w:hanging="567"/>
      </w:pPr>
      <w:r>
        <w:rPr>
          <w:rStyle w:val="FootnoteReference"/>
        </w:rPr>
        <w:footnoteRef/>
      </w:r>
      <w:r>
        <w:tab/>
        <w:t>Esta é uma opinião partilhada por, pelo menos, alguns representantes do GII em 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AFD7F" w14:textId="77777777" w:rsidR="00DC2FFE" w:rsidRPr="003216CC" w:rsidRDefault="00DC2FFE" w:rsidP="003216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6FFC3" w14:textId="2E03FE7D" w:rsidR="00DC2FFE" w:rsidRPr="003216CC" w:rsidRDefault="00DC2FFE" w:rsidP="003216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057E4" w14:textId="77777777" w:rsidR="00DC2FFE" w:rsidRPr="003216CC" w:rsidRDefault="00DC2FFE" w:rsidP="003216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E199D" w14:textId="77777777" w:rsidR="00B43AAA" w:rsidRPr="003216CC" w:rsidRDefault="00B43AAA" w:rsidP="003216C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0CC24" w14:textId="38AF9672" w:rsidR="00646AC2" w:rsidRPr="003216CC" w:rsidRDefault="00646AC2" w:rsidP="003216C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E0AEA" w14:textId="77777777" w:rsidR="00B43AAA" w:rsidRPr="003216CC" w:rsidRDefault="00B43AAA" w:rsidP="00321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E54A5F4"/>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rPr>
        <w:b w:val="0"/>
        <w:bCs w:val="0"/>
      </w:rPr>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288242A6"/>
    <w:multiLevelType w:val="multilevel"/>
    <w:tmpl w:val="B2D41A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60851191"/>
    <w:multiLevelType w:val="multilevel"/>
    <w:tmpl w:val="AB708E6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0"/>
  </w:num>
  <w:num w:numId="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8">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6">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1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2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3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0">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7">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4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5">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6">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7">
    <w:abstractNumId w:val="0"/>
    <w:lvlOverride w:ilvl="0">
      <w:lvl w:ilvl="0">
        <w:start w:val="1"/>
        <w:numFmt w:val="decimal"/>
        <w:pStyle w:val="Heading1"/>
        <w:lvlText w:val="%1."/>
        <w:legacy w:legacy="1" w:legacySpace="0" w:legacyIndent="0"/>
        <w:lvlJc w:val="left"/>
        <w:rPr>
          <w:b w:val="0"/>
        </w:rPr>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8">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59">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0">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1">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2">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3">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4">
    <w:abstractNumId w:val="0"/>
    <w:lvlOverride w:ilvl="0">
      <w:lvl w:ilvl="0">
        <w:start w:val="1"/>
        <w:numFmt w:val="decimal"/>
        <w:pStyle w:val="Heading1"/>
        <w:lvlText w:val="%1."/>
        <w:legacy w:legacy="1" w:legacySpace="0" w:legacyIndent="0"/>
        <w:lvlJc w:val="left"/>
      </w:lvl>
    </w:lvlOverride>
    <w:lvlOverride w:ilvl="1">
      <w:lvl w:ilvl="1">
        <w:start w:val="1"/>
        <w:numFmt w:val="decimal"/>
        <w:pStyle w:val="Heading2"/>
        <w:lvlText w:val="%1.%2"/>
        <w:legacy w:legacy="1" w:legacySpace="144" w:legacyIndent="0"/>
        <w:lvlJc w:val="left"/>
      </w:lvl>
    </w:lvlOverride>
    <w:lvlOverride w:ilvl="2">
      <w:lvl w:ilvl="2">
        <w:start w:val="1"/>
        <w:numFmt w:val="decimal"/>
        <w:pStyle w:val="Heading3"/>
        <w:lvlText w:val="%1.%2.%3"/>
        <w:legacy w:legacy="1" w:legacySpace="144" w:legacyIndent="0"/>
        <w:lvlJc w:val="left"/>
      </w:lvl>
    </w:lvlOverride>
    <w:lvlOverride w:ilvl="3">
      <w:lvl w:ilvl="3">
        <w:start w:val="1"/>
        <w:numFmt w:val="decimal"/>
        <w:pStyle w:val="Heading4"/>
        <w:lvlText w:val="%1.%2.%3.%4"/>
        <w:legacy w:legacy="1" w:legacySpace="144" w:legacyIndent="0"/>
        <w:lvlJc w:val="left"/>
      </w:lvl>
    </w:lvlOverride>
    <w:lvlOverride w:ilvl="4">
      <w:lvl w:ilvl="4">
        <w:start w:val="1"/>
        <w:numFmt w:val="decimal"/>
        <w:pStyle w:val="Heading5"/>
        <w:lvlText w:val="%1.%2.%3.%4.%5"/>
        <w:legacy w:legacy="1" w:legacySpace="144" w:legacyIndent="0"/>
        <w:lvlJc w:val="left"/>
      </w:lvl>
    </w:lvlOverride>
    <w:lvlOverride w:ilvl="5">
      <w:lvl w:ilvl="5">
        <w:start w:val="1"/>
        <w:numFmt w:val="decimal"/>
        <w:pStyle w:val="Heading6"/>
        <w:lvlText w:val="%1.%2.%3.%4.%5.%6"/>
        <w:legacy w:legacy="1" w:legacySpace="144" w:legacyIndent="0"/>
        <w:lvlJc w:val="left"/>
      </w:lvl>
    </w:lvlOverride>
    <w:lvlOverride w:ilvl="6">
      <w:lvl w:ilvl="6">
        <w:start w:val="1"/>
        <w:numFmt w:val="decimal"/>
        <w:pStyle w:val="Heading7"/>
        <w:lvlText w:val="%1.%2.%3.%4.%5.%6.%7"/>
        <w:legacy w:legacy="1" w:legacySpace="144" w:legacyIndent="0"/>
        <w:lvlJc w:val="left"/>
      </w:lvl>
    </w:lvlOverride>
    <w:lvlOverride w:ilvl="7">
      <w:lvl w:ilvl="7">
        <w:start w:val="1"/>
        <w:numFmt w:val="decimal"/>
        <w:pStyle w:val="Heading8"/>
        <w:lvlText w:val="%1.%2.%3.%4.%5.%6.%7.%8"/>
        <w:legacy w:legacy="1" w:legacySpace="144" w:legacyIndent="0"/>
        <w:lvlJc w:val="left"/>
      </w:lvl>
    </w:lvlOverride>
    <w:lvlOverride w:ilvl="8">
      <w:lvl w:ilvl="8">
        <w:start w:val="1"/>
        <w:numFmt w:val="decimal"/>
        <w:pStyle w:val="Heading9"/>
        <w:lvlText w:val="%1.%2.%3.%4.%5.%6.%7.%8.%9"/>
        <w:legacy w:legacy="1" w:legacySpace="144" w:legacyIndent="0"/>
        <w:lvlJc w:val="left"/>
      </w:lvl>
    </w:lvlOverride>
  </w:num>
  <w:num w:numId="65">
    <w:abstractNumId w:val="1"/>
  </w:num>
  <w:num w:numId="66">
    <w:abstractNumId w:val="0"/>
  </w:num>
  <w:num w:numId="67">
    <w:abstractNumId w:val="0"/>
  </w:num>
  <w:num w:numId="68">
    <w:abstractNumId w:val="0"/>
  </w:num>
  <w:num w:numId="69">
    <w:abstractNumId w:val="0"/>
  </w:num>
  <w:num w:numId="70">
    <w:abstractNumId w:val="0"/>
  </w:num>
  <w:num w:numId="71">
    <w:abstractNumId w:val="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displayBackgroundShape/>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8F"/>
    <w:rsid w:val="00005AB9"/>
    <w:rsid w:val="00005D99"/>
    <w:rsid w:val="00005EB9"/>
    <w:rsid w:val="00006D38"/>
    <w:rsid w:val="00006E24"/>
    <w:rsid w:val="00007A40"/>
    <w:rsid w:val="00010DA9"/>
    <w:rsid w:val="0001319D"/>
    <w:rsid w:val="0001382C"/>
    <w:rsid w:val="0001708F"/>
    <w:rsid w:val="00017B45"/>
    <w:rsid w:val="000202E8"/>
    <w:rsid w:val="00020BE3"/>
    <w:rsid w:val="00020E6E"/>
    <w:rsid w:val="00022CF4"/>
    <w:rsid w:val="00023309"/>
    <w:rsid w:val="00031A4B"/>
    <w:rsid w:val="00033913"/>
    <w:rsid w:val="00033DB4"/>
    <w:rsid w:val="00033E5B"/>
    <w:rsid w:val="000357A8"/>
    <w:rsid w:val="00035F23"/>
    <w:rsid w:val="000430A6"/>
    <w:rsid w:val="00044923"/>
    <w:rsid w:val="00047710"/>
    <w:rsid w:val="0004778F"/>
    <w:rsid w:val="00051AA3"/>
    <w:rsid w:val="0005249C"/>
    <w:rsid w:val="000534A5"/>
    <w:rsid w:val="00053CC9"/>
    <w:rsid w:val="00056038"/>
    <w:rsid w:val="0005680D"/>
    <w:rsid w:val="00056DA8"/>
    <w:rsid w:val="0005716D"/>
    <w:rsid w:val="00061296"/>
    <w:rsid w:val="00063FB4"/>
    <w:rsid w:val="0006793E"/>
    <w:rsid w:val="00071008"/>
    <w:rsid w:val="00072E0F"/>
    <w:rsid w:val="000735E5"/>
    <w:rsid w:val="0007392F"/>
    <w:rsid w:val="0007395B"/>
    <w:rsid w:val="00077DE5"/>
    <w:rsid w:val="00087B39"/>
    <w:rsid w:val="00092469"/>
    <w:rsid w:val="00093DE0"/>
    <w:rsid w:val="0009514D"/>
    <w:rsid w:val="00096502"/>
    <w:rsid w:val="000972F0"/>
    <w:rsid w:val="000A49BB"/>
    <w:rsid w:val="000A5670"/>
    <w:rsid w:val="000B240B"/>
    <w:rsid w:val="000C04E4"/>
    <w:rsid w:val="000C2BC7"/>
    <w:rsid w:val="000C2D58"/>
    <w:rsid w:val="000C3441"/>
    <w:rsid w:val="000C4180"/>
    <w:rsid w:val="000C7F53"/>
    <w:rsid w:val="000D2F8E"/>
    <w:rsid w:val="000D34AF"/>
    <w:rsid w:val="000D640C"/>
    <w:rsid w:val="000D6C82"/>
    <w:rsid w:val="000E0148"/>
    <w:rsid w:val="000E67B2"/>
    <w:rsid w:val="000E6FE5"/>
    <w:rsid w:val="000E7CF4"/>
    <w:rsid w:val="000F196B"/>
    <w:rsid w:val="00100275"/>
    <w:rsid w:val="00100B04"/>
    <w:rsid w:val="00101365"/>
    <w:rsid w:val="00104096"/>
    <w:rsid w:val="00105361"/>
    <w:rsid w:val="00106EBE"/>
    <w:rsid w:val="00107A3C"/>
    <w:rsid w:val="001101F8"/>
    <w:rsid w:val="0011206F"/>
    <w:rsid w:val="0011468F"/>
    <w:rsid w:val="0011656A"/>
    <w:rsid w:val="0012220C"/>
    <w:rsid w:val="00135E10"/>
    <w:rsid w:val="00136EA3"/>
    <w:rsid w:val="00137575"/>
    <w:rsid w:val="001422A6"/>
    <w:rsid w:val="00143034"/>
    <w:rsid w:val="00144231"/>
    <w:rsid w:val="0014479E"/>
    <w:rsid w:val="00150434"/>
    <w:rsid w:val="001526A2"/>
    <w:rsid w:val="00154904"/>
    <w:rsid w:val="00155721"/>
    <w:rsid w:val="00157FB5"/>
    <w:rsid w:val="00163C72"/>
    <w:rsid w:val="0016503F"/>
    <w:rsid w:val="0016674F"/>
    <w:rsid w:val="00167CA0"/>
    <w:rsid w:val="00167F6A"/>
    <w:rsid w:val="0017120D"/>
    <w:rsid w:val="001714F6"/>
    <w:rsid w:val="00176168"/>
    <w:rsid w:val="00177158"/>
    <w:rsid w:val="001806B0"/>
    <w:rsid w:val="001809D6"/>
    <w:rsid w:val="001814D7"/>
    <w:rsid w:val="00184FD4"/>
    <w:rsid w:val="00186B04"/>
    <w:rsid w:val="00186F1E"/>
    <w:rsid w:val="00190836"/>
    <w:rsid w:val="001924E4"/>
    <w:rsid w:val="00193930"/>
    <w:rsid w:val="00194B36"/>
    <w:rsid w:val="001960C6"/>
    <w:rsid w:val="001963A5"/>
    <w:rsid w:val="00196F1E"/>
    <w:rsid w:val="001971BE"/>
    <w:rsid w:val="00197FCA"/>
    <w:rsid w:val="001A145B"/>
    <w:rsid w:val="001A225A"/>
    <w:rsid w:val="001A27DB"/>
    <w:rsid w:val="001A6852"/>
    <w:rsid w:val="001A78FB"/>
    <w:rsid w:val="001B286A"/>
    <w:rsid w:val="001B2D02"/>
    <w:rsid w:val="001B3647"/>
    <w:rsid w:val="001B77FA"/>
    <w:rsid w:val="001C0ABE"/>
    <w:rsid w:val="001C4B19"/>
    <w:rsid w:val="001C5852"/>
    <w:rsid w:val="001C68BD"/>
    <w:rsid w:val="001D45F0"/>
    <w:rsid w:val="001E0A71"/>
    <w:rsid w:val="001E1335"/>
    <w:rsid w:val="001E4A33"/>
    <w:rsid w:val="001E4C23"/>
    <w:rsid w:val="001E5C27"/>
    <w:rsid w:val="001E73F4"/>
    <w:rsid w:val="001F479C"/>
    <w:rsid w:val="001F602B"/>
    <w:rsid w:val="001F69AD"/>
    <w:rsid w:val="001F6AC8"/>
    <w:rsid w:val="001F6C0F"/>
    <w:rsid w:val="002037D5"/>
    <w:rsid w:val="00206F90"/>
    <w:rsid w:val="00212B03"/>
    <w:rsid w:val="00215C10"/>
    <w:rsid w:val="00215C2D"/>
    <w:rsid w:val="00215EB6"/>
    <w:rsid w:val="002160F6"/>
    <w:rsid w:val="00216B2D"/>
    <w:rsid w:val="002212F9"/>
    <w:rsid w:val="002252C4"/>
    <w:rsid w:val="00226A10"/>
    <w:rsid w:val="0023140A"/>
    <w:rsid w:val="0023183E"/>
    <w:rsid w:val="00232131"/>
    <w:rsid w:val="00234EA9"/>
    <w:rsid w:val="00235138"/>
    <w:rsid w:val="00243E36"/>
    <w:rsid w:val="00244BD5"/>
    <w:rsid w:val="0024540B"/>
    <w:rsid w:val="00245EF4"/>
    <w:rsid w:val="0024659B"/>
    <w:rsid w:val="0024729D"/>
    <w:rsid w:val="00250E11"/>
    <w:rsid w:val="00251383"/>
    <w:rsid w:val="002522C9"/>
    <w:rsid w:val="00252A21"/>
    <w:rsid w:val="0025346D"/>
    <w:rsid w:val="00253E4F"/>
    <w:rsid w:val="00253FCA"/>
    <w:rsid w:val="002542E4"/>
    <w:rsid w:val="002544EB"/>
    <w:rsid w:val="00261053"/>
    <w:rsid w:val="00262FDE"/>
    <w:rsid w:val="00263224"/>
    <w:rsid w:val="00263629"/>
    <w:rsid w:val="00266D04"/>
    <w:rsid w:val="002707CB"/>
    <w:rsid w:val="00270EFA"/>
    <w:rsid w:val="00272D37"/>
    <w:rsid w:val="002742BC"/>
    <w:rsid w:val="0027566C"/>
    <w:rsid w:val="002769BD"/>
    <w:rsid w:val="002809EA"/>
    <w:rsid w:val="00284962"/>
    <w:rsid w:val="00287B0E"/>
    <w:rsid w:val="002902D2"/>
    <w:rsid w:val="00295491"/>
    <w:rsid w:val="0029549C"/>
    <w:rsid w:val="00296CC0"/>
    <w:rsid w:val="002A09EA"/>
    <w:rsid w:val="002A0B53"/>
    <w:rsid w:val="002A0EEF"/>
    <w:rsid w:val="002A7F38"/>
    <w:rsid w:val="002B2DF7"/>
    <w:rsid w:val="002B449C"/>
    <w:rsid w:val="002B4DE3"/>
    <w:rsid w:val="002B5BF1"/>
    <w:rsid w:val="002B69AC"/>
    <w:rsid w:val="002C1D46"/>
    <w:rsid w:val="002C29E6"/>
    <w:rsid w:val="002C3BF4"/>
    <w:rsid w:val="002C69EB"/>
    <w:rsid w:val="002C749F"/>
    <w:rsid w:val="002D4A8F"/>
    <w:rsid w:val="002D7F3B"/>
    <w:rsid w:val="002E381E"/>
    <w:rsid w:val="002F059B"/>
    <w:rsid w:val="002F5B0B"/>
    <w:rsid w:val="002F72AE"/>
    <w:rsid w:val="00300924"/>
    <w:rsid w:val="00301136"/>
    <w:rsid w:val="0030596E"/>
    <w:rsid w:val="00306551"/>
    <w:rsid w:val="003073C3"/>
    <w:rsid w:val="003101A4"/>
    <w:rsid w:val="00311AF5"/>
    <w:rsid w:val="003216CC"/>
    <w:rsid w:val="00323637"/>
    <w:rsid w:val="00323C9E"/>
    <w:rsid w:val="00324E8A"/>
    <w:rsid w:val="00331D87"/>
    <w:rsid w:val="00332850"/>
    <w:rsid w:val="00334478"/>
    <w:rsid w:val="003346B4"/>
    <w:rsid w:val="00334AE6"/>
    <w:rsid w:val="003365D0"/>
    <w:rsid w:val="003433F3"/>
    <w:rsid w:val="003439AB"/>
    <w:rsid w:val="00343EA7"/>
    <w:rsid w:val="0034454A"/>
    <w:rsid w:val="00354695"/>
    <w:rsid w:val="0035549B"/>
    <w:rsid w:val="00355563"/>
    <w:rsid w:val="003562D8"/>
    <w:rsid w:val="00357217"/>
    <w:rsid w:val="0035764D"/>
    <w:rsid w:val="00361B68"/>
    <w:rsid w:val="00361F27"/>
    <w:rsid w:val="003720D5"/>
    <w:rsid w:val="003737EA"/>
    <w:rsid w:val="003750E8"/>
    <w:rsid w:val="003755C8"/>
    <w:rsid w:val="00375687"/>
    <w:rsid w:val="00375C20"/>
    <w:rsid w:val="003808E2"/>
    <w:rsid w:val="00380AE0"/>
    <w:rsid w:val="00381095"/>
    <w:rsid w:val="00383324"/>
    <w:rsid w:val="00386A37"/>
    <w:rsid w:val="00387A75"/>
    <w:rsid w:val="00387FB1"/>
    <w:rsid w:val="003904FD"/>
    <w:rsid w:val="00394254"/>
    <w:rsid w:val="0039528D"/>
    <w:rsid w:val="003A55EE"/>
    <w:rsid w:val="003A5C03"/>
    <w:rsid w:val="003B2831"/>
    <w:rsid w:val="003B363C"/>
    <w:rsid w:val="003B3C22"/>
    <w:rsid w:val="003B7642"/>
    <w:rsid w:val="003C2BFB"/>
    <w:rsid w:val="003C436B"/>
    <w:rsid w:val="003C48E4"/>
    <w:rsid w:val="003C5337"/>
    <w:rsid w:val="003C5F92"/>
    <w:rsid w:val="003C7171"/>
    <w:rsid w:val="003C7318"/>
    <w:rsid w:val="003D2C44"/>
    <w:rsid w:val="003D7A8C"/>
    <w:rsid w:val="003D7C00"/>
    <w:rsid w:val="003D7E0F"/>
    <w:rsid w:val="003E095E"/>
    <w:rsid w:val="003E0EB4"/>
    <w:rsid w:val="003E324F"/>
    <w:rsid w:val="003E4090"/>
    <w:rsid w:val="003E423D"/>
    <w:rsid w:val="003E53AA"/>
    <w:rsid w:val="003E56E5"/>
    <w:rsid w:val="003E7179"/>
    <w:rsid w:val="003E7E60"/>
    <w:rsid w:val="003F00D4"/>
    <w:rsid w:val="003F2209"/>
    <w:rsid w:val="003F3D39"/>
    <w:rsid w:val="003F646A"/>
    <w:rsid w:val="003F6761"/>
    <w:rsid w:val="003F6A0A"/>
    <w:rsid w:val="003F6FB1"/>
    <w:rsid w:val="0040105F"/>
    <w:rsid w:val="004024F5"/>
    <w:rsid w:val="00402DE1"/>
    <w:rsid w:val="0040328E"/>
    <w:rsid w:val="00403D8B"/>
    <w:rsid w:val="004058F1"/>
    <w:rsid w:val="004059E4"/>
    <w:rsid w:val="00407E7D"/>
    <w:rsid w:val="0041283D"/>
    <w:rsid w:val="00413AB4"/>
    <w:rsid w:val="00414F4A"/>
    <w:rsid w:val="0041595C"/>
    <w:rsid w:val="00420458"/>
    <w:rsid w:val="00421373"/>
    <w:rsid w:val="00421FB7"/>
    <w:rsid w:val="00424A07"/>
    <w:rsid w:val="0042763B"/>
    <w:rsid w:val="0043024C"/>
    <w:rsid w:val="00430910"/>
    <w:rsid w:val="00432B53"/>
    <w:rsid w:val="00435036"/>
    <w:rsid w:val="00435493"/>
    <w:rsid w:val="00436706"/>
    <w:rsid w:val="00443D38"/>
    <w:rsid w:val="00450E7A"/>
    <w:rsid w:val="00454ADE"/>
    <w:rsid w:val="00455DF2"/>
    <w:rsid w:val="00456658"/>
    <w:rsid w:val="00456AF8"/>
    <w:rsid w:val="004615A9"/>
    <w:rsid w:val="004651B8"/>
    <w:rsid w:val="00470B15"/>
    <w:rsid w:val="004718BA"/>
    <w:rsid w:val="00475869"/>
    <w:rsid w:val="00475A77"/>
    <w:rsid w:val="004765AC"/>
    <w:rsid w:val="00477243"/>
    <w:rsid w:val="004801EB"/>
    <w:rsid w:val="0048232D"/>
    <w:rsid w:val="00482A42"/>
    <w:rsid w:val="00482DDC"/>
    <w:rsid w:val="00483E6C"/>
    <w:rsid w:val="004862CA"/>
    <w:rsid w:val="004866A9"/>
    <w:rsid w:val="00492774"/>
    <w:rsid w:val="00496D7A"/>
    <w:rsid w:val="004A0BB1"/>
    <w:rsid w:val="004A1B4A"/>
    <w:rsid w:val="004A1E78"/>
    <w:rsid w:val="004A31BC"/>
    <w:rsid w:val="004A3F1A"/>
    <w:rsid w:val="004A3F45"/>
    <w:rsid w:val="004A585F"/>
    <w:rsid w:val="004B1AFA"/>
    <w:rsid w:val="004B6047"/>
    <w:rsid w:val="004B7088"/>
    <w:rsid w:val="004C0B16"/>
    <w:rsid w:val="004C39CD"/>
    <w:rsid w:val="004C5B76"/>
    <w:rsid w:val="004D02CD"/>
    <w:rsid w:val="004D0B24"/>
    <w:rsid w:val="004D0DB0"/>
    <w:rsid w:val="004D35B5"/>
    <w:rsid w:val="004D4B90"/>
    <w:rsid w:val="004D609A"/>
    <w:rsid w:val="004D6151"/>
    <w:rsid w:val="004D6B95"/>
    <w:rsid w:val="004D7F41"/>
    <w:rsid w:val="004E00C8"/>
    <w:rsid w:val="004E03A2"/>
    <w:rsid w:val="004E1F26"/>
    <w:rsid w:val="004E317E"/>
    <w:rsid w:val="004E3954"/>
    <w:rsid w:val="004E5856"/>
    <w:rsid w:val="004F06B0"/>
    <w:rsid w:val="004F0D80"/>
    <w:rsid w:val="004F2330"/>
    <w:rsid w:val="004F2C8A"/>
    <w:rsid w:val="004F53C6"/>
    <w:rsid w:val="004F69DB"/>
    <w:rsid w:val="004F6B87"/>
    <w:rsid w:val="005007BC"/>
    <w:rsid w:val="00501C2D"/>
    <w:rsid w:val="00502637"/>
    <w:rsid w:val="00511140"/>
    <w:rsid w:val="00513CFE"/>
    <w:rsid w:val="00523B6A"/>
    <w:rsid w:val="00525F6C"/>
    <w:rsid w:val="00527502"/>
    <w:rsid w:val="0053600E"/>
    <w:rsid w:val="005426D1"/>
    <w:rsid w:val="00542C88"/>
    <w:rsid w:val="005436C6"/>
    <w:rsid w:val="00544B51"/>
    <w:rsid w:val="00546AB4"/>
    <w:rsid w:val="005514E5"/>
    <w:rsid w:val="005527BB"/>
    <w:rsid w:val="00553CB3"/>
    <w:rsid w:val="005562F7"/>
    <w:rsid w:val="00560486"/>
    <w:rsid w:val="00563C84"/>
    <w:rsid w:val="005762F6"/>
    <w:rsid w:val="0057637C"/>
    <w:rsid w:val="005766CA"/>
    <w:rsid w:val="00577FA1"/>
    <w:rsid w:val="00584FBE"/>
    <w:rsid w:val="00585483"/>
    <w:rsid w:val="005869D2"/>
    <w:rsid w:val="00587378"/>
    <w:rsid w:val="00587C05"/>
    <w:rsid w:val="00590AAB"/>
    <w:rsid w:val="005928E6"/>
    <w:rsid w:val="00592CFA"/>
    <w:rsid w:val="005938C3"/>
    <w:rsid w:val="0059459F"/>
    <w:rsid w:val="0059468C"/>
    <w:rsid w:val="00594E6E"/>
    <w:rsid w:val="00594FBC"/>
    <w:rsid w:val="00595125"/>
    <w:rsid w:val="005957EA"/>
    <w:rsid w:val="00596F21"/>
    <w:rsid w:val="005B0F12"/>
    <w:rsid w:val="005B1CDD"/>
    <w:rsid w:val="005B1E19"/>
    <w:rsid w:val="005B55FC"/>
    <w:rsid w:val="005C2D5E"/>
    <w:rsid w:val="005C3B81"/>
    <w:rsid w:val="005C5D79"/>
    <w:rsid w:val="005C650C"/>
    <w:rsid w:val="005D086C"/>
    <w:rsid w:val="005D11D3"/>
    <w:rsid w:val="005D4E1F"/>
    <w:rsid w:val="005D4FB3"/>
    <w:rsid w:val="005D51D1"/>
    <w:rsid w:val="005D52A1"/>
    <w:rsid w:val="005E13BB"/>
    <w:rsid w:val="005E2F07"/>
    <w:rsid w:val="005E2FEA"/>
    <w:rsid w:val="005E3A0B"/>
    <w:rsid w:val="005E536E"/>
    <w:rsid w:val="005F314B"/>
    <w:rsid w:val="005F5034"/>
    <w:rsid w:val="0060433C"/>
    <w:rsid w:val="00611AF2"/>
    <w:rsid w:val="0061212B"/>
    <w:rsid w:val="006127AF"/>
    <w:rsid w:val="00615FB2"/>
    <w:rsid w:val="00617BD1"/>
    <w:rsid w:val="00617CE8"/>
    <w:rsid w:val="00621D25"/>
    <w:rsid w:val="00622778"/>
    <w:rsid w:val="00624EAB"/>
    <w:rsid w:val="006278A0"/>
    <w:rsid w:val="00630074"/>
    <w:rsid w:val="0063095F"/>
    <w:rsid w:val="00634417"/>
    <w:rsid w:val="0064352D"/>
    <w:rsid w:val="00644904"/>
    <w:rsid w:val="00646AC2"/>
    <w:rsid w:val="00650390"/>
    <w:rsid w:val="00650F0F"/>
    <w:rsid w:val="00651F6A"/>
    <w:rsid w:val="00654DAB"/>
    <w:rsid w:val="0065577B"/>
    <w:rsid w:val="00656F0B"/>
    <w:rsid w:val="00657061"/>
    <w:rsid w:val="00657164"/>
    <w:rsid w:val="0066204A"/>
    <w:rsid w:val="00670E3C"/>
    <w:rsid w:val="0067591A"/>
    <w:rsid w:val="00675ED3"/>
    <w:rsid w:val="00676850"/>
    <w:rsid w:val="00677F57"/>
    <w:rsid w:val="00681088"/>
    <w:rsid w:val="00690BBC"/>
    <w:rsid w:val="0069577E"/>
    <w:rsid w:val="00696033"/>
    <w:rsid w:val="0069634B"/>
    <w:rsid w:val="00696623"/>
    <w:rsid w:val="006A04E9"/>
    <w:rsid w:val="006A46EF"/>
    <w:rsid w:val="006A4A03"/>
    <w:rsid w:val="006A7543"/>
    <w:rsid w:val="006B725C"/>
    <w:rsid w:val="006C173A"/>
    <w:rsid w:val="006C273D"/>
    <w:rsid w:val="006C45F0"/>
    <w:rsid w:val="006C56A7"/>
    <w:rsid w:val="006C5C4F"/>
    <w:rsid w:val="006C6282"/>
    <w:rsid w:val="006C762A"/>
    <w:rsid w:val="006D10CD"/>
    <w:rsid w:val="006D14DD"/>
    <w:rsid w:val="006D2736"/>
    <w:rsid w:val="006D5FF9"/>
    <w:rsid w:val="006E0772"/>
    <w:rsid w:val="006E0D57"/>
    <w:rsid w:val="006E0F86"/>
    <w:rsid w:val="006E32A2"/>
    <w:rsid w:val="006E64DF"/>
    <w:rsid w:val="006F0B15"/>
    <w:rsid w:val="006F0DCC"/>
    <w:rsid w:val="006F1B6B"/>
    <w:rsid w:val="006F4074"/>
    <w:rsid w:val="006F4DFD"/>
    <w:rsid w:val="006F61DA"/>
    <w:rsid w:val="00701748"/>
    <w:rsid w:val="00701C9E"/>
    <w:rsid w:val="00703DF9"/>
    <w:rsid w:val="007048EB"/>
    <w:rsid w:val="00704FBB"/>
    <w:rsid w:val="00706EF4"/>
    <w:rsid w:val="0070709D"/>
    <w:rsid w:val="0070726A"/>
    <w:rsid w:val="0071226B"/>
    <w:rsid w:val="00714A5F"/>
    <w:rsid w:val="00716DCD"/>
    <w:rsid w:val="00717040"/>
    <w:rsid w:val="00717184"/>
    <w:rsid w:val="00717F9C"/>
    <w:rsid w:val="00723FC8"/>
    <w:rsid w:val="007261A0"/>
    <w:rsid w:val="00730921"/>
    <w:rsid w:val="00732A1D"/>
    <w:rsid w:val="0073318F"/>
    <w:rsid w:val="00742B67"/>
    <w:rsid w:val="00745E7E"/>
    <w:rsid w:val="00751501"/>
    <w:rsid w:val="00755426"/>
    <w:rsid w:val="00756EBF"/>
    <w:rsid w:val="00761545"/>
    <w:rsid w:val="00766CC0"/>
    <w:rsid w:val="00770974"/>
    <w:rsid w:val="007716C9"/>
    <w:rsid w:val="007718B5"/>
    <w:rsid w:val="00774946"/>
    <w:rsid w:val="007750A2"/>
    <w:rsid w:val="00780EA2"/>
    <w:rsid w:val="007817D6"/>
    <w:rsid w:val="00783D91"/>
    <w:rsid w:val="007874E2"/>
    <w:rsid w:val="00787912"/>
    <w:rsid w:val="0079177A"/>
    <w:rsid w:val="00794836"/>
    <w:rsid w:val="007948D5"/>
    <w:rsid w:val="00797B92"/>
    <w:rsid w:val="007A15C9"/>
    <w:rsid w:val="007A2263"/>
    <w:rsid w:val="007A5B12"/>
    <w:rsid w:val="007A6676"/>
    <w:rsid w:val="007B0446"/>
    <w:rsid w:val="007B061A"/>
    <w:rsid w:val="007B4D42"/>
    <w:rsid w:val="007B5D1B"/>
    <w:rsid w:val="007B7FF5"/>
    <w:rsid w:val="007C1891"/>
    <w:rsid w:val="007C3FC6"/>
    <w:rsid w:val="007C6521"/>
    <w:rsid w:val="007C6A86"/>
    <w:rsid w:val="007D14EA"/>
    <w:rsid w:val="007D2CE9"/>
    <w:rsid w:val="007D4FED"/>
    <w:rsid w:val="007D53DC"/>
    <w:rsid w:val="007D69DA"/>
    <w:rsid w:val="007D70B1"/>
    <w:rsid w:val="007D7140"/>
    <w:rsid w:val="007E1C73"/>
    <w:rsid w:val="007E1CDB"/>
    <w:rsid w:val="007E408C"/>
    <w:rsid w:val="007E7706"/>
    <w:rsid w:val="007E7E21"/>
    <w:rsid w:val="007F0460"/>
    <w:rsid w:val="007F0DA2"/>
    <w:rsid w:val="007F39CE"/>
    <w:rsid w:val="007F427F"/>
    <w:rsid w:val="007F5E0D"/>
    <w:rsid w:val="007F7B77"/>
    <w:rsid w:val="0080082D"/>
    <w:rsid w:val="00801085"/>
    <w:rsid w:val="00801A89"/>
    <w:rsid w:val="00805D32"/>
    <w:rsid w:val="00812138"/>
    <w:rsid w:val="008151F2"/>
    <w:rsid w:val="0081777A"/>
    <w:rsid w:val="008210E0"/>
    <w:rsid w:val="00824079"/>
    <w:rsid w:val="008276F6"/>
    <w:rsid w:val="00831F0A"/>
    <w:rsid w:val="00832896"/>
    <w:rsid w:val="00833A78"/>
    <w:rsid w:val="00835C6C"/>
    <w:rsid w:val="008362E2"/>
    <w:rsid w:val="008366D5"/>
    <w:rsid w:val="0084374E"/>
    <w:rsid w:val="0084585F"/>
    <w:rsid w:val="00846A4B"/>
    <w:rsid w:val="00853E53"/>
    <w:rsid w:val="00854ED3"/>
    <w:rsid w:val="00855108"/>
    <w:rsid w:val="00855B02"/>
    <w:rsid w:val="00864D76"/>
    <w:rsid w:val="008656C9"/>
    <w:rsid w:val="0086711C"/>
    <w:rsid w:val="00867535"/>
    <w:rsid w:val="0087052A"/>
    <w:rsid w:val="008709FB"/>
    <w:rsid w:val="00872D5B"/>
    <w:rsid w:val="00875C5B"/>
    <w:rsid w:val="008767B8"/>
    <w:rsid w:val="008825BC"/>
    <w:rsid w:val="008832B8"/>
    <w:rsid w:val="00883C5F"/>
    <w:rsid w:val="00886C92"/>
    <w:rsid w:val="00891C7D"/>
    <w:rsid w:val="00892FA7"/>
    <w:rsid w:val="008A1B77"/>
    <w:rsid w:val="008A3301"/>
    <w:rsid w:val="008A3988"/>
    <w:rsid w:val="008A4135"/>
    <w:rsid w:val="008A4DF1"/>
    <w:rsid w:val="008A5636"/>
    <w:rsid w:val="008B125E"/>
    <w:rsid w:val="008B241C"/>
    <w:rsid w:val="008B408B"/>
    <w:rsid w:val="008B4F11"/>
    <w:rsid w:val="008C0533"/>
    <w:rsid w:val="008C2362"/>
    <w:rsid w:val="008C3049"/>
    <w:rsid w:val="008C5EBB"/>
    <w:rsid w:val="008C6CF8"/>
    <w:rsid w:val="008C726C"/>
    <w:rsid w:val="008D086B"/>
    <w:rsid w:val="008D3370"/>
    <w:rsid w:val="008D4AE9"/>
    <w:rsid w:val="008D4C51"/>
    <w:rsid w:val="008D5CF3"/>
    <w:rsid w:val="008D62AF"/>
    <w:rsid w:val="008D7D39"/>
    <w:rsid w:val="008E3CFD"/>
    <w:rsid w:val="008E438E"/>
    <w:rsid w:val="008E4574"/>
    <w:rsid w:val="008E6025"/>
    <w:rsid w:val="008E6F7D"/>
    <w:rsid w:val="008E73C6"/>
    <w:rsid w:val="008F4016"/>
    <w:rsid w:val="008F42FE"/>
    <w:rsid w:val="008F4A00"/>
    <w:rsid w:val="008F5402"/>
    <w:rsid w:val="008F6963"/>
    <w:rsid w:val="0090053A"/>
    <w:rsid w:val="00901C2A"/>
    <w:rsid w:val="00904269"/>
    <w:rsid w:val="00904F39"/>
    <w:rsid w:val="009076F9"/>
    <w:rsid w:val="009109EC"/>
    <w:rsid w:val="009118C7"/>
    <w:rsid w:val="00913DAB"/>
    <w:rsid w:val="00915040"/>
    <w:rsid w:val="0091517D"/>
    <w:rsid w:val="009201A0"/>
    <w:rsid w:val="009225B6"/>
    <w:rsid w:val="00925397"/>
    <w:rsid w:val="00926C67"/>
    <w:rsid w:val="00930103"/>
    <w:rsid w:val="00933A21"/>
    <w:rsid w:val="00934C10"/>
    <w:rsid w:val="00935FF2"/>
    <w:rsid w:val="0093662A"/>
    <w:rsid w:val="009403B3"/>
    <w:rsid w:val="0094060C"/>
    <w:rsid w:val="009441A3"/>
    <w:rsid w:val="009536D7"/>
    <w:rsid w:val="00954E59"/>
    <w:rsid w:val="00955A4A"/>
    <w:rsid w:val="009606A5"/>
    <w:rsid w:val="00962F1F"/>
    <w:rsid w:val="00965229"/>
    <w:rsid w:val="00965304"/>
    <w:rsid w:val="00965D22"/>
    <w:rsid w:val="00966989"/>
    <w:rsid w:val="009676B6"/>
    <w:rsid w:val="009706DE"/>
    <w:rsid w:val="00971293"/>
    <w:rsid w:val="00973A3B"/>
    <w:rsid w:val="00976333"/>
    <w:rsid w:val="00980F1E"/>
    <w:rsid w:val="00983EAE"/>
    <w:rsid w:val="0098585B"/>
    <w:rsid w:val="009858B0"/>
    <w:rsid w:val="0098760B"/>
    <w:rsid w:val="00993448"/>
    <w:rsid w:val="00994C65"/>
    <w:rsid w:val="00996AE2"/>
    <w:rsid w:val="009A11DD"/>
    <w:rsid w:val="009A2CB0"/>
    <w:rsid w:val="009A6C6C"/>
    <w:rsid w:val="009B30AA"/>
    <w:rsid w:val="009B34A8"/>
    <w:rsid w:val="009B3AEF"/>
    <w:rsid w:val="009B4749"/>
    <w:rsid w:val="009B5217"/>
    <w:rsid w:val="009B6118"/>
    <w:rsid w:val="009C4798"/>
    <w:rsid w:val="009C48DE"/>
    <w:rsid w:val="009D17EF"/>
    <w:rsid w:val="009D75D1"/>
    <w:rsid w:val="009E1E1E"/>
    <w:rsid w:val="009E31AA"/>
    <w:rsid w:val="009E33E3"/>
    <w:rsid w:val="009E6FB7"/>
    <w:rsid w:val="009E70F0"/>
    <w:rsid w:val="009E7F16"/>
    <w:rsid w:val="009F266F"/>
    <w:rsid w:val="009F2F82"/>
    <w:rsid w:val="009F5052"/>
    <w:rsid w:val="00A01F06"/>
    <w:rsid w:val="00A02DC0"/>
    <w:rsid w:val="00A04C85"/>
    <w:rsid w:val="00A05D86"/>
    <w:rsid w:val="00A100F0"/>
    <w:rsid w:val="00A14AFE"/>
    <w:rsid w:val="00A15145"/>
    <w:rsid w:val="00A156E6"/>
    <w:rsid w:val="00A27D86"/>
    <w:rsid w:val="00A316C0"/>
    <w:rsid w:val="00A33151"/>
    <w:rsid w:val="00A36970"/>
    <w:rsid w:val="00A41EB4"/>
    <w:rsid w:val="00A44BFF"/>
    <w:rsid w:val="00A46347"/>
    <w:rsid w:val="00A46610"/>
    <w:rsid w:val="00A501E3"/>
    <w:rsid w:val="00A50F0C"/>
    <w:rsid w:val="00A51541"/>
    <w:rsid w:val="00A52C04"/>
    <w:rsid w:val="00A5410F"/>
    <w:rsid w:val="00A5484C"/>
    <w:rsid w:val="00A56441"/>
    <w:rsid w:val="00A60A07"/>
    <w:rsid w:val="00A640A3"/>
    <w:rsid w:val="00A661D9"/>
    <w:rsid w:val="00A67A0B"/>
    <w:rsid w:val="00A736DD"/>
    <w:rsid w:val="00A74EAF"/>
    <w:rsid w:val="00A80316"/>
    <w:rsid w:val="00A81FA0"/>
    <w:rsid w:val="00A82869"/>
    <w:rsid w:val="00A86BA8"/>
    <w:rsid w:val="00A8758C"/>
    <w:rsid w:val="00A878CC"/>
    <w:rsid w:val="00A87CE5"/>
    <w:rsid w:val="00A87CF0"/>
    <w:rsid w:val="00A947A8"/>
    <w:rsid w:val="00A9598A"/>
    <w:rsid w:val="00AA127E"/>
    <w:rsid w:val="00AA19AE"/>
    <w:rsid w:val="00AA423D"/>
    <w:rsid w:val="00AA5873"/>
    <w:rsid w:val="00AA6A95"/>
    <w:rsid w:val="00AB10DE"/>
    <w:rsid w:val="00AB3668"/>
    <w:rsid w:val="00AB4C8E"/>
    <w:rsid w:val="00AB5338"/>
    <w:rsid w:val="00AB5ED7"/>
    <w:rsid w:val="00AB64CE"/>
    <w:rsid w:val="00AC0B4C"/>
    <w:rsid w:val="00AC47CF"/>
    <w:rsid w:val="00AC56B1"/>
    <w:rsid w:val="00AC58A6"/>
    <w:rsid w:val="00AD0AEE"/>
    <w:rsid w:val="00AD0BFF"/>
    <w:rsid w:val="00AD49E3"/>
    <w:rsid w:val="00AD4B4F"/>
    <w:rsid w:val="00AE111A"/>
    <w:rsid w:val="00AE69FC"/>
    <w:rsid w:val="00AF0616"/>
    <w:rsid w:val="00AF0E28"/>
    <w:rsid w:val="00AF4B79"/>
    <w:rsid w:val="00AF5948"/>
    <w:rsid w:val="00AF5EC9"/>
    <w:rsid w:val="00AF6F9B"/>
    <w:rsid w:val="00B01409"/>
    <w:rsid w:val="00B055A9"/>
    <w:rsid w:val="00B10A3D"/>
    <w:rsid w:val="00B10DBD"/>
    <w:rsid w:val="00B15629"/>
    <w:rsid w:val="00B22ED8"/>
    <w:rsid w:val="00B2372C"/>
    <w:rsid w:val="00B25334"/>
    <w:rsid w:val="00B2680E"/>
    <w:rsid w:val="00B32F70"/>
    <w:rsid w:val="00B35784"/>
    <w:rsid w:val="00B373D0"/>
    <w:rsid w:val="00B4035E"/>
    <w:rsid w:val="00B43AAA"/>
    <w:rsid w:val="00B43AF7"/>
    <w:rsid w:val="00B53139"/>
    <w:rsid w:val="00B562CE"/>
    <w:rsid w:val="00B60B84"/>
    <w:rsid w:val="00B62DE2"/>
    <w:rsid w:val="00B6623A"/>
    <w:rsid w:val="00B74417"/>
    <w:rsid w:val="00B757BD"/>
    <w:rsid w:val="00B758A0"/>
    <w:rsid w:val="00B770CC"/>
    <w:rsid w:val="00B77246"/>
    <w:rsid w:val="00B8521B"/>
    <w:rsid w:val="00B866CD"/>
    <w:rsid w:val="00B92AF0"/>
    <w:rsid w:val="00B93034"/>
    <w:rsid w:val="00B93345"/>
    <w:rsid w:val="00B94B2F"/>
    <w:rsid w:val="00B95EC8"/>
    <w:rsid w:val="00B97C5D"/>
    <w:rsid w:val="00BA0074"/>
    <w:rsid w:val="00BA1290"/>
    <w:rsid w:val="00BA1ABF"/>
    <w:rsid w:val="00BA3101"/>
    <w:rsid w:val="00BA4F49"/>
    <w:rsid w:val="00BA54C7"/>
    <w:rsid w:val="00BA5583"/>
    <w:rsid w:val="00BA5CD1"/>
    <w:rsid w:val="00BB1A7C"/>
    <w:rsid w:val="00BB2792"/>
    <w:rsid w:val="00BB4A54"/>
    <w:rsid w:val="00BB51E4"/>
    <w:rsid w:val="00BB5614"/>
    <w:rsid w:val="00BB5FCD"/>
    <w:rsid w:val="00BB76BF"/>
    <w:rsid w:val="00BC0A73"/>
    <w:rsid w:val="00BC1679"/>
    <w:rsid w:val="00BC1AD1"/>
    <w:rsid w:val="00BC4A58"/>
    <w:rsid w:val="00BC613B"/>
    <w:rsid w:val="00BD51D9"/>
    <w:rsid w:val="00BD5C76"/>
    <w:rsid w:val="00BD64E2"/>
    <w:rsid w:val="00BE4995"/>
    <w:rsid w:val="00BF429A"/>
    <w:rsid w:val="00BF4EAC"/>
    <w:rsid w:val="00BF53B8"/>
    <w:rsid w:val="00BF53F1"/>
    <w:rsid w:val="00BF62BE"/>
    <w:rsid w:val="00BF727A"/>
    <w:rsid w:val="00C01B5A"/>
    <w:rsid w:val="00C07126"/>
    <w:rsid w:val="00C1492B"/>
    <w:rsid w:val="00C15A1E"/>
    <w:rsid w:val="00C1603C"/>
    <w:rsid w:val="00C16853"/>
    <w:rsid w:val="00C17873"/>
    <w:rsid w:val="00C263F0"/>
    <w:rsid w:val="00C26851"/>
    <w:rsid w:val="00C30E75"/>
    <w:rsid w:val="00C33D23"/>
    <w:rsid w:val="00C33D41"/>
    <w:rsid w:val="00C344BC"/>
    <w:rsid w:val="00C35BE1"/>
    <w:rsid w:val="00C40106"/>
    <w:rsid w:val="00C40AFD"/>
    <w:rsid w:val="00C418E8"/>
    <w:rsid w:val="00C41E20"/>
    <w:rsid w:val="00C42E3E"/>
    <w:rsid w:val="00C51C13"/>
    <w:rsid w:val="00C525A5"/>
    <w:rsid w:val="00C5300F"/>
    <w:rsid w:val="00C55574"/>
    <w:rsid w:val="00C56D26"/>
    <w:rsid w:val="00C57A28"/>
    <w:rsid w:val="00C64703"/>
    <w:rsid w:val="00C65686"/>
    <w:rsid w:val="00C66167"/>
    <w:rsid w:val="00C66CE0"/>
    <w:rsid w:val="00C67AEB"/>
    <w:rsid w:val="00C70041"/>
    <w:rsid w:val="00C71BED"/>
    <w:rsid w:val="00C72A0D"/>
    <w:rsid w:val="00C73F2D"/>
    <w:rsid w:val="00C747C0"/>
    <w:rsid w:val="00C74E73"/>
    <w:rsid w:val="00C76E5D"/>
    <w:rsid w:val="00C81B53"/>
    <w:rsid w:val="00C82AD2"/>
    <w:rsid w:val="00C82CB6"/>
    <w:rsid w:val="00C84726"/>
    <w:rsid w:val="00C90FB6"/>
    <w:rsid w:val="00C91D9C"/>
    <w:rsid w:val="00C9220E"/>
    <w:rsid w:val="00C92AB0"/>
    <w:rsid w:val="00C932BD"/>
    <w:rsid w:val="00C93429"/>
    <w:rsid w:val="00CA16C5"/>
    <w:rsid w:val="00CA415A"/>
    <w:rsid w:val="00CA4DCC"/>
    <w:rsid w:val="00CA504F"/>
    <w:rsid w:val="00CA7A35"/>
    <w:rsid w:val="00CB0192"/>
    <w:rsid w:val="00CB0783"/>
    <w:rsid w:val="00CB1536"/>
    <w:rsid w:val="00CB167D"/>
    <w:rsid w:val="00CB3CE4"/>
    <w:rsid w:val="00CB5880"/>
    <w:rsid w:val="00CB5F3C"/>
    <w:rsid w:val="00CB6CD2"/>
    <w:rsid w:val="00CB73E2"/>
    <w:rsid w:val="00CB7FB8"/>
    <w:rsid w:val="00CC1F71"/>
    <w:rsid w:val="00CC5EB3"/>
    <w:rsid w:val="00CD07D5"/>
    <w:rsid w:val="00CD0E7B"/>
    <w:rsid w:val="00CD2ABD"/>
    <w:rsid w:val="00CD4024"/>
    <w:rsid w:val="00CD4617"/>
    <w:rsid w:val="00CD4855"/>
    <w:rsid w:val="00CE6D43"/>
    <w:rsid w:val="00CE7888"/>
    <w:rsid w:val="00CF43E1"/>
    <w:rsid w:val="00D03363"/>
    <w:rsid w:val="00D03AD8"/>
    <w:rsid w:val="00D0710B"/>
    <w:rsid w:val="00D10E1C"/>
    <w:rsid w:val="00D11278"/>
    <w:rsid w:val="00D12B37"/>
    <w:rsid w:val="00D12EFA"/>
    <w:rsid w:val="00D1404B"/>
    <w:rsid w:val="00D14774"/>
    <w:rsid w:val="00D153EE"/>
    <w:rsid w:val="00D15BF1"/>
    <w:rsid w:val="00D161A3"/>
    <w:rsid w:val="00D17FD6"/>
    <w:rsid w:val="00D22E49"/>
    <w:rsid w:val="00D234D6"/>
    <w:rsid w:val="00D23716"/>
    <w:rsid w:val="00D25ED8"/>
    <w:rsid w:val="00D278F7"/>
    <w:rsid w:val="00D27F8F"/>
    <w:rsid w:val="00D316B8"/>
    <w:rsid w:val="00D31CFC"/>
    <w:rsid w:val="00D3255D"/>
    <w:rsid w:val="00D340C3"/>
    <w:rsid w:val="00D355AB"/>
    <w:rsid w:val="00D409CD"/>
    <w:rsid w:val="00D40B9B"/>
    <w:rsid w:val="00D423D4"/>
    <w:rsid w:val="00D42CAF"/>
    <w:rsid w:val="00D44B2B"/>
    <w:rsid w:val="00D4763B"/>
    <w:rsid w:val="00D527A6"/>
    <w:rsid w:val="00D53136"/>
    <w:rsid w:val="00D56C6D"/>
    <w:rsid w:val="00D57DC2"/>
    <w:rsid w:val="00D601EF"/>
    <w:rsid w:val="00D61533"/>
    <w:rsid w:val="00D63B2F"/>
    <w:rsid w:val="00D6640B"/>
    <w:rsid w:val="00D70747"/>
    <w:rsid w:val="00D70CB3"/>
    <w:rsid w:val="00D7261D"/>
    <w:rsid w:val="00D73098"/>
    <w:rsid w:val="00D73F71"/>
    <w:rsid w:val="00D74962"/>
    <w:rsid w:val="00D7506D"/>
    <w:rsid w:val="00D755FC"/>
    <w:rsid w:val="00D76B6D"/>
    <w:rsid w:val="00D77C40"/>
    <w:rsid w:val="00D80FA1"/>
    <w:rsid w:val="00D820DA"/>
    <w:rsid w:val="00D821CA"/>
    <w:rsid w:val="00D82495"/>
    <w:rsid w:val="00D84D07"/>
    <w:rsid w:val="00D8526A"/>
    <w:rsid w:val="00D86899"/>
    <w:rsid w:val="00D90E91"/>
    <w:rsid w:val="00D93790"/>
    <w:rsid w:val="00D97257"/>
    <w:rsid w:val="00DA02D5"/>
    <w:rsid w:val="00DA1B10"/>
    <w:rsid w:val="00DA43E9"/>
    <w:rsid w:val="00DA5C3C"/>
    <w:rsid w:val="00DA5C55"/>
    <w:rsid w:val="00DB53C1"/>
    <w:rsid w:val="00DC1347"/>
    <w:rsid w:val="00DC2FFE"/>
    <w:rsid w:val="00DC39F1"/>
    <w:rsid w:val="00DC59E4"/>
    <w:rsid w:val="00DD08CC"/>
    <w:rsid w:val="00DD1D78"/>
    <w:rsid w:val="00DD6F39"/>
    <w:rsid w:val="00DE4B35"/>
    <w:rsid w:val="00DE5F04"/>
    <w:rsid w:val="00DE6DAE"/>
    <w:rsid w:val="00DF0478"/>
    <w:rsid w:val="00DF19C1"/>
    <w:rsid w:val="00DF1D62"/>
    <w:rsid w:val="00DF54CA"/>
    <w:rsid w:val="00DF5B64"/>
    <w:rsid w:val="00E02794"/>
    <w:rsid w:val="00E03E3D"/>
    <w:rsid w:val="00E043E3"/>
    <w:rsid w:val="00E0505B"/>
    <w:rsid w:val="00E0560C"/>
    <w:rsid w:val="00E11280"/>
    <w:rsid w:val="00E1151D"/>
    <w:rsid w:val="00E12359"/>
    <w:rsid w:val="00E152FF"/>
    <w:rsid w:val="00E170E7"/>
    <w:rsid w:val="00E2461B"/>
    <w:rsid w:val="00E24886"/>
    <w:rsid w:val="00E251CA"/>
    <w:rsid w:val="00E26F83"/>
    <w:rsid w:val="00E276FB"/>
    <w:rsid w:val="00E30B81"/>
    <w:rsid w:val="00E32595"/>
    <w:rsid w:val="00E325F7"/>
    <w:rsid w:val="00E33A74"/>
    <w:rsid w:val="00E35AE1"/>
    <w:rsid w:val="00E4030B"/>
    <w:rsid w:val="00E41D56"/>
    <w:rsid w:val="00E44623"/>
    <w:rsid w:val="00E457DF"/>
    <w:rsid w:val="00E46642"/>
    <w:rsid w:val="00E5139A"/>
    <w:rsid w:val="00E540C5"/>
    <w:rsid w:val="00E5413D"/>
    <w:rsid w:val="00E55674"/>
    <w:rsid w:val="00E57977"/>
    <w:rsid w:val="00E629F0"/>
    <w:rsid w:val="00E635D7"/>
    <w:rsid w:val="00E63638"/>
    <w:rsid w:val="00E66C2D"/>
    <w:rsid w:val="00E70576"/>
    <w:rsid w:val="00E83954"/>
    <w:rsid w:val="00E86D8D"/>
    <w:rsid w:val="00E87767"/>
    <w:rsid w:val="00E9044E"/>
    <w:rsid w:val="00E91730"/>
    <w:rsid w:val="00E96F04"/>
    <w:rsid w:val="00E97AEC"/>
    <w:rsid w:val="00EA20FE"/>
    <w:rsid w:val="00EA290C"/>
    <w:rsid w:val="00EA2A01"/>
    <w:rsid w:val="00EA520C"/>
    <w:rsid w:val="00EB40E0"/>
    <w:rsid w:val="00EB417A"/>
    <w:rsid w:val="00EB491E"/>
    <w:rsid w:val="00EB681B"/>
    <w:rsid w:val="00EC28CF"/>
    <w:rsid w:val="00EC4FAD"/>
    <w:rsid w:val="00EC7DC5"/>
    <w:rsid w:val="00ED3BEB"/>
    <w:rsid w:val="00ED3D70"/>
    <w:rsid w:val="00ED4F24"/>
    <w:rsid w:val="00ED71E3"/>
    <w:rsid w:val="00EE18EC"/>
    <w:rsid w:val="00EE3CFA"/>
    <w:rsid w:val="00EE69E4"/>
    <w:rsid w:val="00EF2A7F"/>
    <w:rsid w:val="00EF3E11"/>
    <w:rsid w:val="00EF7E90"/>
    <w:rsid w:val="00F002B6"/>
    <w:rsid w:val="00F009AC"/>
    <w:rsid w:val="00F034D8"/>
    <w:rsid w:val="00F07435"/>
    <w:rsid w:val="00F10AFE"/>
    <w:rsid w:val="00F15C6C"/>
    <w:rsid w:val="00F17173"/>
    <w:rsid w:val="00F2001C"/>
    <w:rsid w:val="00F224DC"/>
    <w:rsid w:val="00F25383"/>
    <w:rsid w:val="00F26000"/>
    <w:rsid w:val="00F2687F"/>
    <w:rsid w:val="00F27F29"/>
    <w:rsid w:val="00F32D54"/>
    <w:rsid w:val="00F32F49"/>
    <w:rsid w:val="00F36C54"/>
    <w:rsid w:val="00F4189B"/>
    <w:rsid w:val="00F418EA"/>
    <w:rsid w:val="00F41A29"/>
    <w:rsid w:val="00F438C5"/>
    <w:rsid w:val="00F44C1C"/>
    <w:rsid w:val="00F44E5C"/>
    <w:rsid w:val="00F458A6"/>
    <w:rsid w:val="00F518DF"/>
    <w:rsid w:val="00F544DB"/>
    <w:rsid w:val="00F6502E"/>
    <w:rsid w:val="00F65663"/>
    <w:rsid w:val="00F6672F"/>
    <w:rsid w:val="00F66BED"/>
    <w:rsid w:val="00F7506E"/>
    <w:rsid w:val="00F756C0"/>
    <w:rsid w:val="00F75A40"/>
    <w:rsid w:val="00F77637"/>
    <w:rsid w:val="00F829DB"/>
    <w:rsid w:val="00F82C87"/>
    <w:rsid w:val="00F8435D"/>
    <w:rsid w:val="00F86734"/>
    <w:rsid w:val="00F87DD0"/>
    <w:rsid w:val="00F92540"/>
    <w:rsid w:val="00F93360"/>
    <w:rsid w:val="00F93FE4"/>
    <w:rsid w:val="00F95C2C"/>
    <w:rsid w:val="00F9667D"/>
    <w:rsid w:val="00F969AD"/>
    <w:rsid w:val="00F97E4E"/>
    <w:rsid w:val="00FA0D4A"/>
    <w:rsid w:val="00FA217B"/>
    <w:rsid w:val="00FA59C6"/>
    <w:rsid w:val="00FB0BC5"/>
    <w:rsid w:val="00FB0BCC"/>
    <w:rsid w:val="00FC0FE5"/>
    <w:rsid w:val="00FC4442"/>
    <w:rsid w:val="00FC48B9"/>
    <w:rsid w:val="00FD15D3"/>
    <w:rsid w:val="00FD1ABC"/>
    <w:rsid w:val="00FD298F"/>
    <w:rsid w:val="00FD5ABB"/>
    <w:rsid w:val="00FD7DDF"/>
    <w:rsid w:val="00FE00BA"/>
    <w:rsid w:val="00FE2EB5"/>
    <w:rsid w:val="00FE4C92"/>
    <w:rsid w:val="00FF0FAA"/>
    <w:rsid w:val="00FF193E"/>
    <w:rsid w:val="00FF218A"/>
    <w:rsid w:val="00FF4396"/>
    <w:rsid w:val="00FF519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93C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PT" w:eastAsia="en-GB" w:bidi="en-GB"/>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40C"/>
    <w:pPr>
      <w:overflowPunct w:val="0"/>
      <w:autoSpaceDE w:val="0"/>
      <w:autoSpaceDN w:val="0"/>
      <w:adjustRightInd w:val="0"/>
      <w:spacing w:line="288" w:lineRule="auto"/>
      <w:jc w:val="both"/>
      <w:textAlignment w:val="baseline"/>
    </w:pPr>
    <w:rPr>
      <w:szCs w:val="20"/>
      <w:lang w:eastAsia="en-US" w:bidi="ar-SA"/>
    </w:rPr>
  </w:style>
  <w:style w:type="paragraph" w:styleId="Heading1">
    <w:name w:val="heading 1"/>
    <w:basedOn w:val="Normal"/>
    <w:next w:val="Normal"/>
    <w:link w:val="Heading1Char"/>
    <w:qFormat/>
    <w:rsid w:val="00A316C0"/>
    <w:pPr>
      <w:numPr>
        <w:numId w:val="1"/>
      </w:numPr>
      <w:ind w:left="720" w:hanging="720"/>
      <w:outlineLvl w:val="0"/>
    </w:pPr>
    <w:rPr>
      <w:kern w:val="28"/>
    </w:rPr>
  </w:style>
  <w:style w:type="paragraph" w:styleId="Heading2">
    <w:name w:val="heading 2"/>
    <w:basedOn w:val="Normal"/>
    <w:next w:val="Normal"/>
    <w:link w:val="Heading2Char"/>
    <w:qFormat/>
    <w:rsid w:val="00A316C0"/>
    <w:pPr>
      <w:numPr>
        <w:ilvl w:val="1"/>
        <w:numId w:val="1"/>
      </w:numPr>
      <w:ind w:left="720" w:hanging="720"/>
      <w:outlineLvl w:val="1"/>
    </w:pPr>
  </w:style>
  <w:style w:type="paragraph" w:styleId="Heading3">
    <w:name w:val="heading 3"/>
    <w:basedOn w:val="Normal"/>
    <w:next w:val="Normal"/>
    <w:link w:val="Heading3Char"/>
    <w:qFormat/>
    <w:rsid w:val="00A316C0"/>
    <w:pPr>
      <w:numPr>
        <w:ilvl w:val="2"/>
        <w:numId w:val="1"/>
      </w:numPr>
      <w:ind w:left="720" w:hanging="720"/>
      <w:outlineLvl w:val="2"/>
    </w:pPr>
  </w:style>
  <w:style w:type="paragraph" w:styleId="Heading4">
    <w:name w:val="heading 4"/>
    <w:basedOn w:val="Normal"/>
    <w:next w:val="Normal"/>
    <w:link w:val="Heading4Char"/>
    <w:qFormat/>
    <w:rsid w:val="00A316C0"/>
    <w:pPr>
      <w:numPr>
        <w:ilvl w:val="3"/>
        <w:numId w:val="1"/>
      </w:numPr>
      <w:ind w:left="720" w:hanging="720"/>
      <w:outlineLvl w:val="3"/>
    </w:pPr>
  </w:style>
  <w:style w:type="paragraph" w:styleId="Heading5">
    <w:name w:val="heading 5"/>
    <w:basedOn w:val="Normal"/>
    <w:next w:val="Normal"/>
    <w:link w:val="Heading5Char"/>
    <w:qFormat/>
    <w:rsid w:val="00A316C0"/>
    <w:pPr>
      <w:numPr>
        <w:ilvl w:val="4"/>
        <w:numId w:val="1"/>
      </w:numPr>
      <w:ind w:left="720" w:hanging="720"/>
      <w:outlineLvl w:val="4"/>
    </w:pPr>
  </w:style>
  <w:style w:type="paragraph" w:styleId="Heading6">
    <w:name w:val="heading 6"/>
    <w:basedOn w:val="Normal"/>
    <w:next w:val="Normal"/>
    <w:link w:val="Heading6Char"/>
    <w:qFormat/>
    <w:rsid w:val="00A316C0"/>
    <w:pPr>
      <w:numPr>
        <w:ilvl w:val="5"/>
        <w:numId w:val="1"/>
      </w:numPr>
      <w:ind w:left="720" w:hanging="720"/>
      <w:outlineLvl w:val="5"/>
    </w:pPr>
  </w:style>
  <w:style w:type="paragraph" w:styleId="Heading7">
    <w:name w:val="heading 7"/>
    <w:basedOn w:val="Normal"/>
    <w:next w:val="Normal"/>
    <w:link w:val="Heading7Char"/>
    <w:qFormat/>
    <w:rsid w:val="00A316C0"/>
    <w:pPr>
      <w:numPr>
        <w:ilvl w:val="6"/>
        <w:numId w:val="1"/>
      </w:numPr>
      <w:ind w:left="720" w:hanging="720"/>
      <w:outlineLvl w:val="6"/>
    </w:pPr>
  </w:style>
  <w:style w:type="paragraph" w:styleId="Heading8">
    <w:name w:val="heading 8"/>
    <w:basedOn w:val="Normal"/>
    <w:next w:val="Normal"/>
    <w:link w:val="Heading8Char"/>
    <w:qFormat/>
    <w:rsid w:val="00A316C0"/>
    <w:pPr>
      <w:numPr>
        <w:ilvl w:val="7"/>
        <w:numId w:val="1"/>
      </w:numPr>
      <w:ind w:left="720" w:hanging="720"/>
      <w:outlineLvl w:val="7"/>
    </w:pPr>
  </w:style>
  <w:style w:type="paragraph" w:styleId="Heading9">
    <w:name w:val="heading 9"/>
    <w:basedOn w:val="Normal"/>
    <w:next w:val="Normal"/>
    <w:link w:val="Heading9Char"/>
    <w:qFormat/>
    <w:rsid w:val="00A316C0"/>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szCs w:val="20"/>
      <w:lang w:eastAsia="en-US" w:bidi="ar-SA"/>
    </w:rPr>
  </w:style>
  <w:style w:type="character" w:customStyle="1" w:styleId="Heading2Char">
    <w:name w:val="Heading 2 Char"/>
    <w:basedOn w:val="DefaultParagraphFont"/>
    <w:link w:val="Heading2"/>
    <w:locked/>
    <w:rsid w:val="00CB1536"/>
    <w:rPr>
      <w:szCs w:val="20"/>
      <w:lang w:eastAsia="en-US" w:bidi="ar-SA"/>
    </w:rPr>
  </w:style>
  <w:style w:type="character" w:customStyle="1" w:styleId="Heading3Char">
    <w:name w:val="Heading 3 Char"/>
    <w:basedOn w:val="DefaultParagraphFont"/>
    <w:link w:val="Heading3"/>
    <w:locked/>
    <w:rsid w:val="00CB1536"/>
    <w:rPr>
      <w:szCs w:val="20"/>
      <w:lang w:eastAsia="en-US" w:bidi="ar-SA"/>
    </w:rPr>
  </w:style>
  <w:style w:type="character" w:customStyle="1" w:styleId="Heading4Char">
    <w:name w:val="Heading 4 Char"/>
    <w:basedOn w:val="DefaultParagraphFont"/>
    <w:link w:val="Heading4"/>
    <w:locked/>
    <w:rsid w:val="00CB1536"/>
    <w:rPr>
      <w:szCs w:val="20"/>
      <w:lang w:eastAsia="en-US" w:bidi="ar-SA"/>
    </w:rPr>
  </w:style>
  <w:style w:type="character" w:customStyle="1" w:styleId="Heading5Char">
    <w:name w:val="Heading 5 Char"/>
    <w:basedOn w:val="DefaultParagraphFont"/>
    <w:link w:val="Heading5"/>
    <w:locked/>
    <w:rsid w:val="00CB1536"/>
    <w:rPr>
      <w:szCs w:val="20"/>
      <w:lang w:eastAsia="en-US" w:bidi="ar-SA"/>
    </w:rPr>
  </w:style>
  <w:style w:type="character" w:customStyle="1" w:styleId="Heading6Char">
    <w:name w:val="Heading 6 Char"/>
    <w:basedOn w:val="DefaultParagraphFont"/>
    <w:link w:val="Heading6"/>
    <w:locked/>
    <w:rsid w:val="00CB1536"/>
    <w:rPr>
      <w:szCs w:val="20"/>
      <w:lang w:eastAsia="en-US" w:bidi="ar-SA"/>
    </w:rPr>
  </w:style>
  <w:style w:type="character" w:customStyle="1" w:styleId="Heading7Char">
    <w:name w:val="Heading 7 Char"/>
    <w:basedOn w:val="DefaultParagraphFont"/>
    <w:link w:val="Heading7"/>
    <w:locked/>
    <w:rsid w:val="00CB1536"/>
    <w:rPr>
      <w:szCs w:val="20"/>
      <w:lang w:eastAsia="en-US" w:bidi="ar-SA"/>
    </w:rPr>
  </w:style>
  <w:style w:type="character" w:customStyle="1" w:styleId="Heading8Char">
    <w:name w:val="Heading 8 Char"/>
    <w:basedOn w:val="DefaultParagraphFont"/>
    <w:link w:val="Heading8"/>
    <w:locked/>
    <w:rsid w:val="00CB1536"/>
    <w:rPr>
      <w:szCs w:val="20"/>
      <w:lang w:eastAsia="en-US" w:bidi="ar-SA"/>
    </w:rPr>
  </w:style>
  <w:style w:type="character" w:customStyle="1" w:styleId="Heading9Char">
    <w:name w:val="Heading 9 Char"/>
    <w:basedOn w:val="DefaultParagraphFont"/>
    <w:link w:val="Heading9"/>
    <w:locked/>
    <w:rsid w:val="00CB1536"/>
    <w:rPr>
      <w:szCs w:val="20"/>
      <w:lang w:eastAsia="en-US" w:bidi="ar-SA"/>
    </w:rPr>
  </w:style>
  <w:style w:type="paragraph" w:styleId="Footer">
    <w:name w:val="footer"/>
    <w:basedOn w:val="Normal"/>
    <w:link w:val="FooterChar"/>
    <w:rsid w:val="00A316C0"/>
  </w:style>
  <w:style w:type="character" w:customStyle="1" w:styleId="FooterChar">
    <w:name w:val="Footer Char"/>
    <w:basedOn w:val="DefaultParagraphFont"/>
    <w:link w:val="Footer"/>
    <w:locked/>
    <w:rsid w:val="00CB1536"/>
    <w:rPr>
      <w:szCs w:val="20"/>
      <w:lang w:eastAsia="en-US" w:bidi="ar-SA"/>
    </w:rPr>
  </w:style>
  <w:style w:type="paragraph" w:styleId="FootnoteText">
    <w:name w:val="footnote text"/>
    <w:basedOn w:val="Normal"/>
    <w:link w:val="FootnoteTextChar"/>
    <w:qFormat/>
    <w:rsid w:val="00A316C0"/>
    <w:pPr>
      <w:keepLines/>
      <w:spacing w:after="60" w:line="240" w:lineRule="auto"/>
      <w:ind w:left="720" w:hanging="720"/>
    </w:pPr>
    <w:rPr>
      <w:sz w:val="16"/>
    </w:rPr>
  </w:style>
  <w:style w:type="character" w:customStyle="1" w:styleId="FootnoteTextChar">
    <w:name w:val="Footnote Text Char"/>
    <w:basedOn w:val="DefaultParagraphFont"/>
    <w:link w:val="FootnoteText"/>
    <w:qFormat/>
    <w:locked/>
    <w:rsid w:val="00CB1536"/>
    <w:rPr>
      <w:sz w:val="16"/>
      <w:szCs w:val="20"/>
      <w:lang w:eastAsia="en-US" w:bidi="ar-SA"/>
    </w:rPr>
  </w:style>
  <w:style w:type="paragraph" w:styleId="Header">
    <w:name w:val="header"/>
    <w:basedOn w:val="Normal"/>
    <w:link w:val="HeaderChar"/>
    <w:rsid w:val="00A316C0"/>
  </w:style>
  <w:style w:type="character" w:customStyle="1" w:styleId="HeaderChar">
    <w:name w:val="Header Char"/>
    <w:basedOn w:val="DefaultParagraphFont"/>
    <w:link w:val="Header"/>
    <w:locked/>
    <w:rsid w:val="00CB1536"/>
    <w:rPr>
      <w:szCs w:val="20"/>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aliases w:val="Footnote symbol"/>
    <w:basedOn w:val="DefaultParagraphFont"/>
    <w:uiPriority w:val="99"/>
    <w:qFormat/>
    <w:rsid w:val="00A316C0"/>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CB5F3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F3C"/>
    <w:rPr>
      <w:rFonts w:ascii="Tahoma" w:hAnsi="Tahoma" w:cs="Tahoma"/>
      <w:sz w:val="16"/>
      <w:szCs w:val="16"/>
      <w:lang w:eastAsia="en-US" w:bidi="ar-SA"/>
    </w:rPr>
  </w:style>
  <w:style w:type="character" w:styleId="CommentReference">
    <w:name w:val="annotation reference"/>
    <w:basedOn w:val="DefaultParagraphFont"/>
    <w:uiPriority w:val="99"/>
    <w:semiHidden/>
    <w:unhideWhenUsed/>
    <w:rsid w:val="003101A4"/>
    <w:rPr>
      <w:sz w:val="16"/>
      <w:szCs w:val="16"/>
    </w:rPr>
  </w:style>
  <w:style w:type="paragraph" w:styleId="CommentText">
    <w:name w:val="annotation text"/>
    <w:basedOn w:val="Normal"/>
    <w:link w:val="CommentTextChar"/>
    <w:uiPriority w:val="99"/>
    <w:unhideWhenUsed/>
    <w:rsid w:val="003101A4"/>
    <w:pPr>
      <w:spacing w:line="240" w:lineRule="auto"/>
    </w:pPr>
    <w:rPr>
      <w:sz w:val="20"/>
    </w:rPr>
  </w:style>
  <w:style w:type="character" w:customStyle="1" w:styleId="CommentTextChar">
    <w:name w:val="Comment Text Char"/>
    <w:basedOn w:val="DefaultParagraphFont"/>
    <w:link w:val="CommentText"/>
    <w:uiPriority w:val="99"/>
    <w:rsid w:val="003101A4"/>
    <w:rPr>
      <w:sz w:val="20"/>
      <w:szCs w:val="20"/>
      <w:lang w:eastAsia="en-US" w:bidi="ar-SA"/>
    </w:rPr>
  </w:style>
  <w:style w:type="paragraph" w:styleId="CommentSubject">
    <w:name w:val="annotation subject"/>
    <w:basedOn w:val="CommentText"/>
    <w:next w:val="CommentText"/>
    <w:link w:val="CommentSubjectChar"/>
    <w:uiPriority w:val="99"/>
    <w:semiHidden/>
    <w:unhideWhenUsed/>
    <w:rsid w:val="003101A4"/>
    <w:rPr>
      <w:b/>
      <w:bCs/>
    </w:rPr>
  </w:style>
  <w:style w:type="character" w:customStyle="1" w:styleId="CommentSubjectChar">
    <w:name w:val="Comment Subject Char"/>
    <w:basedOn w:val="CommentTextChar"/>
    <w:link w:val="CommentSubject"/>
    <w:uiPriority w:val="99"/>
    <w:semiHidden/>
    <w:rsid w:val="003101A4"/>
    <w:rPr>
      <w:b/>
      <w:bCs/>
      <w:sz w:val="20"/>
      <w:szCs w:val="20"/>
      <w:lang w:eastAsia="en-US" w:bidi="ar-SA"/>
    </w:rPr>
  </w:style>
  <w:style w:type="character" w:customStyle="1" w:styleId="UnresolvedMention1">
    <w:name w:val="Unresolved Mention1"/>
    <w:basedOn w:val="DefaultParagraphFont"/>
    <w:uiPriority w:val="99"/>
    <w:semiHidden/>
    <w:unhideWhenUsed/>
    <w:rsid w:val="00306551"/>
    <w:rPr>
      <w:color w:val="605E5C"/>
      <w:shd w:val="clear" w:color="auto" w:fill="E1DFDD"/>
    </w:rPr>
  </w:style>
  <w:style w:type="paragraph" w:styleId="ListParagraph">
    <w:name w:val="List Paragraph"/>
    <w:basedOn w:val="Normal"/>
    <w:link w:val="ListParagraphChar"/>
    <w:uiPriority w:val="34"/>
    <w:qFormat/>
    <w:rsid w:val="00544B51"/>
    <w:pPr>
      <w:overflowPunct/>
      <w:autoSpaceDE/>
      <w:autoSpaceDN/>
      <w:adjustRightInd/>
      <w:spacing w:line="240" w:lineRule="auto"/>
      <w:ind w:left="720"/>
      <w:contextualSpacing/>
      <w:jc w:val="left"/>
      <w:textAlignment w:val="auto"/>
    </w:pPr>
    <w:rPr>
      <w:rFonts w:asciiTheme="minorHAnsi" w:eastAsiaTheme="minorHAnsi" w:hAnsiTheme="minorHAnsi" w:cstheme="minorBidi"/>
      <w:noProof/>
      <w:sz w:val="24"/>
      <w:szCs w:val="24"/>
    </w:rPr>
  </w:style>
  <w:style w:type="character" w:customStyle="1" w:styleId="ListParagraphChar">
    <w:name w:val="List Paragraph Char"/>
    <w:basedOn w:val="DefaultParagraphFont"/>
    <w:link w:val="ListParagraph"/>
    <w:uiPriority w:val="34"/>
    <w:locked/>
    <w:rsid w:val="00544B51"/>
    <w:rPr>
      <w:rFonts w:asciiTheme="minorHAnsi" w:eastAsiaTheme="minorHAnsi" w:hAnsiTheme="minorHAnsi" w:cstheme="minorBidi"/>
      <w:noProof/>
      <w:sz w:val="24"/>
      <w:szCs w:val="24"/>
      <w:lang w:eastAsia="en-US" w:bidi="ar-SA"/>
    </w:rPr>
  </w:style>
  <w:style w:type="paragraph" w:styleId="NormalWeb">
    <w:name w:val="Normal (Web)"/>
    <w:basedOn w:val="Normal"/>
    <w:uiPriority w:val="99"/>
    <w:unhideWhenUsed/>
    <w:rsid w:val="00656F0B"/>
    <w:pPr>
      <w:overflowPunct/>
      <w:autoSpaceDE/>
      <w:autoSpaceDN/>
      <w:adjustRightInd/>
      <w:spacing w:line="240" w:lineRule="auto"/>
      <w:jc w:val="left"/>
      <w:textAlignment w:val="auto"/>
    </w:pPr>
    <w:rPr>
      <w:rFonts w:eastAsiaTheme="minorHAnsi"/>
      <w:noProof/>
      <w:sz w:val="24"/>
      <w:szCs w:val="24"/>
    </w:rPr>
  </w:style>
  <w:style w:type="character" w:customStyle="1" w:styleId="UnresolvedMention2">
    <w:name w:val="Unresolved Mention2"/>
    <w:basedOn w:val="DefaultParagraphFont"/>
    <w:uiPriority w:val="99"/>
    <w:semiHidden/>
    <w:unhideWhenUsed/>
    <w:rsid w:val="00FA0D4A"/>
    <w:rPr>
      <w:color w:val="605E5C"/>
      <w:shd w:val="clear" w:color="auto" w:fill="E1DFDD"/>
    </w:rPr>
  </w:style>
  <w:style w:type="character" w:customStyle="1" w:styleId="UnresolvedMention3">
    <w:name w:val="Unresolved Mention3"/>
    <w:basedOn w:val="DefaultParagraphFont"/>
    <w:uiPriority w:val="99"/>
    <w:semiHidden/>
    <w:unhideWhenUsed/>
    <w:rsid w:val="00774946"/>
    <w:rPr>
      <w:color w:val="605E5C"/>
      <w:shd w:val="clear" w:color="auto" w:fill="E1DFDD"/>
    </w:rPr>
  </w:style>
  <w:style w:type="character" w:customStyle="1" w:styleId="UnresolvedMention4">
    <w:name w:val="Unresolved Mention4"/>
    <w:basedOn w:val="DefaultParagraphFont"/>
    <w:uiPriority w:val="99"/>
    <w:semiHidden/>
    <w:unhideWhenUsed/>
    <w:rsid w:val="00F95C2C"/>
    <w:rPr>
      <w:color w:val="605E5C"/>
      <w:shd w:val="clear" w:color="auto" w:fill="E1DFDD"/>
    </w:rPr>
  </w:style>
  <w:style w:type="character" w:customStyle="1" w:styleId="UnresolvedMention5">
    <w:name w:val="Unresolved Mention5"/>
    <w:basedOn w:val="DefaultParagraphFont"/>
    <w:uiPriority w:val="99"/>
    <w:semiHidden/>
    <w:unhideWhenUsed/>
    <w:rsid w:val="009934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89626">
      <w:bodyDiv w:val="1"/>
      <w:marLeft w:val="0"/>
      <w:marRight w:val="0"/>
      <w:marTop w:val="0"/>
      <w:marBottom w:val="0"/>
      <w:divBdr>
        <w:top w:val="none" w:sz="0" w:space="0" w:color="auto"/>
        <w:left w:val="none" w:sz="0" w:space="0" w:color="auto"/>
        <w:bottom w:val="none" w:sz="0" w:space="0" w:color="auto"/>
        <w:right w:val="none" w:sz="0" w:space="0" w:color="auto"/>
      </w:divBdr>
    </w:div>
    <w:div w:id="371537588">
      <w:bodyDiv w:val="1"/>
      <w:marLeft w:val="0"/>
      <w:marRight w:val="0"/>
      <w:marTop w:val="0"/>
      <w:marBottom w:val="0"/>
      <w:divBdr>
        <w:top w:val="none" w:sz="0" w:space="0" w:color="auto"/>
        <w:left w:val="none" w:sz="0" w:space="0" w:color="auto"/>
        <w:bottom w:val="none" w:sz="0" w:space="0" w:color="auto"/>
        <w:right w:val="none" w:sz="0" w:space="0" w:color="auto"/>
      </w:divBdr>
    </w:div>
    <w:div w:id="385883061">
      <w:bodyDiv w:val="1"/>
      <w:marLeft w:val="0"/>
      <w:marRight w:val="0"/>
      <w:marTop w:val="0"/>
      <w:marBottom w:val="0"/>
      <w:divBdr>
        <w:top w:val="none" w:sz="0" w:space="0" w:color="auto"/>
        <w:left w:val="none" w:sz="0" w:space="0" w:color="auto"/>
        <w:bottom w:val="none" w:sz="0" w:space="0" w:color="auto"/>
        <w:right w:val="none" w:sz="0" w:space="0" w:color="auto"/>
      </w:divBdr>
    </w:div>
    <w:div w:id="492842509">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94596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eco@eesc.europa.e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s://www.eesc.europa.eu/pt/documents/report/national-european-semester-days-austria-24-02-2026" TargetMode="External"/><Relationship Id="rId3" Type="http://schemas.openxmlformats.org/officeDocument/2006/relationships/hyperlink" Target="https://economy-finance.ec.europa.eu/economic-and-fiscal-governance/stability-and-growth-pact/preventive-arm/national-medium-term-fiscal-structural-plans_en" TargetMode="External"/><Relationship Id="rId7" Type="http://schemas.openxmlformats.org/officeDocument/2006/relationships/hyperlink" Target="https://www.eesc.europa.eu/pt/documents/report/national-european-semester-days-estonia-09-02-2026" TargetMode="External"/><Relationship Id="rId2" Type="http://schemas.openxmlformats.org/officeDocument/2006/relationships/hyperlink" Target="https://commission.europa.eu/publications/2025-european-semester-country-specific-recommendations-commission-recommendations_en" TargetMode="External"/><Relationship Id="rId1" Type="http://schemas.openxmlformats.org/officeDocument/2006/relationships/hyperlink" Target="https://www.eesc.europa.eu/pt/our-work/opinions-information-reports/opinions/eescs-recommendations-reform-and-investment-proposals-formulated-part-2025-2026-european-semester-cycle" TargetMode="External"/><Relationship Id="rId6" Type="http://schemas.openxmlformats.org/officeDocument/2006/relationships/hyperlink" Target="https://www.eesc.europa.eu/pt/documents/report/national-european-semester-days-cyprus-04-02-2026" TargetMode="External"/><Relationship Id="rId5" Type="http://schemas.openxmlformats.org/officeDocument/2006/relationships/hyperlink" Target="https://www.eesc.europa.eu/pt/documents/report/national-european-semester-days-romania-03-02-2026" TargetMode="External"/><Relationship Id="rId10" Type="http://schemas.openxmlformats.org/officeDocument/2006/relationships/hyperlink" Target="https://www.eesc.europa.eu/pt/sections-other-bodies/other/grupo-de-ligacao" TargetMode="External"/><Relationship Id="rId4" Type="http://schemas.openxmlformats.org/officeDocument/2006/relationships/hyperlink" Target="https://economy-finance.ec.europa.eu/economic-and-fiscal-governance/new-economic-governance-framework_en" TargetMode="External"/><Relationship Id="rId9" Type="http://schemas.openxmlformats.org/officeDocument/2006/relationships/hyperlink" Target="https://www.eesc.europa.eu/pt/documents/report/national-european-semester-days-france-02-03-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A6WAAD5KZT2Q-1415362569-8722</_dlc_DocId>
    <_dlc_DocIdUrl xmlns="1a33af13-4045-4f88-9d7b-618e30f79918">
      <Url>http://dm/eesc/2025/_layouts/15/DocIdRedir.aspx?ID=A6WAAD5KZT2Q-1415362569-8722</Url>
      <Description>A6WAAD5KZT2Q-1415362569-8722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RISE</TermName>
          <TermId xmlns="http://schemas.microsoft.com/office/infopath/2007/PartnerControls">e90d3dc9-efa2-4aa3-a057-89e12bda16a3</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2026-06-08T12:00:00+00:00</ProductionDate>
    <DocumentNumber xmlns="03db1768-8e83-4c4e-a8fb-1eb1d05ab6cf">4323</DocumentNumber>
    <FicheYear xmlns="1a33af13-4045-4f88-9d7b-618e30f79918" xsi:nil="true"/>
    <DossierNumber xmlns="1a33af13-4045-4f88-9d7b-618e30f79918">691</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2026-06-17T12:00:00+00:00</MeetingDate>
    <TaxCatchAll xmlns="1a33af13-4045-4f88-9d7b-618e30f79918">
      <Value>67</Value>
      <Value>23</Value>
      <Value>50</Value>
      <Value>47</Value>
      <Value>46</Value>
      <Value>43</Value>
      <Value>42</Value>
      <Value>41</Value>
      <Value>40</Value>
      <Value>39</Value>
      <Value>37</Value>
      <Value>36</Value>
      <Value>35</Value>
      <Value>34</Value>
      <Value>33</Value>
      <Value>32</Value>
      <Value>31</Value>
      <Value>30</Value>
      <Value>29</Value>
      <Value>28</Value>
      <Value>27</Value>
      <Value>24</Value>
      <Value>201</Value>
      <Value>16</Value>
      <Value>15</Value>
      <Value>103</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s>
    </DocumentLanguage_0>
    <Rapporteur xmlns="1a33af13-4045-4f88-9d7b-618e30f79918">LOBO XAVIER &amp; MONE &amp; JAHIER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297887</FicheNumber>
    <OriginalSender xmlns="1a33af13-4045-4f88-9d7b-618e30f79918">
      <UserInfo>
        <DisplayName>Rubano Noroes Silvana</DisplayName>
        <AccountId>1495</AccountId>
        <AccountType/>
      </UserInfo>
    </OriginalSender>
    <DocumentPart xmlns="1a33af13-4045-4f88-9d7b-618e30f79918">0</DocumentPart>
    <AdoptionDate xmlns="1a33af13-4045-4f88-9d7b-618e30f79918" xsi:nil="true"/>
    <RequestingService xmlns="1a33af13-4045-4f88-9d7b-618e30f79918">Union économique et monétaire et cohésion économique et sociale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3db1768-8e83-4c4e-a8fb-1eb1d05ab6cf">606</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Version xmlns="1a33af13-4045-4f88-9d7b-618e30f79918">0</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7FAFB00F4882C04A82CD69E07FC3C83E" ma:contentTypeVersion="4" ma:contentTypeDescription="Defines the documents for Document Manager V2" ma:contentTypeScope="" ma:versionID="e1f91dccb3ac38b965a7df337298240c">
  <xsd:schema xmlns:xsd="http://www.w3.org/2001/XMLSchema" xmlns:xs="http://www.w3.org/2001/XMLSchema" xmlns:p="http://schemas.microsoft.com/office/2006/metadata/properties" xmlns:ns2="1a33af13-4045-4f88-9d7b-618e30f79918" xmlns:ns3="http://schemas.microsoft.com/sharepoint/v3/fields" xmlns:ns4="03db1768-8e83-4c4e-a8fb-1eb1d05ab6cf" targetNamespace="http://schemas.microsoft.com/office/2006/metadata/properties" ma:root="true" ma:fieldsID="729eb5977a1faeb1512aca3b9df79d2e" ns2:_="" ns3:_="" ns4:_="">
    <xsd:import namespace="1a33af13-4045-4f88-9d7b-618e30f79918"/>
    <xsd:import namespace="http://schemas.microsoft.com/sharepoint/v3/fields"/>
    <xsd:import namespace="03db1768-8e83-4c4e-a8fb-1eb1d05ab6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db1768-8e83-4c4e-a8fb-1eb1d05ab6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17207E-FDCB-45A4-9568-582E795A2FA4}">
  <ds:schemaRefs>
    <ds:schemaRef ds:uri="http://schemas.microsoft.com/office/2006/metadata/properties"/>
    <ds:schemaRef ds:uri="http://schemas.microsoft.com/office/infopath/2007/PartnerControls"/>
    <ds:schemaRef ds:uri="1a33af13-4045-4f88-9d7b-618e30f79918"/>
    <ds:schemaRef ds:uri="http://schemas.microsoft.com/sharepoint/v3/fields"/>
    <ds:schemaRef ds:uri="03db1768-8e83-4c4e-a8fb-1eb1d05ab6cf"/>
  </ds:schemaRefs>
</ds:datastoreItem>
</file>

<file path=customXml/itemProps2.xml><?xml version="1.0" encoding="utf-8"?>
<ds:datastoreItem xmlns:ds="http://schemas.openxmlformats.org/officeDocument/2006/customXml" ds:itemID="{C35F24B5-48B9-453E-83AD-F4B7700C25C2}"/>
</file>

<file path=customXml/itemProps3.xml><?xml version="1.0" encoding="utf-8"?>
<ds:datastoreItem xmlns:ds="http://schemas.openxmlformats.org/officeDocument/2006/customXml" ds:itemID="{B7F538FD-8495-43C3-A451-5DB46B6A71FB}">
  <ds:schemaRefs>
    <ds:schemaRef ds:uri="http://schemas.microsoft.com/sharepoint/events"/>
  </ds:schemaRefs>
</ds:datastoreItem>
</file>

<file path=customXml/itemProps4.xml><?xml version="1.0" encoding="utf-8"?>
<ds:datastoreItem xmlns:ds="http://schemas.openxmlformats.org/officeDocument/2006/customXml" ds:itemID="{1124949D-427A-4A78-B7BF-91CF29FCE2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5321</Words>
  <Characters>30330</Characters>
  <Application>Microsoft Office Word</Application>
  <DocSecurity>0</DocSecurity>
  <Lines>252</Lines>
  <Paragraphs>71</Paragraphs>
  <ScaleCrop>false</ScaleCrop>
  <HeadingPairs>
    <vt:vector size="8" baseType="variant">
      <vt:variant>
        <vt:lpstr>Title</vt:lpstr>
      </vt:variant>
      <vt:variant>
        <vt:i4>1</vt:i4>
      </vt:variant>
      <vt:variant>
        <vt:lpstr>Título</vt:lpstr>
      </vt:variant>
      <vt:variant>
        <vt:i4>1</vt:i4>
      </vt:variant>
      <vt:variant>
        <vt:lpstr>Titolo</vt:lpstr>
      </vt:variant>
      <vt:variant>
        <vt:i4>1</vt:i4>
      </vt:variant>
      <vt:variant>
        <vt:lpstr>Titlu</vt:lpstr>
      </vt:variant>
      <vt:variant>
        <vt:i4>1</vt:i4>
      </vt:variant>
    </vt:vector>
  </HeadingPairs>
  <TitlesOfParts>
    <vt:vector size="4" baseType="lpstr">
      <vt:lpstr>National reform and investment proposals and their implementation: 2025-2026 European Semester cycle</vt:lpstr>
      <vt:lpstr>EESC APRI - Model</vt:lpstr>
      <vt:lpstr>EESC APRI - Model</vt:lpstr>
      <vt:lpstr>European Agenda on Migration: Second implementation package - A permanent crisis relocation mechanism under the Dublin system</vt:lpstr>
    </vt:vector>
  </TitlesOfParts>
  <Manager/>
  <Company/>
  <LinksUpToDate>false</LinksUpToDate>
  <CharactersWithSpaces>35580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Propostas de reformas e investimentos nacionais e sua aplicação: ciclo do Semestre Europeu 2025-2026</dc:title>
  <dc:subject>Draft information report</dc:subject>
  <dc:creator/>
  <cp:keywords>EESC-2025-04323-00-00-PRI-TRA-EN</cp:keywords>
  <dc:description>Rapporteur: - LOBO XAVIER &amp; MONE &amp; JAHIER Original language: - EN Date of document: - 19/05/2026 Date of meeting: - 04/06/2026 External documents: -  Administrator responsible: -  GREGOIRE COLOMBE</dc:description>
  <cp:lastModifiedBy/>
  <cp:revision>10</cp:revision>
  <cp:lastPrinted>2016-01-26T08:31:00Z</cp:lastPrinted>
  <dcterms:created xsi:type="dcterms:W3CDTF">2026-06-05T09:46:00Z</dcterms:created>
  <dcterms:modified xsi:type="dcterms:W3CDTF">2026-06-08T08:37:00Z</dcterms:modified>
  <cp:category>ECO/691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05/06/2026, 19/05/2026, 22/04/2026, 26/02/2025, 12/04/2024, 17/05/2022, 04/11/2015, 27/10/2015, 19/10/2015, 09/10/2015, 05/10/2015, 05/10/2015, 26/08/2015, 26/08/2015, 25/08/2015</vt:lpwstr>
  </property>
  <property fmtid="{D5CDD505-2E9C-101B-9397-08002B2CF9AE}" pid="4" name="Pref_Time">
    <vt:lpwstr>11:46:56, 13:42:21, 09:24:14, 11:27:19, 12:09:36, 12:15:48, 12:10:07, 14:44:02, 16:04:16, 14:09:30, 16:24:55, 16:04:02, 08:56:14, 07:27:56, 17:31:53</vt:lpwstr>
  </property>
  <property fmtid="{D5CDD505-2E9C-101B-9397-08002B2CF9AE}" pid="5" name="Pref_User">
    <vt:lpwstr>amett, jhvi, pacup, enied, enied, enied, ssex, enied, amett, tvoc, mreg, mreg, amett, enied, ssex</vt:lpwstr>
  </property>
  <property fmtid="{D5CDD505-2E9C-101B-9397-08002B2CF9AE}" pid="6" name="Pref_FileName">
    <vt:lpwstr>EESC-2025-04323-00-00-RISE-TRA-EN-CRR.docx, EESC-2025-04323-00-00-PRI-ORI.docx, EESC-2025-04323-00-00-APRI-ORI.docx, EESC-2024-03288-00-00-APRI-ORI.docx, COR-EESC-2024-01326-24-00-ADMIN-ORI.docx, COR-EESC-2022-02575-00-00-ADMIN-ORI.docx, EESC-2015-05408-0</vt:lpwstr>
  </property>
  <property fmtid="{D5CDD505-2E9C-101B-9397-08002B2CF9AE}" pid="7" name="ContentTypeId">
    <vt:lpwstr>0x010100EA97B91038054C99906057A708A1480A007FAFB00F4882C04A82CD69E07FC3C83E</vt:lpwstr>
  </property>
  <property fmtid="{D5CDD505-2E9C-101B-9397-08002B2CF9AE}" pid="8" name="_dlc_DocIdItemGuid">
    <vt:lpwstr>431dd02a-a2db-49f0-8368-95285d09d695</vt:lpwstr>
  </property>
  <property fmtid="{D5CDD505-2E9C-101B-9397-08002B2CF9AE}" pid="9" name="AvailableTranslations">
    <vt:lpwstr>50;#HR|2f555653-ed1a-4fe6-8362-9082d95989e5;#31;#SL|98a412ae-eb01-49e9-ae3d-585a81724cfc;#41;#ET|ff6c3f4c-b02c-4c3c-ab07-2c37995a7a0a;#16;#ES|e7a6b05b-ae16-40c8-add9-68b64b03aeba;#24;#PL|1e03da61-4678-4e07-b136-b5024ca9197b;#39;#LV|46f7e311-5d9f-4663-b433-18aeccb7ace7;#40;#DA|5d49c027-8956-412b-aa16-e85a0f96ad0e;#32;#MT|7df99101-6854-4a26-b53a-b88c0da02c26;#46;#SK|46d9fce0-ef79-4f71-b89b-cd6aa82426b8;#12;#FR|d2afafd3-4c81-4f60-8f52-ee33f2f54ff3;#42;#EL|6d4f4d51-af9b-4650-94b4-4276bee85c91;#37;#HU|6b229040-c589-4408-b4c1-4285663d20a8;#27;#NL|55c6556c-b4f4-441d-9acf-c498d4f838bd;#5;#EN|f2175f21-25d7-44a3-96da-d6a61b075e1b;#43;#GA|762d2456-c427-4ecb-b312-af3dad8e258c;#30;#LT|a7ff5ce7-6123-4f68-865a-a57c31810414;#34;#IT|0774613c-01ed-4e5d-a25d-11d2388de825;#33;#PT|50ccc04a-eadd-42ae-a0cb-acaf45f812ba;#47;#BG|1a1b3951-7821-4e6a-85f5-5673fc08bd2c;#29;#CS|72f9705b-0217-4fd3-bea2-cbc7ed80e26e;#23;#DE|f6b31e5a-26fa-4935-b661-318e46daf27e;#28;#SV|c2ed69e7-a339-43d7-8f22-d93680a92aa0;#36;#RO|feb747a2-64cd-4299-af12-4833ddc30497;#35;#FI|87606a43-d45f-42d6-b8c9-e1a3457db5b7</vt:lpwstr>
  </property>
  <property fmtid="{D5CDD505-2E9C-101B-9397-08002B2CF9AE}" pid="10" name="DocumentType_0">
    <vt:lpwstr>RISE|e90d3dc9-efa2-4aa3-a057-89e12bda16a3</vt:lpwstr>
  </property>
  <property fmtid="{D5CDD505-2E9C-101B-9397-08002B2CF9AE}" pid="11" name="MeetingNumber">
    <vt:i4>606</vt:i4>
  </property>
  <property fmtid="{D5CDD505-2E9C-101B-9397-08002B2CF9AE}" pid="12" name="DossierName_0">
    <vt:lpwstr>ECO|8df351f5-c957-404c-8cf3-8ffb22c9cba2</vt:lpwstr>
  </property>
  <property fmtid="{D5CDD505-2E9C-101B-9397-08002B2CF9AE}" pid="13" name="DocumentSource_0">
    <vt:lpwstr>EESC|422833ec-8d7e-4e65-8e4e-8bed07ffb729</vt:lpwstr>
  </property>
  <property fmtid="{D5CDD505-2E9C-101B-9397-08002B2CF9AE}" pid="14" name="DocumentNumber">
    <vt:i4>4323</vt:i4>
  </property>
  <property fmtid="{D5CDD505-2E9C-101B-9397-08002B2CF9AE}" pid="15" name="FicheYear">
    <vt:i4>2025</vt:i4>
  </property>
  <property fmtid="{D5CDD505-2E9C-101B-9397-08002B2CF9AE}" pid="16" name="DocumentVersion">
    <vt:i4>0</vt:i4>
  </property>
  <property fmtid="{D5CDD505-2E9C-101B-9397-08002B2CF9AE}" pid="17" name="DossierNumber">
    <vt:i4>691</vt:i4>
  </property>
  <property fmtid="{D5CDD505-2E9C-101B-9397-08002B2CF9AE}" pid="18" name="DocumentStatus">
    <vt:lpwstr>13;#TRA|150d2a88-1431-44e6-a8ca-0bb753ab8672</vt:lpwstr>
  </property>
  <property fmtid="{D5CDD505-2E9C-101B-9397-08002B2CF9AE}" pid="19" name="DossierName">
    <vt:lpwstr>103;#ECO|8df351f5-c957-404c-8cf3-8ffb22c9cba2</vt:lpwstr>
  </property>
  <property fmtid="{D5CDD505-2E9C-101B-9397-08002B2CF9AE}" pid="20" name="RequestingService">
    <vt:lpwstr>Union économique et monétaire et cohésion économique et sociale</vt:lpwstr>
  </property>
  <property fmtid="{D5CDD505-2E9C-101B-9397-08002B2CF9AE}" pid="21" name="Confidentiality">
    <vt:lpwstr>15;#Unrestricted|826e22d7-d029-4ec0-a450-0c28ff673572</vt:lpwstr>
  </property>
  <property fmtid="{D5CDD505-2E9C-101B-9397-08002B2CF9AE}" pid="22" name="MeetingName_0">
    <vt:lpwstr>SPL-CES|32d8cb1f-c9ec-4365-95c7-8385a18618ac</vt:lpwstr>
  </property>
  <property fmtid="{D5CDD505-2E9C-101B-9397-08002B2CF9AE}" pid="23" name="Confidentiality_0">
    <vt:lpwstr>Unrestricted|826e22d7-d029-4ec0-a450-0c28ff673572</vt:lpwstr>
  </property>
  <property fmtid="{D5CDD505-2E9C-101B-9397-08002B2CF9AE}" pid="24" name="OriginalLanguage">
    <vt:lpwstr>5;#EN|f2175f21-25d7-44a3-96da-d6a61b075e1b</vt:lpwstr>
  </property>
  <property fmtid="{D5CDD505-2E9C-101B-9397-08002B2CF9AE}" pid="25" name="MeetingName">
    <vt:lpwstr>67;#SPL-CES|32d8cb1f-c9ec-4365-95c7-8385a18618ac</vt:lpwstr>
  </property>
  <property fmtid="{D5CDD505-2E9C-101B-9397-08002B2CF9AE}" pid="26" name="MeetingDate">
    <vt:filetime>2026-06-17T12:00:00Z</vt:filetime>
  </property>
  <property fmtid="{D5CDD505-2E9C-101B-9397-08002B2CF9AE}" pid="27" name="AvailableTranslations_0">
    <vt:lpwstr>HR|2f555653-ed1a-4fe6-8362-9082d95989e5;SL|98a412ae-eb01-49e9-ae3d-585a81724cfc;ES|e7a6b05b-ae16-40c8-add9-68b64b03aeba;SK|46d9fce0-ef79-4f71-b89b-cd6aa82426b8;HU|6b229040-c589-4408-b4c1-4285663d20a8;EN|f2175f21-25d7-44a3-96da-d6a61b075e1b;LT|a7ff5ce7-6123-4f68-865a-a57c31810414;IT|0774613c-01ed-4e5d-a25d-11d2388de825;CS|72f9705b-0217-4fd3-bea2-cbc7ed80e26e;DE|f6b31e5a-26fa-4935-b661-318e46daf27e;SV|c2ed69e7-a339-43d7-8f22-d93680a92aa0;FI|87606a43-d45f-42d6-b8c9-e1a3457db5b7</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35;#FI|87606a43-d45f-42d6-b8c9-e1a3457db5b7;#34;#IT|0774613c-01ed-4e5d-a25d-11d2388de825;#31;#SL|98a412ae-eb01-49e9-ae3d-585a81724cfc;#67;#SPL-CES|32d8cb1f-c9ec-4365-95c7-8385a18618ac;#103;#ECO|8df351f5-c957-404c-8cf3-8ffb22c9cba2;#28;#SV|c2ed69e7-a339-43d7-8f22-d93680a92aa0;#23;#DE|f6b31e5a-26fa-4935-b661-318e46daf27e;#16;#ES|e7a6b05b-ae16-40c8-add9-68b64b03aeba;#15;#Unrestricted|826e22d7-d029-4ec0-a450-0c28ff673572;#50;#HR|2f555653-ed1a-4fe6-8362-9082d95989e5;#13;#TRA|150d2a88-1431-44e6-a8ca-0bb753ab8672;#201;#RISE|e90d3dc9-efa2-4aa3-a057-89e12bda16a3;#46;#SK|46d9fce0-ef79-4f71-b89b-cd6aa82426b8;#8;#Final|ea5e6674-7b27-4bac-b091-73adbb394efe;#30;#LT|a7ff5ce7-6123-4f68-865a-a57c31810414;#29;#CS|72f9705b-0217-4fd3-bea2-cbc7ed80e26e;#5;#EN|f2175f21-25d7-44a3-96da-d6a61b075e1b;#1;#EESC|422833ec-8d7e-4e65-8e4e-8bed07ffb729;#37;#HU|6b229040-c589-4408-b4c1-4285663d20a8</vt:lpwstr>
  </property>
  <property fmtid="{D5CDD505-2E9C-101B-9397-08002B2CF9AE}" pid="31" name="Rapporteur">
    <vt:lpwstr>LOBO XAVIER &amp; MONE &amp; JAHIER</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2025</vt:i4>
  </property>
  <property fmtid="{D5CDD505-2E9C-101B-9397-08002B2CF9AE}" pid="35" name="FicheNumber">
    <vt:i4>297887</vt:i4>
  </property>
  <property fmtid="{D5CDD505-2E9C-101B-9397-08002B2CF9AE}" pid="36" name="DocumentPart">
    <vt:i4>0</vt:i4>
  </property>
  <property fmtid="{D5CDD505-2E9C-101B-9397-08002B2CF9AE}" pid="37" name="DocumentSource">
    <vt:lpwstr>1;#EESC|422833ec-8d7e-4e65-8e4e-8bed07ffb729</vt:lpwstr>
  </property>
  <property fmtid="{D5CDD505-2E9C-101B-9397-08002B2CF9AE}" pid="38" name="DocumentType">
    <vt:lpwstr>201;#RISE|e90d3dc9-efa2-4aa3-a057-89e12bda16a3</vt:lpwstr>
  </property>
  <property fmtid="{D5CDD505-2E9C-101B-9397-08002B2CF9AE}" pid="39" name="DocumentLanguage">
    <vt:lpwstr>33;#PT|50ccc04a-eadd-42ae-a0cb-acaf45f812ba</vt:lpwstr>
  </property>
  <property fmtid="{D5CDD505-2E9C-101B-9397-08002B2CF9AE}" pid="40" name="_docset_NoMedatataSyncRequired">
    <vt:lpwstr>False</vt:lpwstr>
  </property>
  <property fmtid="{D5CDD505-2E9C-101B-9397-08002B2CF9AE}" pid="41" name="DocumentLanguage_0">
    <vt:lpwstr>EN|f2175f21-25d7-44a3-96da-d6a61b075e1b</vt:lpwstr>
  </property>
</Properties>
</file>