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547F" w14:textId="62E06888" w:rsidR="00646AC2" w:rsidRPr="00094654" w:rsidRDefault="00E639B9" w:rsidP="003216CC">
      <w:pPr>
        <w:overflowPunct/>
        <w:adjustRightInd/>
        <w:jc w:val="center"/>
        <w:textAlignment w:val="auto"/>
        <w:rPr>
          <w:szCs w:val="22"/>
        </w:rPr>
      </w:pPr>
      <w:r w:rsidRPr="00094654">
        <w:rPr>
          <w:noProof/>
        </w:rPr>
        <w:drawing>
          <wp:inline distT="0" distB="0" distL="0" distR="0" wp14:anchorId="091D4F2A" wp14:editId="6459C4D1">
            <wp:extent cx="1792605" cy="1239520"/>
            <wp:effectExtent l="0" t="0" r="0" b="0"/>
            <wp:docPr id="3" name="Picture 3" title="EESCLogo_IT"/>
            <wp:cNvGraphicFramePr/>
            <a:graphic xmlns:a="http://schemas.openxmlformats.org/drawingml/2006/main">
              <a:graphicData uri="http://schemas.openxmlformats.org/drawingml/2006/picture">
                <pic:pic xmlns:pic="http://schemas.openxmlformats.org/drawingml/2006/picture">
                  <pic:nvPicPr>
                    <pic:cNvPr id="3" name="Picture 3" title="EESCLogo_IT"/>
                    <pic:cNvPicPr/>
                  </pic:nvPicPr>
                  <pic:blipFill>
                    <a:blip r:embed="rId11"/>
                    <a:stretch>
                      <a:fillRect/>
                    </a:stretch>
                  </pic:blipFill>
                  <pic:spPr>
                    <a:xfrm>
                      <a:off x="0" y="0"/>
                      <a:ext cx="1792605" cy="1239520"/>
                    </a:xfrm>
                    <a:prstGeom prst="rect">
                      <a:avLst/>
                    </a:prstGeom>
                  </pic:spPr>
                </pic:pic>
              </a:graphicData>
            </a:graphic>
          </wp:inline>
        </w:drawing>
      </w:r>
      <w:r w:rsidR="0073318F" w:rsidRPr="00094654">
        <w:rPr>
          <w:noProof/>
        </w:rPr>
        <mc:AlternateContent>
          <mc:Choice Requires="wps">
            <w:drawing>
              <wp:anchor distT="0" distB="0" distL="114300" distR="114300" simplePos="0" relativeHeight="251657728" behindDoc="1" locked="0" layoutInCell="0" allowOverlap="1" wp14:anchorId="729ADD32" wp14:editId="561704BE">
                <wp:simplePos x="0" y="0"/>
                <wp:positionH relativeFrom="page">
                  <wp:posOffset>6769100</wp:posOffset>
                </wp:positionH>
                <wp:positionV relativeFrom="page">
                  <wp:posOffset>10081260</wp:posOffset>
                </wp:positionV>
                <wp:extent cx="647700" cy="396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wps:spPr>
                      <wps:txbx>
                        <w:txbxContent>
                          <w:p w14:paraId="79610E7F" w14:textId="77777777" w:rsidR="00DB53C1" w:rsidRPr="00260E65" w:rsidRDefault="00DB53C1">
                            <w:pPr>
                              <w:jc w:val="center"/>
                              <w:rPr>
                                <w:rFonts w:ascii="Arial" w:hAnsi="Arial" w:cs="Arial"/>
                                <w:b/>
                                <w:bCs/>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ADD32" id="_x0000_t202" coordsize="21600,21600" o:spt="202" path="m,l,21600r21600,l21600,xe">
                <v:stroke joinstyle="miter"/>
                <v:path gradientshapeok="t" o:connecttype="rect"/>
              </v:shapetype>
              <v:shape id="Text Box 2" o:spid="_x0000_s1026" type="#_x0000_t202" style="position:absolute;left:0;text-align:left;margin-left:533pt;margin-top:793.8pt;width:51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" o:allowincell="f" filled="f" stroked="f">
                <v:textbox>
                  <w:txbxContent>
                    <w:p w14:paraId="79610E7F" w14:textId="77777777" w:rsidR="00DB53C1" w:rsidRPr="00260E65" w:rsidRDefault="00DB53C1">
                      <w:pPr>
                        <w:jc w:val="center"/>
                        <w:rPr>
                          <w:rFonts w:ascii="Arial" w:hAnsi="Arial" w:cs="Arial"/>
                          <w:b/>
                          <w:bCs/>
                          <w:sz w:val="48"/>
                        </w:rPr>
                      </w:pPr>
                      <w:r>
                        <w:rPr>
                          <w:rFonts w:ascii="Arial" w:hAnsi="Arial"/>
                          <w:b/>
                          <w:sz w:val="48"/>
                        </w:rPr>
                        <w:t>IT</w:t>
                      </w:r>
                    </w:p>
                  </w:txbxContent>
                </v:textbox>
                <w10:wrap anchorx="page" anchory="page"/>
              </v:shape>
            </w:pict>
          </mc:Fallback>
        </mc:AlternateContent>
      </w:r>
    </w:p>
    <w:p w14:paraId="2F2F423C" w14:textId="77777777" w:rsidR="003E0EB4" w:rsidRPr="00094654" w:rsidRDefault="003E0EB4" w:rsidP="003216CC">
      <w:pPr>
        <w:overflowPunct/>
        <w:adjustRightInd/>
        <w:jc w:val="left"/>
        <w:textAlignment w:val="auto"/>
        <w:rPr>
          <w:szCs w:val="22"/>
        </w:rPr>
      </w:pPr>
    </w:p>
    <w:p w14:paraId="430CD72E" w14:textId="078BAB7F" w:rsidR="00646AC2" w:rsidRPr="00094654" w:rsidRDefault="00306551" w:rsidP="003216CC">
      <w:pPr>
        <w:overflowPunct/>
        <w:adjustRightInd/>
        <w:jc w:val="right"/>
        <w:textAlignment w:val="auto"/>
        <w:rPr>
          <w:b/>
          <w:szCs w:val="22"/>
        </w:rPr>
      </w:pPr>
      <w:r w:rsidRPr="00094654">
        <w:rPr>
          <w:b/>
        </w:rPr>
        <w:t>ECO/691</w:t>
      </w:r>
    </w:p>
    <w:p w14:paraId="69A218C3" w14:textId="763022B1" w:rsidR="001960C6" w:rsidRPr="00094654" w:rsidRDefault="00306551" w:rsidP="003216CC">
      <w:pPr>
        <w:overflowPunct/>
        <w:adjustRightInd/>
        <w:jc w:val="right"/>
        <w:textAlignment w:val="auto"/>
        <w:rPr>
          <w:szCs w:val="22"/>
        </w:rPr>
      </w:pPr>
      <w:r w:rsidRPr="00094654">
        <w:rPr>
          <w:b/>
        </w:rPr>
        <w:t xml:space="preserve">Le proposte di riforma e investimento degli Stati membri e la loro attuazione: </w:t>
      </w:r>
      <w:r w:rsidR="00AB2CA8" w:rsidRPr="00094654">
        <w:rPr>
          <w:b/>
        </w:rPr>
        <w:br/>
      </w:r>
      <w:r w:rsidRPr="00094654">
        <w:rPr>
          <w:b/>
        </w:rPr>
        <w:t>ciclo del semestre europeo 2025-2026</w:t>
      </w:r>
    </w:p>
    <w:p w14:paraId="0A9CDACB" w14:textId="77777777" w:rsidR="009B30AA" w:rsidRPr="00094654" w:rsidRDefault="009B30AA" w:rsidP="003216CC">
      <w:pPr>
        <w:overflowPunct/>
        <w:adjustRightInd/>
        <w:textAlignment w:val="auto"/>
        <w:rPr>
          <w:szCs w:val="22"/>
        </w:rPr>
      </w:pPr>
    </w:p>
    <w:p w14:paraId="3E824B14" w14:textId="77777777" w:rsidR="009B30AA" w:rsidRPr="00094654" w:rsidRDefault="009B30AA" w:rsidP="003216CC">
      <w:pPr>
        <w:overflowPunct/>
        <w:adjustRightInd/>
        <w:textAlignment w:val="auto"/>
        <w:rPr>
          <w:szCs w:val="22"/>
        </w:rPr>
      </w:pPr>
    </w:p>
    <w:p w14:paraId="278713FC" w14:textId="0A469A4A" w:rsidR="00357217" w:rsidRPr="00094654" w:rsidRDefault="008709FB" w:rsidP="003216CC">
      <w:pPr>
        <w:overflowPunct/>
        <w:adjustRightInd/>
        <w:jc w:val="center"/>
        <w:textAlignment w:val="auto"/>
        <w:rPr>
          <w:b/>
          <w:szCs w:val="22"/>
        </w:rPr>
      </w:pPr>
      <w:r w:rsidRPr="00094654">
        <w:rPr>
          <w:b/>
          <w:sz w:val="28"/>
        </w:rPr>
        <w:t>RELAZIONE INFORMATIVA</w:t>
      </w:r>
    </w:p>
    <w:p w14:paraId="04167C99" w14:textId="77777777" w:rsidR="00357217" w:rsidRPr="00094654" w:rsidRDefault="00357217" w:rsidP="003216CC">
      <w:pPr>
        <w:overflowPunct/>
        <w:adjustRightInd/>
        <w:jc w:val="center"/>
        <w:textAlignment w:val="auto"/>
        <w:rPr>
          <w:b/>
          <w:szCs w:val="22"/>
        </w:rPr>
      </w:pPr>
    </w:p>
    <w:p w14:paraId="6DB6A916" w14:textId="7285A7A0" w:rsidR="00357217" w:rsidRPr="00094654" w:rsidRDefault="000B22C0" w:rsidP="003216CC">
      <w:pPr>
        <w:overflowPunct/>
        <w:adjustRightInd/>
        <w:jc w:val="center"/>
        <w:textAlignment w:val="auto"/>
        <w:rPr>
          <w:szCs w:val="22"/>
        </w:rPr>
      </w:pPr>
      <w:r w:rsidRPr="00094654">
        <w:t>Sezione</w:t>
      </w:r>
      <w:r w:rsidR="00306551" w:rsidRPr="00094654">
        <w:t xml:space="preserve"> Unione economica e monetaria, coesione economica e sociale</w:t>
      </w:r>
    </w:p>
    <w:p w14:paraId="138190FA" w14:textId="77777777" w:rsidR="00357217" w:rsidRPr="00094654" w:rsidRDefault="00357217" w:rsidP="003216CC">
      <w:pPr>
        <w:overflowPunct/>
        <w:adjustRightInd/>
        <w:jc w:val="center"/>
        <w:textAlignment w:val="auto"/>
        <w:rPr>
          <w:b/>
          <w:szCs w:val="22"/>
        </w:rPr>
      </w:pPr>
    </w:p>
    <w:p w14:paraId="5A859A04" w14:textId="67881E4A" w:rsidR="00357217" w:rsidRPr="00094654" w:rsidRDefault="00A51541" w:rsidP="003216CC">
      <w:pPr>
        <w:overflowPunct/>
        <w:adjustRightInd/>
        <w:jc w:val="center"/>
        <w:textAlignment w:val="auto"/>
        <w:rPr>
          <w:b/>
          <w:szCs w:val="22"/>
        </w:rPr>
      </w:pPr>
      <w:r w:rsidRPr="00094654">
        <w:rPr>
          <w:b/>
        </w:rPr>
        <w:t xml:space="preserve">Il punto di vista della società civile organizzata negli Stati membri dell'UE </w:t>
      </w:r>
      <w:r w:rsidR="008D1D92" w:rsidRPr="00094654">
        <w:rPr>
          <w:b/>
        </w:rPr>
        <w:br/>
      </w:r>
      <w:r w:rsidRPr="00094654">
        <w:rPr>
          <w:b/>
        </w:rPr>
        <w:t xml:space="preserve">sulle proposte di riforma e investimento a livello nazionale e sulla loro attuazione </w:t>
      </w:r>
      <w:r w:rsidR="008D1D92" w:rsidRPr="00094654">
        <w:rPr>
          <w:b/>
        </w:rPr>
        <w:br/>
      </w:r>
      <w:r w:rsidRPr="00094654">
        <w:rPr>
          <w:b/>
        </w:rPr>
        <w:t>(ciclo del semestre europeo 2025-2026)</w:t>
      </w:r>
    </w:p>
    <w:p w14:paraId="52727447" w14:textId="77777777" w:rsidR="009B30AA" w:rsidRPr="00094654" w:rsidRDefault="009B30AA" w:rsidP="003216CC">
      <w:pPr>
        <w:overflowPunct/>
        <w:adjustRightInd/>
        <w:jc w:val="center"/>
        <w:textAlignment w:val="auto"/>
        <w:rPr>
          <w:szCs w:val="22"/>
        </w:r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D44B2B" w:rsidRPr="00094654" w14:paraId="329C3F91" w14:textId="77777777" w:rsidTr="00DA02D5">
        <w:tc>
          <w:tcPr>
            <w:tcW w:w="3085" w:type="dxa"/>
          </w:tcPr>
          <w:p w14:paraId="7EA71BF0" w14:textId="6388A47F" w:rsidR="00D44B2B" w:rsidRPr="00094654" w:rsidRDefault="000B22C0" w:rsidP="003216CC">
            <w:pPr>
              <w:overflowPunct/>
              <w:adjustRightInd/>
              <w:jc w:val="left"/>
              <w:textAlignment w:val="auto"/>
              <w:rPr>
                <w:szCs w:val="22"/>
              </w:rPr>
            </w:pPr>
            <w:r w:rsidRPr="00094654">
              <w:t>E</w:t>
            </w:r>
            <w:r w:rsidR="00D44B2B" w:rsidRPr="00094654">
              <w:t>-mail di contatto:</w:t>
            </w:r>
          </w:p>
        </w:tc>
        <w:tc>
          <w:tcPr>
            <w:tcW w:w="6204" w:type="dxa"/>
          </w:tcPr>
          <w:p w14:paraId="6BE7B1C8" w14:textId="6E2974E1" w:rsidR="00D44B2B" w:rsidRPr="00094654" w:rsidRDefault="00BA5536" w:rsidP="003216CC">
            <w:pPr>
              <w:overflowPunct/>
              <w:adjustRightInd/>
              <w:jc w:val="left"/>
              <w:textAlignment w:val="auto"/>
              <w:rPr>
                <w:szCs w:val="22"/>
              </w:rPr>
            </w:pPr>
            <w:hyperlink r:id="rId12" w:history="1">
              <w:r w:rsidR="00E639B9" w:rsidRPr="00094654">
                <w:rPr>
                  <w:rStyle w:val="Hyperlink"/>
                </w:rPr>
                <w:t>eco@eesc.europa.eu</w:t>
              </w:r>
            </w:hyperlink>
          </w:p>
        </w:tc>
      </w:tr>
      <w:tr w:rsidR="00D44B2B" w:rsidRPr="00094654" w14:paraId="275E91C2" w14:textId="77777777" w:rsidTr="00DA02D5">
        <w:tc>
          <w:tcPr>
            <w:tcW w:w="3085" w:type="dxa"/>
          </w:tcPr>
          <w:p w14:paraId="2F3F6589" w14:textId="77777777" w:rsidR="00D44B2B" w:rsidRPr="00094654" w:rsidRDefault="00D44B2B" w:rsidP="003216CC">
            <w:pPr>
              <w:overflowPunct/>
              <w:adjustRightInd/>
              <w:jc w:val="left"/>
              <w:textAlignment w:val="auto"/>
              <w:rPr>
                <w:szCs w:val="22"/>
              </w:rPr>
            </w:pPr>
            <w:r w:rsidRPr="00094654">
              <w:t>Amministratrice</w:t>
            </w:r>
          </w:p>
        </w:tc>
        <w:tc>
          <w:tcPr>
            <w:tcW w:w="6204" w:type="dxa"/>
          </w:tcPr>
          <w:p w14:paraId="2E26F3AA" w14:textId="77777777" w:rsidR="00D44B2B" w:rsidRPr="00094654" w:rsidRDefault="00D44B2B" w:rsidP="003216CC">
            <w:pPr>
              <w:overflowPunct/>
              <w:adjustRightInd/>
              <w:jc w:val="left"/>
              <w:textAlignment w:val="auto"/>
              <w:rPr>
                <w:szCs w:val="22"/>
              </w:rPr>
            </w:pPr>
            <w:r w:rsidRPr="00094654">
              <w:t>Colombe GREGOIRE</w:t>
            </w:r>
          </w:p>
        </w:tc>
      </w:tr>
      <w:tr w:rsidR="00D44B2B" w:rsidRPr="00094654" w14:paraId="16BBD0BD" w14:textId="77777777" w:rsidTr="00DA02D5">
        <w:tc>
          <w:tcPr>
            <w:tcW w:w="3085" w:type="dxa"/>
          </w:tcPr>
          <w:p w14:paraId="720A8083" w14:textId="77777777" w:rsidR="00D44B2B" w:rsidRPr="00094654" w:rsidRDefault="00D44B2B" w:rsidP="003216CC">
            <w:pPr>
              <w:overflowPunct/>
              <w:adjustRightInd/>
              <w:jc w:val="left"/>
              <w:textAlignment w:val="auto"/>
              <w:rPr>
                <w:szCs w:val="22"/>
              </w:rPr>
            </w:pPr>
            <w:r w:rsidRPr="00094654">
              <w:t>Data del documento</w:t>
            </w:r>
          </w:p>
        </w:tc>
        <w:tc>
          <w:tcPr>
            <w:tcW w:w="6204" w:type="dxa"/>
          </w:tcPr>
          <w:p w14:paraId="17F114E8" w14:textId="57E3FD32" w:rsidR="00D44B2B" w:rsidRPr="00094654" w:rsidRDefault="003216CC" w:rsidP="003216CC">
            <w:pPr>
              <w:overflowPunct/>
              <w:adjustRightInd/>
              <w:jc w:val="left"/>
              <w:textAlignment w:val="auto"/>
              <w:rPr>
                <w:szCs w:val="22"/>
              </w:rPr>
            </w:pPr>
            <w:r w:rsidRPr="00094654">
              <w:t>9/6/2026</w:t>
            </w:r>
          </w:p>
        </w:tc>
      </w:tr>
    </w:tbl>
    <w:p w14:paraId="3E43AEF0" w14:textId="44684F07" w:rsidR="00306551" w:rsidRPr="00094654" w:rsidRDefault="007F5E0D" w:rsidP="003216CC">
      <w:pPr>
        <w:tabs>
          <w:tab w:val="center" w:pos="4536"/>
          <w:tab w:val="left" w:pos="6795"/>
        </w:tabs>
        <w:overflowPunct/>
        <w:adjustRightInd/>
        <w:jc w:val="center"/>
        <w:textAlignment w:val="auto"/>
        <w:rPr>
          <w:b/>
          <w:szCs w:val="22"/>
        </w:rPr>
      </w:pPr>
      <w:r w:rsidRPr="00094654">
        <w:t xml:space="preserve">Relatori: </w:t>
      </w:r>
      <w:r w:rsidRPr="00094654">
        <w:rPr>
          <w:b/>
        </w:rPr>
        <w:t>Gonçalo LOBO XAVIER</w:t>
      </w:r>
    </w:p>
    <w:p w14:paraId="459B0394" w14:textId="7AD373E1" w:rsidR="00306551" w:rsidRPr="00094654" w:rsidRDefault="00761545" w:rsidP="003216CC">
      <w:pPr>
        <w:overflowPunct/>
        <w:adjustRightInd/>
        <w:jc w:val="center"/>
        <w:textAlignment w:val="auto"/>
        <w:rPr>
          <w:b/>
          <w:szCs w:val="22"/>
        </w:rPr>
      </w:pPr>
      <w:r w:rsidRPr="00094654">
        <w:rPr>
          <w:b/>
        </w:rPr>
        <w:t>Andrea MONE</w:t>
      </w:r>
    </w:p>
    <w:p w14:paraId="66E52F29" w14:textId="77777777" w:rsidR="00704FBB" w:rsidRPr="00094654" w:rsidRDefault="00306551" w:rsidP="003216CC">
      <w:pPr>
        <w:overflowPunct/>
        <w:adjustRightInd/>
        <w:jc w:val="center"/>
        <w:textAlignment w:val="auto"/>
        <w:rPr>
          <w:szCs w:val="22"/>
        </w:rPr>
      </w:pPr>
      <w:r w:rsidRPr="00094654">
        <w:rPr>
          <w:b/>
        </w:rPr>
        <w:t>Luca JAHIER</w:t>
      </w:r>
    </w:p>
    <w:p w14:paraId="014F3567" w14:textId="77777777" w:rsidR="002C29E6" w:rsidRPr="00094654" w:rsidRDefault="002C29E6" w:rsidP="003216CC">
      <w:pPr>
        <w:overflowPunct/>
        <w:adjustRightInd/>
        <w:jc w:val="center"/>
        <w:textAlignment w:val="auto"/>
        <w:rPr>
          <w:szCs w:val="22"/>
        </w:rPr>
      </w:pPr>
    </w:p>
    <w:p w14:paraId="56C06D69" w14:textId="77777777" w:rsidR="00704FBB" w:rsidRPr="00094654" w:rsidRDefault="00704FBB" w:rsidP="003216CC">
      <w:pPr>
        <w:overflowPunct/>
        <w:adjustRightInd/>
        <w:jc w:val="left"/>
        <w:textAlignment w:val="auto"/>
        <w:rPr>
          <w:szCs w:val="22"/>
        </w:rPr>
      </w:pPr>
    </w:p>
    <w:p w14:paraId="2F322971" w14:textId="77777777" w:rsidR="00646AC2" w:rsidRPr="00094654" w:rsidRDefault="00646AC2" w:rsidP="003216CC">
      <w:pPr>
        <w:overflowPunct/>
        <w:adjustRightInd/>
        <w:textAlignment w:val="auto"/>
        <w:rPr>
          <w:szCs w:val="22"/>
        </w:rPr>
      </w:pPr>
    </w:p>
    <w:p w14:paraId="326CA041" w14:textId="77777777" w:rsidR="00646AC2" w:rsidRPr="00094654" w:rsidRDefault="00646AC2" w:rsidP="003216CC">
      <w:pPr>
        <w:overflowPunct/>
        <w:adjustRightInd/>
        <w:textAlignment w:val="auto"/>
        <w:rPr>
          <w:szCs w:val="22"/>
        </w:rPr>
        <w:sectPr w:rsidR="00646AC2" w:rsidRPr="00094654" w:rsidSect="003216CC">
          <w:footerReference w:type="default" r:id="rId13"/>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003B363C" w:rsidRPr="00094654" w14:paraId="556F1F29" w14:textId="77777777" w:rsidTr="00DA02D5">
        <w:trPr>
          <w:trHeight w:val="250"/>
        </w:trPr>
        <w:tc>
          <w:tcPr>
            <w:tcW w:w="3055" w:type="dxa"/>
          </w:tcPr>
          <w:p w14:paraId="4D371C23" w14:textId="397C74B4" w:rsidR="00CB5880" w:rsidRPr="00094654" w:rsidRDefault="00CB5880" w:rsidP="003216CC">
            <w:pPr>
              <w:overflowPunct/>
              <w:adjustRightInd/>
              <w:jc w:val="left"/>
              <w:textAlignment w:val="auto"/>
              <w:rPr>
                <w:szCs w:val="22"/>
              </w:rPr>
            </w:pPr>
            <w:r w:rsidRPr="00094654">
              <w:lastRenderedPageBreak/>
              <w:t>Consiglieri</w:t>
            </w:r>
          </w:p>
        </w:tc>
        <w:tc>
          <w:tcPr>
            <w:tcW w:w="6018" w:type="dxa"/>
          </w:tcPr>
          <w:p w14:paraId="045835AB" w14:textId="6AA79793" w:rsidR="00CB5880" w:rsidRPr="00094654" w:rsidRDefault="00167F6A" w:rsidP="003216CC">
            <w:pPr>
              <w:overflowPunct/>
              <w:adjustRightInd/>
              <w:jc w:val="left"/>
              <w:textAlignment w:val="auto"/>
              <w:rPr>
                <w:szCs w:val="22"/>
              </w:rPr>
            </w:pPr>
            <w:r w:rsidRPr="00094654">
              <w:t>Anna COLOMBO (per il relatore Luca JAHIER)</w:t>
            </w:r>
          </w:p>
          <w:p w14:paraId="563F4CB8" w14:textId="3A6ECD07" w:rsidR="00167F6A" w:rsidRPr="00094654" w:rsidRDefault="00167F6A" w:rsidP="003216CC">
            <w:pPr>
              <w:overflowPunct/>
              <w:adjustRightInd/>
              <w:jc w:val="left"/>
              <w:textAlignment w:val="auto"/>
              <w:rPr>
                <w:szCs w:val="22"/>
              </w:rPr>
            </w:pPr>
            <w:r w:rsidRPr="00094654">
              <w:t>Marco CILENTO (per il relatore Andrea MONE)</w:t>
            </w:r>
          </w:p>
        </w:tc>
      </w:tr>
      <w:tr w:rsidR="003B363C" w:rsidRPr="00094654" w14:paraId="79CC1BD8" w14:textId="77777777" w:rsidTr="00DA02D5">
        <w:trPr>
          <w:trHeight w:val="250"/>
        </w:trPr>
        <w:tc>
          <w:tcPr>
            <w:tcW w:w="3055" w:type="dxa"/>
          </w:tcPr>
          <w:p w14:paraId="230B4C73" w14:textId="77777777" w:rsidR="00CB5880" w:rsidRPr="00094654" w:rsidRDefault="00CB5880" w:rsidP="003216CC">
            <w:pPr>
              <w:overflowPunct/>
              <w:adjustRightInd/>
              <w:jc w:val="left"/>
              <w:textAlignment w:val="auto"/>
              <w:rPr>
                <w:szCs w:val="22"/>
              </w:rPr>
            </w:pPr>
          </w:p>
        </w:tc>
        <w:tc>
          <w:tcPr>
            <w:tcW w:w="6018" w:type="dxa"/>
          </w:tcPr>
          <w:p w14:paraId="0380A87B" w14:textId="77777777" w:rsidR="00CB5880" w:rsidRPr="00094654" w:rsidRDefault="00CB5880" w:rsidP="003216CC">
            <w:pPr>
              <w:overflowPunct/>
              <w:adjustRightInd/>
              <w:jc w:val="left"/>
              <w:textAlignment w:val="auto"/>
              <w:rPr>
                <w:szCs w:val="22"/>
              </w:rPr>
            </w:pPr>
          </w:p>
        </w:tc>
      </w:tr>
      <w:tr w:rsidR="003B363C" w:rsidRPr="00094654" w14:paraId="6DF81F8A" w14:textId="77777777" w:rsidTr="00DE3B60">
        <w:trPr>
          <w:trHeight w:val="250"/>
        </w:trPr>
        <w:tc>
          <w:tcPr>
            <w:tcW w:w="3055" w:type="dxa"/>
          </w:tcPr>
          <w:p w14:paraId="26553145" w14:textId="77777777" w:rsidR="002C1D46" w:rsidRPr="00094654" w:rsidRDefault="002C1D46" w:rsidP="003216CC">
            <w:pPr>
              <w:overflowPunct/>
              <w:adjustRightInd/>
              <w:jc w:val="left"/>
              <w:textAlignment w:val="auto"/>
              <w:rPr>
                <w:szCs w:val="22"/>
              </w:rPr>
            </w:pPr>
            <w:r w:rsidRPr="00094654">
              <w:t>Decisione dell’Assemblea plenaria</w:t>
            </w:r>
          </w:p>
        </w:tc>
        <w:tc>
          <w:tcPr>
            <w:tcW w:w="6018" w:type="dxa"/>
            <w:vAlign w:val="bottom"/>
          </w:tcPr>
          <w:p w14:paraId="2D4FEB06" w14:textId="54EEE48B" w:rsidR="002C1D46" w:rsidRPr="00094654" w:rsidRDefault="003C48E4" w:rsidP="003216CC">
            <w:pPr>
              <w:overflowPunct/>
              <w:adjustRightInd/>
              <w:jc w:val="left"/>
              <w:textAlignment w:val="auto"/>
              <w:rPr>
                <w:szCs w:val="22"/>
              </w:rPr>
            </w:pPr>
            <w:r w:rsidRPr="00094654">
              <w:t>4/12/2025</w:t>
            </w:r>
          </w:p>
        </w:tc>
      </w:tr>
      <w:tr w:rsidR="003B363C" w:rsidRPr="00094654" w14:paraId="3879CFFD" w14:textId="77777777" w:rsidTr="00DA02D5">
        <w:tc>
          <w:tcPr>
            <w:tcW w:w="3055" w:type="dxa"/>
          </w:tcPr>
          <w:p w14:paraId="62DEF395" w14:textId="77777777" w:rsidR="00243E36" w:rsidRPr="00094654" w:rsidRDefault="00243E36" w:rsidP="003216CC">
            <w:pPr>
              <w:overflowPunct/>
              <w:adjustRightInd/>
              <w:jc w:val="left"/>
              <w:textAlignment w:val="auto"/>
              <w:rPr>
                <w:szCs w:val="22"/>
              </w:rPr>
            </w:pPr>
            <w:r w:rsidRPr="00094654">
              <w:t>Base regolamentare</w:t>
            </w:r>
          </w:p>
        </w:tc>
        <w:tc>
          <w:tcPr>
            <w:tcW w:w="6018" w:type="dxa"/>
          </w:tcPr>
          <w:p w14:paraId="1E337E1D" w14:textId="7C1BA370" w:rsidR="00243E36" w:rsidRPr="00094654" w:rsidRDefault="00755426" w:rsidP="003216CC">
            <w:pPr>
              <w:overflowPunct/>
              <w:adjustRightInd/>
              <w:jc w:val="left"/>
              <w:textAlignment w:val="auto"/>
              <w:rPr>
                <w:szCs w:val="22"/>
              </w:rPr>
            </w:pPr>
            <w:r w:rsidRPr="00094654">
              <w:t xml:space="preserve">Articolo 52, paragrafo 3, del </w:t>
            </w:r>
            <w:r w:rsidR="000B22C0" w:rsidRPr="00094654">
              <w:t>Regolamento</w:t>
            </w:r>
            <w:r w:rsidRPr="00094654">
              <w:t xml:space="preserve"> interno</w:t>
            </w:r>
          </w:p>
        </w:tc>
      </w:tr>
      <w:tr w:rsidR="003B363C" w:rsidRPr="00094654" w14:paraId="000D3830" w14:textId="77777777" w:rsidTr="00DA02D5">
        <w:tc>
          <w:tcPr>
            <w:tcW w:w="3055" w:type="dxa"/>
          </w:tcPr>
          <w:p w14:paraId="342CF241" w14:textId="1B243BD0" w:rsidR="00DF5B64" w:rsidRPr="00094654" w:rsidRDefault="000B22C0" w:rsidP="003216CC">
            <w:pPr>
              <w:overflowPunct/>
              <w:adjustRightInd/>
              <w:jc w:val="left"/>
              <w:textAlignment w:val="auto"/>
              <w:rPr>
                <w:szCs w:val="22"/>
              </w:rPr>
            </w:pPr>
            <w:r w:rsidRPr="00094654">
              <w:t>Sezione</w:t>
            </w:r>
            <w:r w:rsidR="00AD4B4F" w:rsidRPr="00094654">
              <w:t xml:space="preserve"> competente</w:t>
            </w:r>
          </w:p>
        </w:tc>
        <w:tc>
          <w:tcPr>
            <w:tcW w:w="6018" w:type="dxa"/>
          </w:tcPr>
          <w:p w14:paraId="3B567D2F" w14:textId="77777777" w:rsidR="00DF5B64" w:rsidRPr="00094654" w:rsidRDefault="00F86734" w:rsidP="003216CC">
            <w:pPr>
              <w:overflowPunct/>
              <w:adjustRightInd/>
              <w:jc w:val="left"/>
              <w:textAlignment w:val="auto"/>
              <w:rPr>
                <w:szCs w:val="22"/>
              </w:rPr>
            </w:pPr>
            <w:r w:rsidRPr="00094654">
              <w:t>Unione economica e monetaria, coesione economica e sociale</w:t>
            </w:r>
          </w:p>
        </w:tc>
      </w:tr>
      <w:tr w:rsidR="003B363C" w:rsidRPr="00094654" w14:paraId="2EB9C406" w14:textId="77777777" w:rsidTr="00DA02D5">
        <w:tc>
          <w:tcPr>
            <w:tcW w:w="3055" w:type="dxa"/>
          </w:tcPr>
          <w:p w14:paraId="16314130" w14:textId="77777777" w:rsidR="00A156E6" w:rsidRPr="00094654" w:rsidRDefault="003433F3" w:rsidP="003216CC">
            <w:pPr>
              <w:overflowPunct/>
              <w:adjustRightInd/>
              <w:jc w:val="left"/>
              <w:textAlignment w:val="auto"/>
              <w:rPr>
                <w:szCs w:val="22"/>
              </w:rPr>
            </w:pPr>
            <w:r w:rsidRPr="00094654">
              <w:t>Adozione in sezione</w:t>
            </w:r>
          </w:p>
        </w:tc>
        <w:tc>
          <w:tcPr>
            <w:tcW w:w="6018" w:type="dxa"/>
          </w:tcPr>
          <w:p w14:paraId="7A9E874E" w14:textId="1FFF3BA5" w:rsidR="00A156E6" w:rsidRPr="00094654" w:rsidRDefault="00904F39" w:rsidP="003216CC">
            <w:pPr>
              <w:overflowPunct/>
              <w:adjustRightInd/>
              <w:jc w:val="left"/>
              <w:textAlignment w:val="auto"/>
              <w:rPr>
                <w:szCs w:val="22"/>
              </w:rPr>
            </w:pPr>
            <w:r w:rsidRPr="00094654">
              <w:t>4/6/2026</w:t>
            </w:r>
          </w:p>
        </w:tc>
      </w:tr>
      <w:tr w:rsidR="003B363C" w:rsidRPr="00094654" w14:paraId="4D46FFAD" w14:textId="77777777" w:rsidTr="00DA02D5">
        <w:tc>
          <w:tcPr>
            <w:tcW w:w="3055" w:type="dxa"/>
          </w:tcPr>
          <w:p w14:paraId="27A1F837" w14:textId="77777777" w:rsidR="00D423D4" w:rsidRPr="00094654" w:rsidRDefault="0043024C" w:rsidP="003216CC">
            <w:pPr>
              <w:overflowPunct/>
              <w:adjustRightInd/>
              <w:jc w:val="left"/>
              <w:rPr>
                <w:szCs w:val="22"/>
              </w:rPr>
            </w:pPr>
            <w:r w:rsidRPr="00094654">
              <w:t xml:space="preserve">Esito della votazione </w:t>
            </w:r>
            <w:r w:rsidRPr="00094654">
              <w:br/>
              <w:t>(favorevoli/contrari/astenuti)</w:t>
            </w:r>
          </w:p>
        </w:tc>
        <w:tc>
          <w:tcPr>
            <w:tcW w:w="6018" w:type="dxa"/>
            <w:vAlign w:val="bottom"/>
          </w:tcPr>
          <w:p w14:paraId="0BBC2E40" w14:textId="286C2776" w:rsidR="00A156E6" w:rsidRPr="00094654" w:rsidRDefault="008E6F7D" w:rsidP="003216CC">
            <w:pPr>
              <w:overflowPunct/>
              <w:adjustRightInd/>
              <w:jc w:val="left"/>
              <w:textAlignment w:val="auto"/>
              <w:rPr>
                <w:szCs w:val="22"/>
              </w:rPr>
            </w:pPr>
            <w:r w:rsidRPr="00094654">
              <w:t>42/1/1</w:t>
            </w:r>
          </w:p>
        </w:tc>
      </w:tr>
      <w:tr w:rsidR="003B363C" w:rsidRPr="00094654" w14:paraId="74432C64" w14:textId="77777777" w:rsidTr="00DA02D5">
        <w:tc>
          <w:tcPr>
            <w:tcW w:w="3055" w:type="dxa"/>
          </w:tcPr>
          <w:p w14:paraId="37CB730E" w14:textId="77777777" w:rsidR="006E64DF" w:rsidRPr="00094654" w:rsidRDefault="003433F3" w:rsidP="003216CC">
            <w:pPr>
              <w:overflowPunct/>
              <w:adjustRightInd/>
              <w:jc w:val="left"/>
              <w:rPr>
                <w:szCs w:val="22"/>
              </w:rPr>
            </w:pPr>
            <w:r w:rsidRPr="00094654">
              <w:t>Adozione in sessione plenaria</w:t>
            </w:r>
          </w:p>
        </w:tc>
        <w:tc>
          <w:tcPr>
            <w:tcW w:w="6018" w:type="dxa"/>
            <w:vAlign w:val="bottom"/>
          </w:tcPr>
          <w:p w14:paraId="1309A672" w14:textId="77777777" w:rsidR="006E64DF" w:rsidRPr="00094654" w:rsidRDefault="0067591A" w:rsidP="003216CC">
            <w:pPr>
              <w:overflowPunct/>
              <w:adjustRightInd/>
              <w:jc w:val="left"/>
              <w:textAlignment w:val="auto"/>
              <w:rPr>
                <w:szCs w:val="22"/>
              </w:rPr>
            </w:pPr>
            <w:r w:rsidRPr="00094654">
              <w:t>D/M/YYYY</w:t>
            </w:r>
          </w:p>
        </w:tc>
      </w:tr>
      <w:tr w:rsidR="003B363C" w:rsidRPr="00094654" w14:paraId="45DB981E" w14:textId="77777777" w:rsidTr="00DA02D5">
        <w:tc>
          <w:tcPr>
            <w:tcW w:w="3055" w:type="dxa"/>
          </w:tcPr>
          <w:p w14:paraId="500AF562" w14:textId="028D8CF4" w:rsidR="0067591A" w:rsidRPr="00094654" w:rsidRDefault="000B22C0" w:rsidP="003216CC">
            <w:pPr>
              <w:overflowPunct/>
              <w:adjustRightInd/>
              <w:jc w:val="left"/>
              <w:rPr>
                <w:szCs w:val="22"/>
              </w:rPr>
            </w:pPr>
            <w:r w:rsidRPr="00094654">
              <w:t>Sessione</w:t>
            </w:r>
            <w:r w:rsidR="0067591A" w:rsidRPr="00094654">
              <w:t xml:space="preserve"> plenaria n.</w:t>
            </w:r>
          </w:p>
        </w:tc>
        <w:tc>
          <w:tcPr>
            <w:tcW w:w="6018" w:type="dxa"/>
            <w:vAlign w:val="bottom"/>
          </w:tcPr>
          <w:p w14:paraId="4F749096" w14:textId="77777777" w:rsidR="0067591A" w:rsidRPr="00094654" w:rsidRDefault="0067591A" w:rsidP="003216CC">
            <w:pPr>
              <w:overflowPunct/>
              <w:adjustRightInd/>
              <w:jc w:val="left"/>
              <w:textAlignment w:val="auto"/>
              <w:rPr>
                <w:szCs w:val="22"/>
              </w:rPr>
            </w:pPr>
          </w:p>
        </w:tc>
      </w:tr>
      <w:tr w:rsidR="003433F3" w:rsidRPr="00094654" w14:paraId="2051C836" w14:textId="77777777" w:rsidTr="00DA02D5">
        <w:tc>
          <w:tcPr>
            <w:tcW w:w="3055" w:type="dxa"/>
          </w:tcPr>
          <w:p w14:paraId="146797A2" w14:textId="77777777" w:rsidR="003433F3" w:rsidRPr="00094654" w:rsidRDefault="003433F3" w:rsidP="003216CC">
            <w:pPr>
              <w:overflowPunct/>
              <w:adjustRightInd/>
              <w:jc w:val="left"/>
              <w:rPr>
                <w:szCs w:val="22"/>
              </w:rPr>
            </w:pPr>
            <w:r w:rsidRPr="00094654">
              <w:t xml:space="preserve">Esito della votazione </w:t>
            </w:r>
            <w:r w:rsidRPr="00094654">
              <w:br/>
              <w:t>(favorevoli/contrari/astenuti)</w:t>
            </w:r>
          </w:p>
        </w:tc>
        <w:tc>
          <w:tcPr>
            <w:tcW w:w="6018" w:type="dxa"/>
            <w:vAlign w:val="bottom"/>
          </w:tcPr>
          <w:p w14:paraId="6530E86F" w14:textId="77777777" w:rsidR="003433F3" w:rsidRPr="00094654" w:rsidRDefault="003433F3" w:rsidP="003216CC">
            <w:pPr>
              <w:overflowPunct/>
              <w:adjustRightInd/>
              <w:jc w:val="left"/>
              <w:textAlignment w:val="auto"/>
              <w:rPr>
                <w:szCs w:val="22"/>
              </w:rPr>
            </w:pPr>
            <w:r w:rsidRPr="00094654">
              <w:t>…/…/…</w:t>
            </w:r>
          </w:p>
        </w:tc>
      </w:tr>
    </w:tbl>
    <w:p w14:paraId="7C7A89F1" w14:textId="77777777" w:rsidR="0090053A" w:rsidRPr="00094654" w:rsidRDefault="0090053A" w:rsidP="003216CC">
      <w:pPr>
        <w:overflowPunct/>
        <w:adjustRightInd/>
        <w:textAlignment w:val="auto"/>
        <w:rPr>
          <w:szCs w:val="22"/>
        </w:rPr>
      </w:pPr>
    </w:p>
    <w:p w14:paraId="040AE9F3" w14:textId="77777777" w:rsidR="00646AC2" w:rsidRPr="00094654" w:rsidRDefault="00646AC2" w:rsidP="003216CC">
      <w:pPr>
        <w:overflowPunct/>
        <w:adjustRightInd/>
        <w:textAlignment w:val="auto"/>
        <w:rPr>
          <w:szCs w:val="22"/>
        </w:rPr>
      </w:pPr>
      <w:r w:rsidRPr="00094654">
        <w:br w:type="page"/>
      </w:r>
    </w:p>
    <w:p w14:paraId="31BDCB72" w14:textId="77777777" w:rsidR="00A86BA8" w:rsidRPr="00094654" w:rsidRDefault="00A86BA8" w:rsidP="003216CC">
      <w:pPr>
        <w:pStyle w:val="Heading1"/>
        <w:ind w:left="567" w:hanging="567"/>
        <w:rPr>
          <w:b/>
          <w:szCs w:val="22"/>
        </w:rPr>
      </w:pPr>
      <w:r w:rsidRPr="00094654">
        <w:rPr>
          <w:b/>
        </w:rPr>
        <w:lastRenderedPageBreak/>
        <w:t>Introduzione</w:t>
      </w:r>
    </w:p>
    <w:p w14:paraId="45A175A8" w14:textId="77777777" w:rsidR="003C48E4" w:rsidRPr="00094654" w:rsidRDefault="003C48E4" w:rsidP="003216CC"/>
    <w:p w14:paraId="0781EEBB" w14:textId="0C3C17DB" w:rsidR="00A86BA8" w:rsidRPr="00094654" w:rsidRDefault="00650F0F" w:rsidP="003216CC">
      <w:pPr>
        <w:pStyle w:val="Heading2"/>
        <w:ind w:left="567" w:hanging="567"/>
      </w:pPr>
      <w:r w:rsidRPr="00094654">
        <w:t>La presente relazione informativa fa parte di un pacchetto che comprende una risoluzione</w:t>
      </w:r>
      <w:r w:rsidRPr="00094654">
        <w:rPr>
          <w:rStyle w:val="FootnoteReference"/>
          <w:sz w:val="22"/>
          <w:szCs w:val="22"/>
        </w:rPr>
        <w:footnoteReference w:id="2"/>
      </w:r>
      <w:r w:rsidRPr="00094654">
        <w:t xml:space="preserve"> e fa seguito ai lavori del gruppo Semestre europeo (GSE) del CESE, che ha consultato i consigli economici e sociali nazionali, le parti sociali e le organizzazioni della società civile degli Stati membri dell'UE su temi chiave del semestre europeo. La relazione informativa raccoglie i pareri e i punti di vista delle parti sociali e delle organizzazioni della società civile negli Stati membri. I risultati dettagliati della consultazione sono riportati nell'allegato</w:t>
      </w:r>
      <w:r w:rsidR="00C30E75" w:rsidRPr="00094654">
        <w:rPr>
          <w:rStyle w:val="FootnoteReference"/>
          <w:sz w:val="22"/>
          <w:szCs w:val="22"/>
        </w:rPr>
        <w:footnoteReference w:id="3"/>
      </w:r>
      <w:r w:rsidRPr="00094654">
        <w:t>.</w:t>
      </w:r>
    </w:p>
    <w:p w14:paraId="1EB028E5" w14:textId="77777777" w:rsidR="00A86BA8" w:rsidRPr="00094654" w:rsidRDefault="00A86BA8" w:rsidP="003216CC">
      <w:pPr>
        <w:rPr>
          <w:szCs w:val="22"/>
        </w:rPr>
      </w:pPr>
    </w:p>
    <w:p w14:paraId="671D8C11" w14:textId="28BA6CDB" w:rsidR="00EF3E11" w:rsidRPr="00094654" w:rsidRDefault="00A46347" w:rsidP="003216CC">
      <w:pPr>
        <w:pStyle w:val="Heading1"/>
        <w:keepNext/>
        <w:ind w:left="567" w:hanging="567"/>
        <w:rPr>
          <w:b/>
          <w:szCs w:val="22"/>
        </w:rPr>
      </w:pPr>
      <w:r w:rsidRPr="00094654">
        <w:rPr>
          <w:b/>
        </w:rPr>
        <w:t>Contesto</w:t>
      </w:r>
    </w:p>
    <w:p w14:paraId="12EED186" w14:textId="77777777" w:rsidR="00CB0192" w:rsidRPr="00094654" w:rsidRDefault="00CB0192" w:rsidP="003216CC">
      <w:pPr>
        <w:keepNext/>
        <w:rPr>
          <w:szCs w:val="22"/>
        </w:rPr>
      </w:pPr>
    </w:p>
    <w:p w14:paraId="2517E89F" w14:textId="123DDCCA" w:rsidR="00D03363" w:rsidRPr="00094654" w:rsidRDefault="00650F0F" w:rsidP="003216CC">
      <w:pPr>
        <w:pStyle w:val="Heading2"/>
        <w:ind w:left="567" w:hanging="567"/>
      </w:pPr>
      <w:r w:rsidRPr="00094654">
        <w:t>La consultazione di quest'anno è incentrata sulle misure di riforma e di investimento negli Stati membri, in particolare quelle basate sulle raccomandazioni specifiche per paese 2025</w:t>
      </w:r>
      <w:r w:rsidRPr="00094654">
        <w:rPr>
          <w:rStyle w:val="FootnoteReference"/>
          <w:sz w:val="22"/>
        </w:rPr>
        <w:footnoteReference w:id="4"/>
      </w:r>
      <w:r w:rsidRPr="00094654">
        <w:t>, e sulla loro attuazione. L'obiettivo è valutare l'efficacia di tali misure e capire cosa si può fare per indirizzare le proposte in modo più preciso, per migliorare l'attuazione e per intensificare il monitoraggio coinvolgendo la società civile organizzata.</w:t>
      </w:r>
    </w:p>
    <w:p w14:paraId="3BB06423" w14:textId="77777777" w:rsidR="003C48E4" w:rsidRPr="00094654" w:rsidRDefault="003C48E4" w:rsidP="003216CC"/>
    <w:p w14:paraId="2D1A3BBB" w14:textId="6A4BE23C" w:rsidR="00D03363" w:rsidRPr="00094654" w:rsidRDefault="00D03363" w:rsidP="003216CC">
      <w:pPr>
        <w:pStyle w:val="Heading2"/>
        <w:ind w:left="567" w:hanging="567"/>
      </w:pPr>
      <w:r w:rsidRPr="00094654">
        <w:t>Basandosi sui precedenti esercizi di consultazione, esamina i progressi compiuti nel completamento e nell'attuazione delle riforme e degli investimenti previsti nei piani nazionali per la ripresa e la resilienza, nonché i principali insegnamenti tratti da tale strumento, sia in positivo che in negativo.</w:t>
      </w:r>
    </w:p>
    <w:p w14:paraId="7F0C0492" w14:textId="77777777" w:rsidR="00D03363" w:rsidRPr="00094654" w:rsidRDefault="00D03363" w:rsidP="003216CC">
      <w:pPr>
        <w:pStyle w:val="Heading2"/>
        <w:numPr>
          <w:ilvl w:val="0"/>
          <w:numId w:val="0"/>
        </w:numPr>
        <w:ind w:left="567" w:hanging="567"/>
      </w:pPr>
    </w:p>
    <w:p w14:paraId="555A8211" w14:textId="7C33021E" w:rsidR="00A81FA0" w:rsidRPr="00094654" w:rsidRDefault="00D03363" w:rsidP="003216CC">
      <w:pPr>
        <w:pStyle w:val="Heading2"/>
        <w:ind w:left="567" w:hanging="567"/>
      </w:pPr>
      <w:r w:rsidRPr="00094654">
        <w:t>La consultazione valuta inoltre l'attuazione e il monitoraggio dei piani strutturali di bilancio di medio termine</w:t>
      </w:r>
      <w:r w:rsidR="00650F0F" w:rsidRPr="00094654">
        <w:rPr>
          <w:rStyle w:val="FootnoteReference"/>
          <w:sz w:val="22"/>
        </w:rPr>
        <w:footnoteReference w:id="5"/>
      </w:r>
      <w:r w:rsidRPr="00094654">
        <w:t xml:space="preserve"> introdotti a seguito della revisione del quadro di governance economica</w:t>
      </w:r>
      <w:r w:rsidR="00650F0F" w:rsidRPr="00094654">
        <w:rPr>
          <w:rStyle w:val="FootnoteReference"/>
          <w:sz w:val="22"/>
        </w:rPr>
        <w:footnoteReference w:id="6"/>
      </w:r>
      <w:r w:rsidRPr="00094654">
        <w:t>. La preparazione, l'attuazione e il monitoraggio di tali piani sono stati integrati nel processo del semestre europeo.</w:t>
      </w:r>
    </w:p>
    <w:p w14:paraId="28440128" w14:textId="77777777" w:rsidR="00A81FA0" w:rsidRPr="00094654" w:rsidRDefault="00A81FA0" w:rsidP="003216CC">
      <w:pPr>
        <w:pStyle w:val="Heading2"/>
        <w:numPr>
          <w:ilvl w:val="0"/>
          <w:numId w:val="0"/>
        </w:numPr>
        <w:ind w:left="567"/>
      </w:pPr>
    </w:p>
    <w:p w14:paraId="73934ED3" w14:textId="20F3C1A7" w:rsidR="00650F0F" w:rsidRPr="00094654" w:rsidRDefault="00650F0F" w:rsidP="003216CC">
      <w:pPr>
        <w:pStyle w:val="Heading2"/>
        <w:ind w:left="567" w:hanging="567"/>
      </w:pPr>
      <w:r w:rsidRPr="00094654">
        <w:t>Infine, esamina anche i pareri e i punti di vista delle parti sociali e delle organizzazioni della società civile sul legame tra il prossimo quadro finanziario pluriennale (QFP) e il semestre europeo, comprese le modalità per garantirne un coinvolgimento significativo ed efficace, oltre a esplorare i potenziali benefici, rischi e ostacoli associati a tale legame.</w:t>
      </w:r>
    </w:p>
    <w:p w14:paraId="4A351164" w14:textId="77777777" w:rsidR="00EF3E11" w:rsidRPr="00094654" w:rsidRDefault="00EF3E11" w:rsidP="003216CC">
      <w:pPr>
        <w:rPr>
          <w:szCs w:val="22"/>
        </w:rPr>
      </w:pPr>
    </w:p>
    <w:p w14:paraId="70E9184B" w14:textId="039E699F" w:rsidR="00EF3E11" w:rsidRPr="00094654" w:rsidRDefault="00A46347" w:rsidP="003216CC">
      <w:pPr>
        <w:pStyle w:val="Heading1"/>
        <w:keepNext/>
        <w:ind w:left="567" w:hanging="567"/>
        <w:rPr>
          <w:b/>
          <w:szCs w:val="22"/>
        </w:rPr>
      </w:pPr>
      <w:r w:rsidRPr="00094654">
        <w:rPr>
          <w:b/>
        </w:rPr>
        <w:t>Metodologia</w:t>
      </w:r>
      <w:r w:rsidR="00F458A6" w:rsidRPr="00094654">
        <w:rPr>
          <w:rStyle w:val="FootnoteReference"/>
          <w:b/>
          <w:sz w:val="22"/>
          <w:szCs w:val="22"/>
        </w:rPr>
        <w:footnoteReference w:id="7"/>
      </w:r>
    </w:p>
    <w:p w14:paraId="2553BAE9" w14:textId="77777777" w:rsidR="00CB0192" w:rsidRPr="00094654" w:rsidRDefault="00CB0192" w:rsidP="003216CC">
      <w:pPr>
        <w:keepNext/>
        <w:rPr>
          <w:szCs w:val="22"/>
        </w:rPr>
      </w:pPr>
    </w:p>
    <w:p w14:paraId="4E0D0C2E" w14:textId="1088B29F" w:rsidR="00A947A8" w:rsidRPr="00094654" w:rsidRDefault="007F7B77" w:rsidP="003216CC">
      <w:pPr>
        <w:pStyle w:val="Heading2"/>
        <w:ind w:left="567" w:hanging="567"/>
      </w:pPr>
      <w:r w:rsidRPr="00094654">
        <w:t xml:space="preserve">I dati e le informazioni occorrenti per compilare ed elaborare la presente relazione sono stati raccolti tra gennaio 2026 e marzo 2026. Complessivamente sono pervenuti 27 contributi nazionali </w:t>
      </w:r>
      <w:r w:rsidRPr="00094654">
        <w:lastRenderedPageBreak/>
        <w:t>(22 risposte scritte al questionario</w:t>
      </w:r>
      <w:r w:rsidR="00005D99" w:rsidRPr="00094654">
        <w:rPr>
          <w:rStyle w:val="FootnoteReference"/>
          <w:bCs/>
          <w:sz w:val="22"/>
          <w:szCs w:val="22"/>
        </w:rPr>
        <w:footnoteReference w:id="8"/>
      </w:r>
      <w:r w:rsidRPr="00094654">
        <w:t xml:space="preserve"> e 5 relazioni sulle missioni conoscitive condotte nei singoli paesi</w:t>
      </w:r>
      <w:r w:rsidR="00005D99" w:rsidRPr="00094654">
        <w:rPr>
          <w:rStyle w:val="FootnoteReference"/>
          <w:bCs/>
          <w:sz w:val="22"/>
          <w:szCs w:val="22"/>
        </w:rPr>
        <w:footnoteReference w:id="9"/>
      </w:r>
      <w:r w:rsidRPr="00094654">
        <w:t>).</w:t>
      </w:r>
    </w:p>
    <w:p w14:paraId="32DEA238" w14:textId="77777777" w:rsidR="008C6CF8" w:rsidRPr="00094654" w:rsidRDefault="008C6CF8" w:rsidP="003216CC">
      <w:pPr>
        <w:ind w:left="567" w:hanging="567"/>
      </w:pPr>
    </w:p>
    <w:p w14:paraId="61389A3E" w14:textId="49FBF326" w:rsidR="00A947A8" w:rsidRPr="00094654" w:rsidRDefault="00A46610" w:rsidP="003216CC">
      <w:pPr>
        <w:pStyle w:val="Heading2"/>
        <w:ind w:left="567" w:hanging="567"/>
      </w:pPr>
      <w:r w:rsidRPr="00094654">
        <w:rPr>
          <w:color w:val="000000"/>
        </w:rPr>
        <w:t>I contributi scritti di ciascuna delle 22 delegazioni nazionali</w:t>
      </w:r>
      <w:r w:rsidRPr="00094654">
        <w:rPr>
          <w:rStyle w:val="FootnoteReference"/>
          <w:color w:val="000000"/>
          <w:sz w:val="22"/>
          <w:szCs w:val="22"/>
        </w:rPr>
        <w:footnoteReference w:id="10"/>
      </w:r>
      <w:r w:rsidRPr="00094654">
        <w:rPr>
          <w:color w:val="000000"/>
        </w:rPr>
        <w:t xml:space="preserve"> si sono basati sulle conoscenze dei relatori (un relatore per ciascuno dei tre gruppi) e/o sulla consultazione preliminare delle organizzazioni della società civile e delle parti sociali nazionali. Le relazioni sulle cinque missioni conoscitive contengono i punti chiave sollevati durante le riunioni tenutesi nei paesi visitati con le organizzazioni della società civile e le parti sociali nazionali. Inoltre, in alcuni di questi paesi sono stati coinvolti i consigli economici e sociali nazionali o organismi equivalenti.</w:t>
      </w:r>
      <w:r w:rsidRPr="00094654">
        <w:t xml:space="preserve"> Le preoccupazioni, le raccomandazioni e i punti emersi nei 27 contributi (risposte scritte e relazioni per paese) sono stati raccolti, sintetizzati e illustrati nella presente relazione informativa. </w:t>
      </w:r>
    </w:p>
    <w:p w14:paraId="62986C6B" w14:textId="77777777" w:rsidR="00A947A8" w:rsidRPr="00094654" w:rsidRDefault="00A947A8" w:rsidP="003216CC">
      <w:pPr>
        <w:pStyle w:val="Heading2"/>
        <w:numPr>
          <w:ilvl w:val="0"/>
          <w:numId w:val="0"/>
        </w:numPr>
        <w:ind w:left="567" w:hanging="567"/>
      </w:pPr>
    </w:p>
    <w:p w14:paraId="3955F5D3" w14:textId="250E804C" w:rsidR="00EF3E11" w:rsidRPr="00094654" w:rsidRDefault="00FD298F" w:rsidP="003216CC">
      <w:pPr>
        <w:pStyle w:val="Heading2"/>
        <w:ind w:left="567" w:hanging="567"/>
      </w:pPr>
      <w:r w:rsidRPr="00094654">
        <w:t>L'allegato del presente documento contiene tutti i risultati raccolti per ciascuno Stato membro in risposta a ciascuna domanda, presentati sotto forma di tabelle e grafici. Contiene inoltre le risposte di due membri del gruppo di collegamento del CESE</w:t>
      </w:r>
      <w:r w:rsidR="003808E2" w:rsidRPr="00094654">
        <w:rPr>
          <w:rStyle w:val="FootnoteReference"/>
          <w:sz w:val="22"/>
          <w:szCs w:val="22"/>
        </w:rPr>
        <w:footnoteReference w:id="11"/>
      </w:r>
      <w:r w:rsidRPr="00094654">
        <w:t>.</w:t>
      </w:r>
    </w:p>
    <w:p w14:paraId="31C46DCE" w14:textId="77777777" w:rsidR="00EF3E11" w:rsidRPr="00094654" w:rsidRDefault="00EF3E11" w:rsidP="003216CC">
      <w:pPr>
        <w:ind w:left="567"/>
        <w:rPr>
          <w:szCs w:val="22"/>
        </w:rPr>
      </w:pPr>
    </w:p>
    <w:p w14:paraId="57B53C9E" w14:textId="56D458E1" w:rsidR="00A46347" w:rsidRPr="00094654" w:rsidRDefault="00A46347" w:rsidP="003216CC">
      <w:pPr>
        <w:pStyle w:val="Heading1"/>
        <w:keepNext/>
        <w:ind w:left="567" w:hanging="567"/>
        <w:rPr>
          <w:b/>
          <w:szCs w:val="22"/>
        </w:rPr>
      </w:pPr>
      <w:r w:rsidRPr="00094654">
        <w:rPr>
          <w:b/>
        </w:rPr>
        <w:t>Osservazioni sui risultati delle consultazioni</w:t>
      </w:r>
    </w:p>
    <w:p w14:paraId="5EE36FDC" w14:textId="77777777" w:rsidR="00A46347" w:rsidRPr="00094654" w:rsidRDefault="00A46347" w:rsidP="003216CC">
      <w:pPr>
        <w:keepNext/>
        <w:rPr>
          <w:szCs w:val="22"/>
        </w:rPr>
      </w:pPr>
    </w:p>
    <w:p w14:paraId="56472B6E" w14:textId="1FC99378" w:rsidR="00650F0F" w:rsidRPr="00094654" w:rsidRDefault="000B22C0" w:rsidP="003216CC">
      <w:pPr>
        <w:pStyle w:val="Heading2"/>
        <w:ind w:left="567" w:hanging="567"/>
        <w:rPr>
          <w:i/>
          <w:iCs/>
        </w:rPr>
      </w:pPr>
      <w:r w:rsidRPr="00094654">
        <w:rPr>
          <w:i/>
          <w:iCs/>
        </w:rPr>
        <w:t>Sezione</w:t>
      </w:r>
      <w:r w:rsidR="00A46347" w:rsidRPr="00094654">
        <w:rPr>
          <w:i/>
          <w:iCs/>
        </w:rPr>
        <w:t xml:space="preserve"> I: Le misure di riforma e di investimento negli Stati membri, in particolare quelle basate sulle raccomandazioni specifiche per paese (RSP) 2025, e la loro attuazione</w:t>
      </w:r>
    </w:p>
    <w:p w14:paraId="0359F301" w14:textId="77777777" w:rsidR="00650F0F" w:rsidRPr="00094654" w:rsidRDefault="00650F0F" w:rsidP="003216CC">
      <w:pPr>
        <w:keepNext/>
        <w:rPr>
          <w:i/>
          <w:iCs/>
          <w:szCs w:val="22"/>
        </w:rPr>
      </w:pPr>
    </w:p>
    <w:p w14:paraId="2CCC3140" w14:textId="3DFB0BFE" w:rsidR="00544B51" w:rsidRPr="00094654" w:rsidRDefault="00650F0F" w:rsidP="003216CC">
      <w:pPr>
        <w:rPr>
          <w:kern w:val="28"/>
          <w:szCs w:val="22"/>
          <w:u w:val="single"/>
        </w:rPr>
      </w:pPr>
      <w:r w:rsidRPr="00094654">
        <w:rPr>
          <w:u w:val="single"/>
        </w:rPr>
        <w:t>Domanda 1</w:t>
      </w:r>
      <w:r w:rsidRPr="00094654">
        <w:t>:</w:t>
      </w:r>
      <w:r w:rsidR="000B22C0" w:rsidRPr="00094654">
        <w:t xml:space="preserve"> </w:t>
      </w:r>
      <w:r w:rsidRPr="00094654">
        <w:rPr>
          <w:b/>
        </w:rPr>
        <w:t xml:space="preserve">Qual è la Sua opinione generale </w:t>
      </w:r>
      <w:r w:rsidR="000B22C0" w:rsidRPr="00094654">
        <w:rPr>
          <w:b/>
        </w:rPr>
        <w:t>in merito al</w:t>
      </w:r>
      <w:r w:rsidRPr="00094654">
        <w:rPr>
          <w:b/>
        </w:rPr>
        <w:t>le RSP della Commissione europea per il Suo paese nel 2025?</w:t>
      </w:r>
    </w:p>
    <w:p w14:paraId="308A2D75" w14:textId="77777777" w:rsidR="00650F0F" w:rsidRPr="00094654" w:rsidRDefault="00650F0F" w:rsidP="003216CC">
      <w:pPr>
        <w:pStyle w:val="Heading3"/>
        <w:numPr>
          <w:ilvl w:val="0"/>
          <w:numId w:val="0"/>
        </w:numPr>
        <w:ind w:left="720"/>
      </w:pPr>
    </w:p>
    <w:p w14:paraId="21C09E22" w14:textId="0B8CC2D4" w:rsidR="00AF5948" w:rsidRPr="00094654" w:rsidRDefault="00AF5948" w:rsidP="003216CC">
      <w:pPr>
        <w:pStyle w:val="Heading3"/>
        <w:ind w:left="567" w:hanging="567"/>
      </w:pPr>
      <w:r w:rsidRPr="00094654">
        <w:t>In AT, BG, CY (gruppi</w:t>
      </w:r>
      <w:r w:rsidR="00F95C2C" w:rsidRPr="00094654">
        <w:rPr>
          <w:rStyle w:val="FootnoteReference"/>
        </w:rPr>
        <w:footnoteReference w:id="12"/>
      </w:r>
      <w:r w:rsidRPr="00094654">
        <w:t xml:space="preserve"> II e III), CZ (GI e GII), EL, ES (GI), FI, FR, HR (GI</w:t>
      </w:r>
      <w:r w:rsidR="006E32A2" w:rsidRPr="00094654">
        <w:rPr>
          <w:rStyle w:val="FootnoteReference"/>
          <w:szCs w:val="22"/>
        </w:rPr>
        <w:footnoteReference w:id="13"/>
      </w:r>
      <w:r w:rsidRPr="00094654">
        <w:t>, GIII), IE, IT</w:t>
      </w:r>
      <w:r w:rsidR="006E32A2" w:rsidRPr="00094654">
        <w:rPr>
          <w:rStyle w:val="FootnoteReference"/>
          <w:szCs w:val="22"/>
        </w:rPr>
        <w:footnoteReference w:id="14"/>
      </w:r>
      <w:r w:rsidRPr="00094654">
        <w:t>, LT, LV, MT, PT, RO (GI e GII) e SK, le parti sociali e le organizzazioni della società civile ritengono che le raccomandazioni specifiche per paese siano generalmente pertinenti, ben mirate, analiticamente valide e in linea con le reali sfide nazionali.</w:t>
      </w:r>
    </w:p>
    <w:p w14:paraId="757F442F" w14:textId="77777777" w:rsidR="00AF5948" w:rsidRPr="00094654" w:rsidRDefault="00AF5948" w:rsidP="00266D04">
      <w:pPr>
        <w:ind w:left="567" w:hanging="567"/>
        <w:rPr>
          <w:szCs w:val="22"/>
        </w:rPr>
      </w:pPr>
    </w:p>
    <w:p w14:paraId="50B35946" w14:textId="0DF332A7" w:rsidR="00650F0F" w:rsidRPr="00094654" w:rsidRDefault="00AF5948" w:rsidP="003216CC">
      <w:pPr>
        <w:pStyle w:val="Heading3"/>
        <w:ind w:left="567" w:hanging="567"/>
      </w:pPr>
      <w:r w:rsidRPr="00094654">
        <w:t>In BE, DE, DK (GII e GIII), ES (GII e GIII), HR (GI</w:t>
      </w:r>
      <w:r w:rsidR="006E32A2" w:rsidRPr="00094654">
        <w:rPr>
          <w:rStyle w:val="FootnoteReference"/>
          <w:szCs w:val="22"/>
        </w:rPr>
        <w:footnoteReference w:id="15"/>
      </w:r>
      <w:r w:rsidRPr="00094654">
        <w:t xml:space="preserve"> e GII), HU, IT (GIII</w:t>
      </w:r>
      <w:r w:rsidR="006E32A2" w:rsidRPr="00094654">
        <w:rPr>
          <w:rStyle w:val="FootnoteReference"/>
          <w:szCs w:val="22"/>
        </w:rPr>
        <w:footnoteReference w:id="16"/>
      </w:r>
      <w:r w:rsidRPr="00094654">
        <w:t xml:space="preserve">), LU, NL, PL, SE e SI, la tendenza prevalente non è il rifiuto delle raccomandazioni specifiche per paese, bensì un'accettazione più sfumata: pur attribuendo una certa importanza alle RSP, i portatori di interessi rilevano costantemente lacune, omissioni o una mancanza di contestualizzazione. Ad esempio, </w:t>
      </w:r>
      <w:r w:rsidRPr="00094654">
        <w:lastRenderedPageBreak/>
        <w:t>sebbene le ritengano utili, molti di loro sottolineano lo scarso rilievo accordato alle dimensioni sociali e chiedono una maggiore integrazione dell'equità sociale, dei salari e della protezione del lavoro. Evidenziano inoltre squilibri tra le priorità strategiche (ad es. difesa, ambiente, economia).</w:t>
      </w:r>
    </w:p>
    <w:p w14:paraId="0B74BC3B" w14:textId="77777777" w:rsidR="00544B51" w:rsidRPr="00094654" w:rsidRDefault="00544B51" w:rsidP="003216CC">
      <w:pPr>
        <w:rPr>
          <w:szCs w:val="22"/>
          <w:lang w:eastAsia="fr-BE"/>
        </w:rPr>
      </w:pPr>
    </w:p>
    <w:p w14:paraId="1865E932" w14:textId="39EB36B5" w:rsidR="00544B51" w:rsidRPr="00094654" w:rsidRDefault="00544B51" w:rsidP="00266D04">
      <w:pPr>
        <w:keepNext/>
        <w:keepLines/>
        <w:rPr>
          <w:szCs w:val="22"/>
        </w:rPr>
      </w:pPr>
      <w:r w:rsidRPr="00094654">
        <w:rPr>
          <w:u w:val="single"/>
        </w:rPr>
        <w:t>Domanda 2</w:t>
      </w:r>
      <w:r w:rsidRPr="00094654">
        <w:t xml:space="preserve">: </w:t>
      </w:r>
      <w:r w:rsidRPr="00094654">
        <w:rPr>
          <w:b/>
        </w:rPr>
        <w:t>Queste raccomandazioni affrontano le sfide del Suo paese?</w:t>
      </w:r>
    </w:p>
    <w:p w14:paraId="2833A07B" w14:textId="77777777" w:rsidR="00AF5948" w:rsidRPr="00094654" w:rsidRDefault="00AF5948" w:rsidP="00266D04">
      <w:pPr>
        <w:keepNext/>
        <w:keepLines/>
        <w:rPr>
          <w:szCs w:val="22"/>
        </w:rPr>
      </w:pPr>
    </w:p>
    <w:p w14:paraId="073AB529" w14:textId="72F7EFCF" w:rsidR="00AF5948" w:rsidRPr="00094654" w:rsidRDefault="00AF5948" w:rsidP="003216CC">
      <w:pPr>
        <w:pStyle w:val="Heading3"/>
        <w:ind w:left="567" w:hanging="567"/>
      </w:pPr>
      <w:r w:rsidRPr="00094654">
        <w:t>Le parti sociali e le organizzazioni della società civile di BE, BG, CY, CZ (GI e GII), DK (GII), EL, ES, FI, FR, HR (GI e GIII), IE, IT</w:t>
      </w:r>
      <w:r w:rsidR="0048232D" w:rsidRPr="00094654">
        <w:rPr>
          <w:rStyle w:val="FootnoteReference"/>
          <w:szCs w:val="22"/>
        </w:rPr>
        <w:footnoteReference w:id="17"/>
      </w:r>
      <w:r w:rsidRPr="00094654">
        <w:t xml:space="preserve">, LT, LV, MT, NL, PL, PT, RO (GI e GII), SE, SI e SK convengono in generale sul fatto che le raccomandazioni specifiche per paese individuano correttamente le sfide nazionali chiave, in particolare le questioni strutturali, economiche e relative al mercato del lavoro. Tuttavia, pur essendo sostanzialmente accurate, le RSP sono spesso considerate incomplete: nonostante forniscano validi orientamenti di politica macroeconomica e strutturale, si ritiene che non prestino sufficiente attenzione alle questioni sociali. </w:t>
      </w:r>
    </w:p>
    <w:p w14:paraId="72448F7A" w14:textId="77777777" w:rsidR="00AF5948" w:rsidRPr="00094654" w:rsidRDefault="00AF5948" w:rsidP="003216CC">
      <w:pPr>
        <w:pStyle w:val="Heading3"/>
        <w:numPr>
          <w:ilvl w:val="0"/>
          <w:numId w:val="0"/>
        </w:numPr>
        <w:ind w:left="720"/>
      </w:pPr>
    </w:p>
    <w:p w14:paraId="18134693" w14:textId="64EBAF33" w:rsidR="00544B51" w:rsidRPr="00094654" w:rsidRDefault="00AF5948" w:rsidP="003216CC">
      <w:pPr>
        <w:pStyle w:val="Heading3"/>
        <w:ind w:left="567" w:hanging="567"/>
      </w:pPr>
      <w:r w:rsidRPr="00094654">
        <w:t>Per contro, le parti sociali e le organizzazioni della società civile di AT, CZ (GIII), DE, DK (GIII), HR (GII), HU, IT (GII)</w:t>
      </w:r>
      <w:r w:rsidR="0048232D" w:rsidRPr="00094654">
        <w:rPr>
          <w:rStyle w:val="FootnoteReference"/>
          <w:szCs w:val="22"/>
        </w:rPr>
        <w:footnoteReference w:id="18"/>
      </w:r>
      <w:r w:rsidRPr="00094654">
        <w:t xml:space="preserve"> e LU tendono a considerare le RSP eccessivamente generiche, in quanto a loro parere tengono scarsamente in considerazione le caratteristiche specifiche di ciascun paese e non forniscono orientamenti concreti e mirati. Temono inoltre che le RSP sottovalutino le realtà sociali e del mercato del lavoro.</w:t>
      </w:r>
    </w:p>
    <w:p w14:paraId="7D966A9C" w14:textId="77777777" w:rsidR="00544B51" w:rsidRPr="00094654" w:rsidRDefault="00544B51" w:rsidP="003216CC">
      <w:pPr>
        <w:rPr>
          <w:szCs w:val="22"/>
          <w:lang w:eastAsia="fr-BE"/>
        </w:rPr>
      </w:pPr>
    </w:p>
    <w:p w14:paraId="0E84D9BC" w14:textId="7B2D3D7C" w:rsidR="00544B51" w:rsidRPr="00094654" w:rsidRDefault="00544B51" w:rsidP="00266D04">
      <w:pPr>
        <w:keepNext/>
        <w:keepLines/>
        <w:rPr>
          <w:b/>
          <w:szCs w:val="22"/>
        </w:rPr>
      </w:pPr>
      <w:r w:rsidRPr="00094654">
        <w:rPr>
          <w:u w:val="single"/>
        </w:rPr>
        <w:t>Domanda 3</w:t>
      </w:r>
      <w:r w:rsidRPr="00094654">
        <w:t xml:space="preserve">: </w:t>
      </w:r>
      <w:r w:rsidRPr="00094654">
        <w:rPr>
          <w:b/>
        </w:rPr>
        <w:t>Qual è la Sua opinione sul modo in cui il Suo governo sta traducendo queste raccomandazioni in azioni politiche concrete?</w:t>
      </w:r>
    </w:p>
    <w:p w14:paraId="3F41FF57" w14:textId="77777777" w:rsidR="004D0DB0" w:rsidRPr="00094654" w:rsidRDefault="004D0DB0" w:rsidP="00266D04">
      <w:pPr>
        <w:keepNext/>
        <w:keepLines/>
        <w:rPr>
          <w:b/>
          <w:szCs w:val="22"/>
        </w:rPr>
      </w:pPr>
    </w:p>
    <w:p w14:paraId="44EE4AAA" w14:textId="21FC840F" w:rsidR="00AF5948" w:rsidRPr="00094654" w:rsidRDefault="00AF5948" w:rsidP="003216CC">
      <w:pPr>
        <w:pStyle w:val="Heading3"/>
        <w:ind w:left="567" w:hanging="567"/>
      </w:pPr>
      <w:r w:rsidRPr="00094654">
        <w:t>Le parti sociali e le organizzazioni della società civile di CY (GIII), EL, ES (GII e GIII), HR, HU, IT (GI) e MT ritengono che i rispettivi governi nazionali stiano attivamente traducendo le raccomandazioni specifiche per paese in misure politiche, ma che la loro attuazione non sia stata pienamente realizzata e rimanga disomogenea tra i vari settori. Ad esempio, in EL, ES e HU si sono registrati miglioramenti economici e di bilancio (crescita, riduzione del debito, stabilità), mentre in CY, EL, ES e MT le persistenti sfide sociali non sono ancora state affrontate appieno (salari, pensioni, disuguaglianze, alloggi).</w:t>
      </w:r>
    </w:p>
    <w:p w14:paraId="04B34556" w14:textId="77777777" w:rsidR="00AF5948" w:rsidRPr="00094654" w:rsidRDefault="00AF5948" w:rsidP="003216CC">
      <w:pPr>
        <w:pStyle w:val="Heading3"/>
        <w:numPr>
          <w:ilvl w:val="0"/>
          <w:numId w:val="0"/>
        </w:numPr>
        <w:ind w:left="720"/>
      </w:pPr>
    </w:p>
    <w:p w14:paraId="6C77A518" w14:textId="61521BCF" w:rsidR="00AF5948" w:rsidRPr="00094654" w:rsidRDefault="00B758A0" w:rsidP="003216CC">
      <w:pPr>
        <w:pStyle w:val="Heading3"/>
        <w:ind w:left="567" w:hanging="567"/>
      </w:pPr>
      <w:r w:rsidRPr="00094654">
        <w:t>Le parti sociali e le organizzazioni della società civile di BG, CY (GI), DE, DK (GII), ES (GI), FI, HR (GII), IE, PL, PT, SI e SK riconoscono gli sforzi compiuti dai rispettivi governi nazionali per intervenire e muoversi nella giusta direzione. Tuttavia, ritengono che la mancanza di chiarezza e coerenza, nonché le lacune nell'attuazione e l'impatto limitato, impediscano a tali azioni di essere pienamente efficaci.</w:t>
      </w:r>
    </w:p>
    <w:p w14:paraId="4505740B" w14:textId="77777777" w:rsidR="00AF5948" w:rsidRPr="00094654" w:rsidRDefault="00AF5948" w:rsidP="003216CC">
      <w:pPr>
        <w:pStyle w:val="Heading3"/>
        <w:numPr>
          <w:ilvl w:val="0"/>
          <w:numId w:val="0"/>
        </w:numPr>
        <w:ind w:left="720"/>
      </w:pPr>
    </w:p>
    <w:p w14:paraId="7D419A3E" w14:textId="7B90F084" w:rsidR="00AF5948" w:rsidRPr="00094654" w:rsidRDefault="00AF5948" w:rsidP="003216CC">
      <w:pPr>
        <w:pStyle w:val="Heading3"/>
        <w:ind w:left="567" w:hanging="567"/>
      </w:pPr>
      <w:r w:rsidRPr="00094654">
        <w:t>Secondo le parti sociali e le organizzazioni della società civile in AT, BE, CY (GII), CZ (GI e GII), DK (GIII), EE, IT (GII e GIII), LT, LU, LV, NL, RO (GI e GII) e SE i rispettivi governi nazionali non stanno traducendo efficacemente le raccomandazioni specifiche per paese in politiche concrete e l'attuazione è spesso descritta come parziale, debole, lenta o incompleta.</w:t>
      </w:r>
    </w:p>
    <w:p w14:paraId="58C72AF7" w14:textId="77777777" w:rsidR="00AF5948" w:rsidRPr="00094654" w:rsidRDefault="00AF5948" w:rsidP="003216CC">
      <w:pPr>
        <w:pStyle w:val="Heading3"/>
        <w:numPr>
          <w:ilvl w:val="0"/>
          <w:numId w:val="0"/>
        </w:numPr>
        <w:ind w:left="720"/>
      </w:pPr>
    </w:p>
    <w:p w14:paraId="7EDEBE22" w14:textId="5DF0A3C8" w:rsidR="000D640C" w:rsidRPr="00094654" w:rsidRDefault="00B758A0" w:rsidP="003216CC">
      <w:pPr>
        <w:pStyle w:val="Heading3"/>
        <w:ind w:left="567" w:hanging="567"/>
      </w:pPr>
      <w:r w:rsidRPr="00094654">
        <w:lastRenderedPageBreak/>
        <w:t>Le parti sociali e le organizzazioni della società civile di AT, IT, PT e SK sottolineano che esiste un notevole divario tra l'elaborazione delle politiche e la loro attuazione concreta.</w:t>
      </w:r>
    </w:p>
    <w:p w14:paraId="166582AC" w14:textId="77777777" w:rsidR="000D640C" w:rsidRPr="00094654" w:rsidRDefault="000D640C" w:rsidP="00266D04">
      <w:pPr>
        <w:pStyle w:val="ListParagraph"/>
        <w:spacing w:line="288" w:lineRule="auto"/>
        <w:ind w:left="-115"/>
        <w:jc w:val="both"/>
        <w:rPr>
          <w:rFonts w:ascii="Times New Roman" w:eastAsia="Times New Roman" w:hAnsi="Times New Roman" w:cs="Times New Roman"/>
          <w:noProof w:val="0"/>
          <w:sz w:val="22"/>
          <w:szCs w:val="22"/>
        </w:rPr>
      </w:pPr>
    </w:p>
    <w:p w14:paraId="19A1CCE7" w14:textId="328D52AD" w:rsidR="00544B51" w:rsidRPr="00094654" w:rsidRDefault="00B758A0" w:rsidP="003216CC">
      <w:pPr>
        <w:pStyle w:val="Heading3"/>
        <w:ind w:left="567" w:hanging="567"/>
      </w:pPr>
      <w:r w:rsidRPr="00094654">
        <w:t>Alcuni rappresentanti di EL, IT e LV evidenziano che la sola individuazione delle sfide non è sufficiente, in quanto la difficoltà principale risiede nell'attuazione e nell'esecuzione. A loro parere occorre una forte volontà politica per garantire che le raccomandazioni specifiche per paese vengano effettivamente tradotte in azioni politiche concrete.</w:t>
      </w:r>
    </w:p>
    <w:p w14:paraId="64585433" w14:textId="77777777" w:rsidR="00544B51" w:rsidRPr="00094654" w:rsidRDefault="00544B51" w:rsidP="003216CC">
      <w:pPr>
        <w:rPr>
          <w:kern w:val="28"/>
          <w:szCs w:val="22"/>
          <w:u w:val="single"/>
        </w:rPr>
      </w:pPr>
    </w:p>
    <w:p w14:paraId="2BA31C85" w14:textId="72A9873E" w:rsidR="00544B51" w:rsidRPr="00094654" w:rsidRDefault="00544B51" w:rsidP="00266D04">
      <w:pPr>
        <w:keepNext/>
        <w:keepLines/>
        <w:rPr>
          <w:b/>
          <w:szCs w:val="22"/>
        </w:rPr>
      </w:pPr>
      <w:r w:rsidRPr="00094654">
        <w:rPr>
          <w:u w:val="single"/>
        </w:rPr>
        <w:t>Domanda 4</w:t>
      </w:r>
      <w:r w:rsidRPr="00094654">
        <w:t xml:space="preserve">: </w:t>
      </w:r>
      <w:r w:rsidRPr="00094654">
        <w:rPr>
          <w:b/>
        </w:rPr>
        <w:t>Il coinvolgimento delle parti sociali e delle organizzazioni della società civile nel dialogo tra il governo del Suo paese e la Commissione europea è migliorato nel corso del 2025? Qual è il Suo giudizio in merito? Cosa migliorerebbe il coinvolgimento delle parti sociali e delle organizzazioni della società civile?</w:t>
      </w:r>
    </w:p>
    <w:p w14:paraId="1F2A46AA" w14:textId="77777777" w:rsidR="000D640C" w:rsidRPr="00094654" w:rsidRDefault="000D640C" w:rsidP="00266D04">
      <w:pPr>
        <w:keepNext/>
        <w:keepLines/>
        <w:rPr>
          <w:b/>
          <w:szCs w:val="22"/>
        </w:rPr>
      </w:pPr>
    </w:p>
    <w:p w14:paraId="6671F894" w14:textId="17331454" w:rsidR="000D640C" w:rsidRPr="00094654" w:rsidRDefault="000D640C" w:rsidP="003216CC">
      <w:pPr>
        <w:pStyle w:val="Heading3"/>
        <w:ind w:left="567" w:hanging="567"/>
      </w:pPr>
      <w:r w:rsidRPr="00094654">
        <w:t>Le parti sociali e le organizzazioni della società civile di CY, EL, HR (GI e GIII), HU, IT (GI e GIII), LT, PL, RO (GI) e SI ritengono che nel corso del 2025 la consultazione e il dialogo tra i rispettivi governi nazionali e la Commissione europea si siano intensificati. A loro parere, il dialogo è migliorato nella forma, ma non del tutto nella sostanza, ed è ancora insufficiente in termini di qualità, profondità ed effettiva influenza sull'elaborazione delle politiche.</w:t>
      </w:r>
    </w:p>
    <w:p w14:paraId="3D5A3928" w14:textId="77777777" w:rsidR="000D640C" w:rsidRPr="00094654" w:rsidRDefault="000D640C" w:rsidP="003216CC">
      <w:pPr>
        <w:pStyle w:val="Heading3"/>
        <w:numPr>
          <w:ilvl w:val="0"/>
          <w:numId w:val="0"/>
        </w:numPr>
        <w:ind w:left="720"/>
      </w:pPr>
    </w:p>
    <w:p w14:paraId="494F82E1" w14:textId="208388CB" w:rsidR="000D640C" w:rsidRPr="00094654" w:rsidRDefault="000D640C" w:rsidP="003216CC">
      <w:pPr>
        <w:pStyle w:val="Heading3"/>
        <w:ind w:left="567" w:hanging="567"/>
      </w:pPr>
      <w:r w:rsidRPr="00094654">
        <w:t>In AT, BE, BG, CZ, DE, DK (GII e GIII), EE (GII e GIII), ES, FI, FR, HR (GII), IE, IT (GII e GIII), LV, LU, MT, NL, PT, RO (GII e GIII), SE e SK, il coinvolgimento delle parti sociali e della società civile resta sostanzialmente invariato, ovvero non va oltre il livello procedurale o risulta insufficiente. Nel 2025 non si sono registrati progressi rilevanti e in alcuni casi sono stati addirittura compiuti passi indietro. La partecipazione è spesso percepita come un adempimento simbolico anziché come una vera e propria codecisione o coprogettazione. Spesso non esiste un quadro nazionale coerente che colleghi le consultazioni ai processi di dialogo dell'UE.</w:t>
      </w:r>
    </w:p>
    <w:p w14:paraId="0A5CD94B" w14:textId="77777777" w:rsidR="000D640C" w:rsidRPr="00094654" w:rsidRDefault="000D640C" w:rsidP="003216CC">
      <w:pPr>
        <w:pStyle w:val="Heading3"/>
        <w:numPr>
          <w:ilvl w:val="0"/>
          <w:numId w:val="0"/>
        </w:numPr>
        <w:ind w:left="720"/>
      </w:pPr>
    </w:p>
    <w:p w14:paraId="2708C6C6" w14:textId="39946315" w:rsidR="000D640C" w:rsidRPr="00094654" w:rsidRDefault="00143034" w:rsidP="003216CC">
      <w:pPr>
        <w:pStyle w:val="Heading3"/>
        <w:ind w:left="567" w:hanging="567"/>
      </w:pPr>
      <w:r w:rsidRPr="00094654">
        <w:t>Per quanto riguarda il coinvolgimento delle parti sociali e delle organizzazioni della società civile nel dialogo tra i governi nazionali e la Commissione sulle RSP, le valutazioni per paese sono le seguenti: "coinvolgimento attivo" in HR (GI e GIII), HU e SE, "coinvolgimento visibile, ma non sufficiente" in BE, CY, CZ (GI e GII), EL, FI, FR, HR (GII), IT (GI e per alcuni rappresentanti del GIII), LV, LT, LU, PL, RO (GI), SI e SK, "coinvolgimento debole" in AT, BG, DE, DK (GII e GIII), EE (GII e GIII), ES (GI e GIII), IE, IT (GII e per alcuni rappresentanti del GIII), MT, NL, PT e RO (GII), e "nessun coinvolgimento" in CZ (GIII) e ES (GII).</w:t>
      </w:r>
    </w:p>
    <w:p w14:paraId="16BE5A12" w14:textId="77777777" w:rsidR="000D640C" w:rsidRPr="00094654" w:rsidRDefault="000D640C" w:rsidP="003216CC">
      <w:pPr>
        <w:pStyle w:val="Heading3"/>
        <w:numPr>
          <w:ilvl w:val="0"/>
          <w:numId w:val="0"/>
        </w:numPr>
        <w:ind w:left="720"/>
      </w:pPr>
    </w:p>
    <w:p w14:paraId="7F20CD73" w14:textId="3D49A5A3" w:rsidR="00456658" w:rsidRPr="00094654" w:rsidRDefault="000D640C" w:rsidP="003216CC">
      <w:pPr>
        <w:pStyle w:val="Heading3"/>
        <w:ind w:left="567" w:hanging="567"/>
      </w:pPr>
      <w:r w:rsidRPr="00094654">
        <w:t xml:space="preserve">Infine, nella maggior parte degli Stati membri dell'UE, le parti sociali e le organizzazioni della società civile sottolineano che, anziché consultazioni tardive, meramente procedurali o condotte su base ad hoc, occorre un coinvolgimento più tempestivo, più strutturato e più sostanziale nell'intero ciclo politico (dalla progettazione fino all'attuazione e alla valutazione). In BE, DE, ES (GIII), PL, PT, SI e SK i rispondenti ritengono che i governi dovrebbero rispondere ai contributi e spiegare perché le proposte sono accettate o respinte. I rispondenti di BE, CZ, HU, MT e PL sottolineano la necessità di rafforzare la capacità e le risorse delle parti sociali e delle organizzazioni della società civile, in particolare migliorando il sostegno finanziario, le opportunità di formazione e lo sviluppo delle capacità istituzionali al fine di consentire una partecipazione più efficace al processo del semestre europeo. I rispondenti di AT, DK (GII e GIII), EL, ES (GII e GIII), HR (GII e GIII), IT, LU e SI sottolineano la necessità di meccanismi di </w:t>
      </w:r>
      <w:r w:rsidRPr="00094654">
        <w:lastRenderedPageBreak/>
        <w:t>dialogo più strutturati e istituzionalizzati, compresi quadri formalizzati, processi di consultazione stabili e prevedibili e forum programmati periodicamente per garantire un coinvolgimento sistematico e continuo.</w:t>
      </w:r>
    </w:p>
    <w:p w14:paraId="6CC4D608" w14:textId="77777777" w:rsidR="00A46347" w:rsidRPr="00094654" w:rsidRDefault="00A46347" w:rsidP="003216CC">
      <w:pPr>
        <w:rPr>
          <w:szCs w:val="22"/>
        </w:rPr>
      </w:pPr>
    </w:p>
    <w:p w14:paraId="5653E771" w14:textId="3C577F27" w:rsidR="00A46347" w:rsidRPr="00094654" w:rsidRDefault="000B22C0" w:rsidP="00A34666">
      <w:pPr>
        <w:pStyle w:val="Heading2"/>
        <w:keepNext/>
        <w:ind w:left="567" w:hanging="567"/>
        <w:rPr>
          <w:szCs w:val="22"/>
        </w:rPr>
      </w:pPr>
      <w:r w:rsidRPr="00094654">
        <w:rPr>
          <w:i/>
        </w:rPr>
        <w:t>Sezione</w:t>
      </w:r>
      <w:r w:rsidR="00A46347" w:rsidRPr="00094654">
        <w:rPr>
          <w:i/>
        </w:rPr>
        <w:t xml:space="preserve"> II: L'attuazione e il monitoraggio dei piani nazionali strutturali di bilancio di medio termine</w:t>
      </w:r>
    </w:p>
    <w:p w14:paraId="690038E2" w14:textId="77777777" w:rsidR="003E4090" w:rsidRPr="00094654" w:rsidRDefault="003E4090" w:rsidP="003216CC">
      <w:pPr>
        <w:keepNext/>
        <w:rPr>
          <w:szCs w:val="22"/>
        </w:rPr>
      </w:pPr>
    </w:p>
    <w:p w14:paraId="65D31355" w14:textId="77777777" w:rsidR="000D640C" w:rsidRPr="00094654" w:rsidRDefault="000D640C" w:rsidP="003216CC">
      <w:pPr>
        <w:rPr>
          <w:b/>
          <w:szCs w:val="22"/>
        </w:rPr>
      </w:pPr>
      <w:r w:rsidRPr="00094654">
        <w:rPr>
          <w:u w:val="single"/>
        </w:rPr>
        <w:t>Domanda 5</w:t>
      </w:r>
      <w:r w:rsidRPr="00094654">
        <w:t xml:space="preserve">: </w:t>
      </w:r>
      <w:r w:rsidRPr="00094654">
        <w:rPr>
          <w:b/>
        </w:rPr>
        <w:t>Dispone delle capacità e delle risorse (risorse amministrative, conoscenze, tempo ecc.) necessarie per monitorare l'attuazione del piano del Suo paese e della relazione annuale sui progressi compiuti? Se la risposta è "no", di che cosa avrebbe bisogno per poterlo fare?</w:t>
      </w:r>
    </w:p>
    <w:p w14:paraId="2FFB57CF" w14:textId="77777777" w:rsidR="00F6672F" w:rsidRPr="00094654" w:rsidRDefault="00F6672F" w:rsidP="003216CC">
      <w:pPr>
        <w:rPr>
          <w:szCs w:val="22"/>
        </w:rPr>
      </w:pPr>
    </w:p>
    <w:p w14:paraId="6D9984E9" w14:textId="20720450" w:rsidR="000D640C" w:rsidRPr="00094654" w:rsidRDefault="00FA59C6" w:rsidP="003216CC">
      <w:pPr>
        <w:pStyle w:val="Heading3"/>
        <w:ind w:left="567" w:hanging="567"/>
      </w:pPr>
      <w:r w:rsidRPr="00094654">
        <w:t>Nella maggioranza degli Stati membri le parti sociali e le organizzazioni della società civile ritengono di disporre di una capacità amministrativa sufficiente per monitorare l'attuazione a livello teorico, ma sottolineano che nella pratica la capacità è disomogenea e fortemente limitata dai tempi ristretti, dal carico di lavoro e dalla limitatezza delle risorse (in particolare per quanto riguarda le organizzazioni più piccole). L'asimmetria delle capacità tra le organizzazioni è un problema strutturale ricorrente. Inoltre, in generale i rispondenti indicano di possedere le conoscenze e la comprensione analitica necessarie, ma che queste sono distribuite in modo disomogeneo e non sono sufficientemente strutturate.</w:t>
      </w:r>
    </w:p>
    <w:p w14:paraId="358CC11A" w14:textId="77777777" w:rsidR="000D640C" w:rsidRPr="00094654" w:rsidRDefault="000D640C" w:rsidP="003216CC">
      <w:pPr>
        <w:pStyle w:val="Heading3"/>
        <w:numPr>
          <w:ilvl w:val="0"/>
          <w:numId w:val="0"/>
        </w:numPr>
        <w:ind w:left="720"/>
      </w:pPr>
    </w:p>
    <w:p w14:paraId="73D8CFFE" w14:textId="3F507E39" w:rsidR="000D640C" w:rsidRPr="00094654" w:rsidRDefault="00C76E5D" w:rsidP="003216CC">
      <w:pPr>
        <w:pStyle w:val="Heading3"/>
        <w:ind w:left="567" w:hanging="567"/>
      </w:pPr>
      <w:r w:rsidRPr="00094654">
        <w:t>Le parti sociali e le organizzazioni della società civile di BE, BG, DK (GII), ES (GII), FR, HR, IT (GII), PT e SI riferiscono che, sebbene abbiano il tempo di seguire il processo, non ne hanno a sufficienza per analizzare adeguatamente le informazioni, condurre consultazioni e fornire contributi sostanziali.</w:t>
      </w:r>
    </w:p>
    <w:p w14:paraId="5FB04366" w14:textId="77777777" w:rsidR="000D640C" w:rsidRPr="00094654" w:rsidRDefault="000D640C" w:rsidP="003216CC">
      <w:pPr>
        <w:pStyle w:val="Heading3"/>
        <w:numPr>
          <w:ilvl w:val="0"/>
          <w:numId w:val="0"/>
        </w:numPr>
        <w:ind w:left="720"/>
      </w:pPr>
    </w:p>
    <w:p w14:paraId="08169146" w14:textId="41E49A1F" w:rsidR="000D640C" w:rsidRPr="00094654" w:rsidRDefault="000D640C" w:rsidP="003216CC">
      <w:pPr>
        <w:pStyle w:val="Heading3"/>
        <w:ind w:left="567" w:hanging="567"/>
      </w:pPr>
      <w:r w:rsidRPr="00094654">
        <w:t>Inoltre, i rispondenti di BE, DE, IT (GIII) e LT sottolineano che, anche quando le capacità esistono, il monitoraggio è limitato da una scarsa trasparenza, da una rendicontazione frammentata e dall'insufficiente fornitura di dati tempestivi o utilizzabili da parte delle autorità pubbliche.</w:t>
      </w:r>
    </w:p>
    <w:p w14:paraId="64CFEF83" w14:textId="77777777" w:rsidR="000D640C" w:rsidRPr="00094654" w:rsidRDefault="000D640C" w:rsidP="003216CC">
      <w:pPr>
        <w:pStyle w:val="Heading3"/>
        <w:numPr>
          <w:ilvl w:val="0"/>
          <w:numId w:val="0"/>
        </w:numPr>
        <w:ind w:left="720"/>
      </w:pPr>
    </w:p>
    <w:p w14:paraId="0EE3CB25" w14:textId="5165A5A5" w:rsidR="000D640C" w:rsidRPr="00094654" w:rsidRDefault="000D640C" w:rsidP="003216CC">
      <w:pPr>
        <w:pStyle w:val="Heading3"/>
        <w:ind w:left="567" w:hanging="567"/>
        <w:rPr>
          <w:kern w:val="28"/>
          <w:u w:val="single"/>
        </w:rPr>
      </w:pPr>
      <w:r w:rsidRPr="00094654">
        <w:t>Infine, le parti sociali e la società civile di CZ (GIII), DK (GIII), HU, IE, IT (GIII), MT, NL, PL, RO (GI e GIII), SI e SK sottolineano di non disporre di risorse istituzionali sufficienti per monitorare sistematicamente l'attuazione, anche quando dispongono di alcune conoscenze tecniche.</w:t>
      </w:r>
    </w:p>
    <w:p w14:paraId="4752E47D" w14:textId="77777777" w:rsidR="00B6623A" w:rsidRPr="00094654" w:rsidRDefault="00B6623A" w:rsidP="003216CC">
      <w:pPr>
        <w:rPr>
          <w:szCs w:val="22"/>
        </w:rPr>
      </w:pPr>
    </w:p>
    <w:p w14:paraId="52147563" w14:textId="71725936" w:rsidR="00A46347" w:rsidRPr="00094654" w:rsidRDefault="000B22C0" w:rsidP="003216CC">
      <w:pPr>
        <w:pStyle w:val="Heading2"/>
        <w:keepNext/>
        <w:ind w:left="567" w:hanging="567"/>
        <w:rPr>
          <w:szCs w:val="22"/>
        </w:rPr>
      </w:pPr>
      <w:r w:rsidRPr="00094654">
        <w:rPr>
          <w:i/>
        </w:rPr>
        <w:t>Sezione</w:t>
      </w:r>
      <w:r w:rsidR="00A46347" w:rsidRPr="00094654">
        <w:rPr>
          <w:i/>
        </w:rPr>
        <w:t xml:space="preserve"> III: Il completamento delle riforme e degli investimenti previsti dai piani nazionali per la ripresa e la resilienza</w:t>
      </w:r>
    </w:p>
    <w:p w14:paraId="75E838F8" w14:textId="77777777" w:rsidR="00656F0B" w:rsidRPr="00094654" w:rsidRDefault="00656F0B" w:rsidP="003216CC">
      <w:pPr>
        <w:keepNext/>
        <w:rPr>
          <w:kern w:val="28"/>
          <w:szCs w:val="22"/>
          <w:u w:val="single"/>
        </w:rPr>
      </w:pPr>
    </w:p>
    <w:p w14:paraId="7125102B" w14:textId="6EB0DF06" w:rsidR="000D640C" w:rsidRPr="00094654" w:rsidRDefault="000D640C" w:rsidP="003216CC">
      <w:pPr>
        <w:rPr>
          <w:b/>
          <w:szCs w:val="22"/>
        </w:rPr>
      </w:pPr>
      <w:r w:rsidRPr="00094654">
        <w:rPr>
          <w:u w:val="single"/>
        </w:rPr>
        <w:t>Domanda 6</w:t>
      </w:r>
      <w:r w:rsidRPr="00094654">
        <w:t xml:space="preserve">: </w:t>
      </w:r>
      <w:r w:rsidRPr="00094654">
        <w:rPr>
          <w:b/>
        </w:rPr>
        <w:t>Come giudica i progressi compiuti nell'attuazione del piano nazionale di ripresa e resilienza (PNRR) del Suo paese?</w:t>
      </w:r>
    </w:p>
    <w:p w14:paraId="6FFCBEE8" w14:textId="77777777" w:rsidR="000D640C" w:rsidRPr="00094654" w:rsidRDefault="000D640C" w:rsidP="003216CC">
      <w:pPr>
        <w:rPr>
          <w:b/>
          <w:szCs w:val="22"/>
        </w:rPr>
      </w:pPr>
    </w:p>
    <w:p w14:paraId="73E1EB92" w14:textId="61A850FC" w:rsidR="000D640C" w:rsidRPr="00094654" w:rsidRDefault="000D640C" w:rsidP="003216CC">
      <w:pPr>
        <w:pStyle w:val="Heading3"/>
        <w:ind w:left="567" w:hanging="567"/>
      </w:pPr>
      <w:r w:rsidRPr="00094654">
        <w:t>In AT (GI), BG, CY (GIII), CZ (GI e GIII), EE (GI), EL, ES, FR, HR, IE, IT (GI e GIII), LU, MT, PT, SE e SI le parti sociali e le organizzazioni della società civile ritengono che l'attuazione dei piani nazionali per la ripresa e la resilienza stia procedendo bene (sono stati infatti conseguiti molti traguardi e obiettivi) e che le riforme e gli investimenti stiano progredendo, anche se in modo disomogeneo o incompleto.</w:t>
      </w:r>
    </w:p>
    <w:p w14:paraId="4086ED82" w14:textId="22073AC0" w:rsidR="000D640C" w:rsidRPr="00094654" w:rsidRDefault="000D640C" w:rsidP="003216CC">
      <w:pPr>
        <w:pStyle w:val="Heading3"/>
        <w:ind w:left="567" w:hanging="567"/>
      </w:pPr>
      <w:r w:rsidRPr="00094654">
        <w:lastRenderedPageBreak/>
        <w:t>Tuttavia, molti fanno presente che permangono difficoltà di attuazione, mettendo ad esempio in luce i vincoli persistenti che incidono sulla rapidità e sull'efficacia di quest'ultima. I rispondenti della Grecia citano ritardi dovuti alla struttura dei servizi responsabili della gestione delle risorse e alla loro carenza di personale, alla mancanza di scadenze intermedie obbligatorie per l'attuazione dei progetti al di là delle fasi concordate con l'UE e all'insufficiente monitoraggio dell'attuazione dei progetti. I rispondenti di Croazia e Italia ritengono che una delle principali sfide per l'attuazione sia la necessità di rafforzare la capacità amministrativa; quelli del Portogallo osservano poi che è improbabile che il paese sia in grado di attuare l'intero piano.</w:t>
      </w:r>
    </w:p>
    <w:p w14:paraId="13526F0B" w14:textId="77777777" w:rsidR="000D640C" w:rsidRPr="00094654" w:rsidRDefault="000D640C" w:rsidP="003216CC">
      <w:pPr>
        <w:rPr>
          <w:szCs w:val="22"/>
        </w:rPr>
      </w:pPr>
    </w:p>
    <w:p w14:paraId="5C7AB22A" w14:textId="10DDF89E" w:rsidR="000D640C" w:rsidRPr="00094654" w:rsidRDefault="000D640C" w:rsidP="003216CC">
      <w:pPr>
        <w:pStyle w:val="Heading3"/>
        <w:ind w:left="567" w:hanging="567"/>
      </w:pPr>
      <w:r w:rsidRPr="00094654">
        <w:t>Inoltre, alcuni partecipanti evidenziano anche l'importanza di riforme che vadano oltre la spesa, sottolineando che l'impatto strutturale è tuttora incerto e che l'esecuzione finanziaria non si è ancora pienamente tradotta in una trasformazione strutturale più profonda. Ad esempio, i rispondenti della Slovenia affermano che l'impatto complessivo di tali misure rimane poco chiaro, mentre quelli dell'Italia osservano che il piano non ha ancora prodotto effetti visibili per quanto riguarda le riforme amministrative, la modernizzazione delle infrastrutture, un sistema di produzione complessivamente più competitivo o l'aumento del capitale umano e delle competenze necessari per lo sviluppo. Inoltre, i rispondenti di IE, IT e LT evidenziano le restanti sfide sociali, quali la povertà e le carenze in termini di alloggi sociali e a prezzi accessibili e di integrazione dei gruppi vulnerabili nel mercato del lavoro.</w:t>
      </w:r>
    </w:p>
    <w:p w14:paraId="6A11E5CC" w14:textId="77777777" w:rsidR="000D640C" w:rsidRPr="00094654" w:rsidRDefault="000D640C" w:rsidP="003216CC">
      <w:pPr>
        <w:pStyle w:val="Heading3"/>
        <w:numPr>
          <w:ilvl w:val="0"/>
          <w:numId w:val="0"/>
        </w:numPr>
        <w:ind w:left="720"/>
      </w:pPr>
    </w:p>
    <w:p w14:paraId="4BA9BC91" w14:textId="1955DC08" w:rsidR="000D640C" w:rsidRPr="00094654" w:rsidRDefault="000D640C" w:rsidP="003216CC">
      <w:pPr>
        <w:pStyle w:val="Heading3"/>
        <w:ind w:left="567" w:hanging="567"/>
      </w:pPr>
      <w:r w:rsidRPr="00094654">
        <w:t>In AT (GII), CY (GI), DE, DK (GII e GIII), FI, IT (GII e GIII), LV, PL e SK le parti sociali e le organizzazioni della società civile sono neutrali su questo tema. In generale ritengono che vi siano stati progressi, ma che sia ancora difficile farne una valutazione completa. L'efficacia, il ritmo e l'impatto effettivi dell'attuazione restano incerti o sono limitati da problemi amministrative e procedurali.</w:t>
      </w:r>
    </w:p>
    <w:p w14:paraId="49B3F160" w14:textId="77777777" w:rsidR="000D640C" w:rsidRPr="00094654" w:rsidRDefault="000D640C" w:rsidP="003216CC">
      <w:pPr>
        <w:pStyle w:val="Heading3"/>
        <w:numPr>
          <w:ilvl w:val="0"/>
          <w:numId w:val="0"/>
        </w:numPr>
        <w:ind w:left="720"/>
      </w:pPr>
    </w:p>
    <w:p w14:paraId="4BE0FBD2" w14:textId="16883071" w:rsidR="000D640C" w:rsidRPr="00094654" w:rsidRDefault="000D640C" w:rsidP="003216CC">
      <w:pPr>
        <w:pStyle w:val="Heading3"/>
        <w:ind w:left="567" w:hanging="567"/>
        <w:rPr>
          <w:kern w:val="28"/>
          <w:u w:val="single"/>
        </w:rPr>
      </w:pPr>
      <w:r w:rsidRPr="00094654">
        <w:t>In AT (GIII), EE (GII e GIII), ES (GI), HU, IT (GII), NL e RO le parti sociali e le organizzazioni della società civile hanno una percezione negativa dei progressi compiuti nell'attuazione dei piani nazionali per la ripresa e la resilienza. In generale evidenziano la loro scarsa partecipazione, che contribuisce a piani mal concepiti, a una scarsa titolarità e a carenze nell'attuazione. Inoltre, la maggior parte di essi segnala gravi problemi di attuazione, tra cui ritardi, riforme bloccate o incapacità di rispettare scadenze e obiettivi. Secondo i rispondenti di AT (GIII), ES (GI) e RO,</w:t>
      </w:r>
      <w:r w:rsidR="000B22C0" w:rsidRPr="00094654">
        <w:t xml:space="preserve"> </w:t>
      </w:r>
      <w:r w:rsidRPr="00094654">
        <w:t>capacità amministrative carenti e procedure onerose stanno rallentando l'attuazione e l'assorbimento dei fondi. I problemi ricorrenti sono processi poco chiari, la mancanza di informazioni accessibili e la scarsa assunzione di responsabilità.</w:t>
      </w:r>
    </w:p>
    <w:p w14:paraId="69EA1C97" w14:textId="77777777" w:rsidR="000D640C" w:rsidRPr="00094654" w:rsidRDefault="000D640C" w:rsidP="003216CC">
      <w:pPr>
        <w:rPr>
          <w:kern w:val="28"/>
          <w:szCs w:val="22"/>
          <w:u w:val="single"/>
        </w:rPr>
      </w:pPr>
    </w:p>
    <w:p w14:paraId="68DE7269" w14:textId="042DC64D" w:rsidR="00656F0B" w:rsidRPr="00094654" w:rsidRDefault="00656F0B" w:rsidP="00266D04">
      <w:pPr>
        <w:keepNext/>
        <w:keepLines/>
        <w:rPr>
          <w:b/>
          <w:szCs w:val="22"/>
        </w:rPr>
      </w:pPr>
      <w:r w:rsidRPr="00094654">
        <w:rPr>
          <w:u w:val="single"/>
        </w:rPr>
        <w:t>Domanda 7</w:t>
      </w:r>
      <w:r w:rsidRPr="00094654">
        <w:t xml:space="preserve">: </w:t>
      </w:r>
      <w:r w:rsidRPr="00094654">
        <w:rPr>
          <w:b/>
        </w:rPr>
        <w:t>Il dispositivo per la ripresa e la resilienza dovrebbe avere termine alla fine del 2026. Quali sono i principali insegnamenti tratti da questo strumento, sia in positivo che in negativo?</w:t>
      </w:r>
    </w:p>
    <w:p w14:paraId="3971F47C" w14:textId="77777777" w:rsidR="000D640C" w:rsidRPr="00094654" w:rsidRDefault="000D640C" w:rsidP="00266D04">
      <w:pPr>
        <w:keepNext/>
        <w:keepLines/>
        <w:rPr>
          <w:kern w:val="28"/>
          <w:szCs w:val="22"/>
          <w:u w:val="single"/>
        </w:rPr>
      </w:pPr>
    </w:p>
    <w:p w14:paraId="0BBB5DB6" w14:textId="58DE7204" w:rsidR="000D640C" w:rsidRPr="00094654" w:rsidRDefault="000D640C" w:rsidP="003216CC">
      <w:pPr>
        <w:pStyle w:val="Heading3"/>
        <w:ind w:left="567" w:hanging="567"/>
      </w:pPr>
      <w:r w:rsidRPr="00094654">
        <w:rPr>
          <w:b/>
        </w:rPr>
        <w:t>Per quanto riguarda gli insegnamenti positivi tratti</w:t>
      </w:r>
      <w:r w:rsidRPr="00094654">
        <w:t>, le parti sociali e le organizzazioni della società civile di BE, CZ (GI e GII), EL, ES, IE, IT, LV, MT, PL, RO (GI e GIII), SE, SI e SK affermano che il dispositivo per la ripresa e la resilienza riesce a collegare le riforme agli investimenti, orientando al contempo le priorità strategiche (verde, digitale, resilienza) a livello sia nazionale che dell'UE. Il dispositivo per la ripresa e la resilienza è ampiamente apprezzato perché combina finanziamenti e riforme e allinea la spesa alle priorità a lungo termine dell'UE, il che lo rende più strategico rispetto agli strumenti tradizionali.</w:t>
      </w:r>
    </w:p>
    <w:p w14:paraId="52DD247A" w14:textId="2F9DA485" w:rsidR="000D640C" w:rsidRPr="00094654" w:rsidRDefault="000D640C" w:rsidP="003216CC">
      <w:pPr>
        <w:pStyle w:val="Heading3"/>
        <w:ind w:left="567" w:hanging="567"/>
      </w:pPr>
      <w:r w:rsidRPr="00094654">
        <w:lastRenderedPageBreak/>
        <w:t xml:space="preserve">Inoltre, secondo i rispondenti di DE, ES (GI e GII), IT, LT e SK, il dispositivo per la ripresa e la resilienza ha dato dimostrazione del forte valore aggiunto dell'UE attraverso la solidarietà, la portata e il coordinamento, in particolare nelle crisi. Si ritiene che generi effetti di ricaduta positivi all'interno degli Stati membri dell'UE e tra uno Stato membro e l'altro. </w:t>
      </w:r>
    </w:p>
    <w:p w14:paraId="08CD4D17" w14:textId="77777777" w:rsidR="000D640C" w:rsidRPr="0047537C" w:rsidRDefault="000D640C" w:rsidP="003216CC">
      <w:pPr>
        <w:pStyle w:val="Heading3"/>
        <w:numPr>
          <w:ilvl w:val="0"/>
          <w:numId w:val="0"/>
        </w:numPr>
        <w:ind w:left="720"/>
        <w:rPr>
          <w:sz w:val="26"/>
          <w:szCs w:val="26"/>
        </w:rPr>
      </w:pPr>
    </w:p>
    <w:p w14:paraId="47132CFE" w14:textId="4C360E83" w:rsidR="000D640C" w:rsidRPr="00094654" w:rsidRDefault="000D640C" w:rsidP="003216CC">
      <w:pPr>
        <w:pStyle w:val="Heading3"/>
        <w:ind w:left="567" w:hanging="567"/>
      </w:pPr>
      <w:r w:rsidRPr="00094654">
        <w:t>Inoltre, un altro insegnamento fondamentale che i rispondenti di CZ (GI e GII), EL, ES (GI), IT, RO (GI) e SI sottolineano è l'efficacia di un approccio di governance basato sulle prestazioni (basato sui risultati), che a loro avviso rafforza l'attuazione delle politiche.</w:t>
      </w:r>
    </w:p>
    <w:p w14:paraId="45B1EA9C" w14:textId="77777777" w:rsidR="000D640C" w:rsidRPr="0047537C" w:rsidRDefault="000D640C" w:rsidP="003216CC">
      <w:pPr>
        <w:pStyle w:val="Heading3"/>
        <w:numPr>
          <w:ilvl w:val="0"/>
          <w:numId w:val="0"/>
        </w:numPr>
        <w:ind w:left="720"/>
        <w:rPr>
          <w:sz w:val="26"/>
          <w:szCs w:val="26"/>
        </w:rPr>
      </w:pPr>
    </w:p>
    <w:p w14:paraId="55823072" w14:textId="50D7A80E" w:rsidR="000D640C" w:rsidRPr="00094654" w:rsidRDefault="000D640C" w:rsidP="003216CC">
      <w:pPr>
        <w:pStyle w:val="Heading3"/>
        <w:ind w:left="567" w:hanging="567"/>
      </w:pPr>
      <w:r w:rsidRPr="00094654">
        <w:t>Infine, alcuni rispondenti di BE, DK (GII), HR (GI), IT e RO osservano anche che il dispositivo per la ripresa e la resilienza contribuisce a migliorare le pratiche di governance e il coordinamento tra gli attori.</w:t>
      </w:r>
    </w:p>
    <w:p w14:paraId="7E897414" w14:textId="77777777" w:rsidR="000D640C" w:rsidRPr="0047537C" w:rsidRDefault="000D640C" w:rsidP="00266D04">
      <w:pPr>
        <w:pStyle w:val="ListParagraph"/>
        <w:spacing w:line="288" w:lineRule="auto"/>
        <w:ind w:left="-115"/>
        <w:jc w:val="both"/>
        <w:rPr>
          <w:rFonts w:ascii="Times New Roman" w:hAnsi="Times New Roman" w:cs="Times New Roman"/>
          <w:noProof w:val="0"/>
          <w:sz w:val="26"/>
          <w:szCs w:val="26"/>
        </w:rPr>
      </w:pPr>
    </w:p>
    <w:p w14:paraId="7A372E54" w14:textId="62563CCF" w:rsidR="000D640C" w:rsidRPr="00094654" w:rsidRDefault="000D640C" w:rsidP="003216CC">
      <w:pPr>
        <w:pStyle w:val="Heading3"/>
        <w:ind w:left="567" w:hanging="567"/>
      </w:pPr>
      <w:r w:rsidRPr="00094654">
        <w:rPr>
          <w:b/>
        </w:rPr>
        <w:t>Per quanto riguarda gli insegnamenti negativi tratti</w:t>
      </w:r>
      <w:r w:rsidRPr="00094654">
        <w:t>, le parti sociali e le organizzazioni della società civile di AT, BE, CY, EL, ES, FR, HR, IT e SK riferiscono che lo strumento comporta un notevole onere amministrativo ed è molto complesso, al che spesso si aggiungono anche i vincoli di capacità e i ritardi o le inefficienze che ne derivano in termini di attuazione. L'eccessiva complessità e onerosità attribuite in generale al dispositivo per la ripresa e la resilienza rallentano l'attuazione, oltre a limitare l'accesso e a ridurre l'efficacia complessiva.</w:t>
      </w:r>
    </w:p>
    <w:p w14:paraId="31F95184" w14:textId="77777777" w:rsidR="000D640C" w:rsidRPr="0047537C" w:rsidRDefault="000D640C" w:rsidP="003216CC">
      <w:pPr>
        <w:pStyle w:val="Heading3"/>
        <w:numPr>
          <w:ilvl w:val="0"/>
          <w:numId w:val="0"/>
        </w:numPr>
        <w:ind w:left="720"/>
        <w:rPr>
          <w:sz w:val="26"/>
          <w:szCs w:val="26"/>
        </w:rPr>
      </w:pPr>
    </w:p>
    <w:p w14:paraId="162DDDEF" w14:textId="4EA46C71" w:rsidR="00770974" w:rsidRPr="00094654" w:rsidRDefault="000D640C" w:rsidP="003216CC">
      <w:pPr>
        <w:pStyle w:val="Heading3"/>
        <w:ind w:left="567" w:hanging="567"/>
      </w:pPr>
      <w:r w:rsidRPr="00094654">
        <w:t>Inoltre, nelle risposte di AT, CZ, DK, EL, ES, IT, NL, RO e SI è spesso criticata la partecipazione delle parti sociali e della società civile, in molti casi ritenuta insufficiente, tardiva o puramente procedurale, il che indebolisce la titolarità e la qualità delle politiche. I rispondenti di BE, ES, IT e RO sottolineano altresì che la governance è spesso considerata troppo centralizzata, non sufficientemente trasparente e non inclusiva.</w:t>
      </w:r>
    </w:p>
    <w:p w14:paraId="4795182A" w14:textId="77777777" w:rsidR="00770974" w:rsidRPr="0047537C" w:rsidRDefault="00770974" w:rsidP="003216CC">
      <w:pPr>
        <w:pStyle w:val="Heading3"/>
        <w:numPr>
          <w:ilvl w:val="0"/>
          <w:numId w:val="0"/>
        </w:numPr>
        <w:ind w:left="720"/>
        <w:rPr>
          <w:sz w:val="26"/>
          <w:szCs w:val="26"/>
        </w:rPr>
      </w:pPr>
    </w:p>
    <w:p w14:paraId="22952410" w14:textId="4EE17CF5" w:rsidR="00656F0B" w:rsidRPr="00094654" w:rsidRDefault="000D640C" w:rsidP="00542339">
      <w:pPr>
        <w:pStyle w:val="Heading3"/>
        <w:ind w:left="567" w:hanging="567"/>
      </w:pPr>
      <w:r w:rsidRPr="00094654">
        <w:t>Inoltre, alcuni rispondenti di ES, PL, SI e SK sottolineano i limiti dell'approccio basato sulle prestazioni (traguardi): pur essendo utile, è anche criticato perché privilegia l'adempimento formale rispetto all'impatto reale. Può creare rigidità e concentrarsi sulle procedure anziché sui risultati.</w:t>
      </w:r>
    </w:p>
    <w:p w14:paraId="20F8011F" w14:textId="77777777" w:rsidR="00F6672F" w:rsidRPr="0047537C" w:rsidRDefault="00F6672F" w:rsidP="003216CC">
      <w:pPr>
        <w:rPr>
          <w:sz w:val="26"/>
          <w:szCs w:val="26"/>
        </w:rPr>
      </w:pPr>
    </w:p>
    <w:p w14:paraId="2E481799" w14:textId="38A7033C" w:rsidR="00770974" w:rsidRPr="00094654" w:rsidRDefault="00976333" w:rsidP="00542339">
      <w:pPr>
        <w:pStyle w:val="Heading3"/>
        <w:ind w:left="567" w:hanging="567"/>
      </w:pPr>
      <w:r w:rsidRPr="00094654">
        <w:t>Le parti sociali e le organizzazioni della società civile di IT, NL, RO e SI sottolineano il calendario serrato, da molti considerato problematico. Il rispetto delle scadenze crea pressioni e rischi per la qualità, oltre a causare un'attuazione affrettata.</w:t>
      </w:r>
    </w:p>
    <w:p w14:paraId="31415D17" w14:textId="77777777" w:rsidR="00770974" w:rsidRPr="0047537C" w:rsidRDefault="00770974" w:rsidP="003216CC">
      <w:pPr>
        <w:pStyle w:val="Heading3"/>
        <w:numPr>
          <w:ilvl w:val="0"/>
          <w:numId w:val="0"/>
        </w:numPr>
        <w:ind w:left="720"/>
        <w:rPr>
          <w:sz w:val="26"/>
          <w:szCs w:val="26"/>
        </w:rPr>
      </w:pPr>
    </w:p>
    <w:p w14:paraId="7304F23C" w14:textId="69FADB3F" w:rsidR="000D640C" w:rsidRPr="00094654" w:rsidRDefault="000D640C" w:rsidP="003216CC">
      <w:pPr>
        <w:pStyle w:val="Heading3"/>
        <w:ind w:left="567" w:hanging="567"/>
      </w:pPr>
      <w:r w:rsidRPr="00094654">
        <w:t>Infine, i rispondenti di CY, ES, HR e SK sottolineano l'accesso limitato e la partecipazione disomogenea (in particolare per le PMI), facendo presente che gli operatori più piccoli si trovano ad affrontare svantaggi strutturali e che il sistema tende a favorire gli operatori di maggiori dimensioni.</w:t>
      </w:r>
    </w:p>
    <w:p w14:paraId="42B60013" w14:textId="77777777" w:rsidR="000D640C" w:rsidRPr="00094654" w:rsidRDefault="000D640C" w:rsidP="003216CC">
      <w:pPr>
        <w:rPr>
          <w:szCs w:val="22"/>
        </w:rPr>
      </w:pPr>
    </w:p>
    <w:p w14:paraId="5B2DB67D" w14:textId="56CF6C31" w:rsidR="000D640C" w:rsidRPr="00094654" w:rsidRDefault="000B22C0" w:rsidP="00F668CF">
      <w:pPr>
        <w:pStyle w:val="Heading3"/>
        <w:keepNext/>
        <w:ind w:left="567" w:hanging="567"/>
        <w:rPr>
          <w:i/>
          <w:iCs/>
        </w:rPr>
      </w:pPr>
      <w:r w:rsidRPr="00094654">
        <w:rPr>
          <w:i/>
          <w:iCs/>
        </w:rPr>
        <w:lastRenderedPageBreak/>
        <w:t>Sezione</w:t>
      </w:r>
      <w:r w:rsidR="000D640C" w:rsidRPr="00094654">
        <w:rPr>
          <w:i/>
          <w:iCs/>
        </w:rPr>
        <w:t xml:space="preserve"> IV: Il legame tra il quadro finanziario pluriennale (QFP) e il semestre europeo</w:t>
      </w:r>
    </w:p>
    <w:p w14:paraId="452ED896" w14:textId="77777777" w:rsidR="000D640C" w:rsidRPr="00094654" w:rsidRDefault="000D640C" w:rsidP="00F668CF">
      <w:pPr>
        <w:keepNext/>
        <w:rPr>
          <w:kern w:val="28"/>
          <w:szCs w:val="22"/>
        </w:rPr>
      </w:pPr>
    </w:p>
    <w:p w14:paraId="01D14EBC" w14:textId="282B0491" w:rsidR="003B363C" w:rsidRPr="00094654" w:rsidRDefault="000D640C" w:rsidP="00266D04">
      <w:pPr>
        <w:keepNext/>
        <w:keepLines/>
        <w:rPr>
          <w:b/>
          <w:szCs w:val="22"/>
        </w:rPr>
      </w:pPr>
      <w:r w:rsidRPr="00094654">
        <w:rPr>
          <w:u w:val="single"/>
        </w:rPr>
        <w:t>Domanda 8</w:t>
      </w:r>
      <w:r w:rsidRPr="00094654">
        <w:t xml:space="preserve">: </w:t>
      </w:r>
      <w:r w:rsidRPr="00094654">
        <w:rPr>
          <w:b/>
        </w:rPr>
        <w:t>Qual è la Sua percezione del legame che si instaurerà tra il semestre europeo e il prossimo QFP?</w:t>
      </w:r>
    </w:p>
    <w:p w14:paraId="41DD1B7A" w14:textId="77777777" w:rsidR="00053CC9" w:rsidRPr="00094654" w:rsidRDefault="00053CC9" w:rsidP="00266D04">
      <w:pPr>
        <w:keepNext/>
        <w:keepLines/>
        <w:rPr>
          <w:b/>
          <w:szCs w:val="22"/>
        </w:rPr>
      </w:pPr>
    </w:p>
    <w:p w14:paraId="237F787B" w14:textId="14292EE6" w:rsidR="00053CC9" w:rsidRPr="00094654" w:rsidRDefault="00D56C6D" w:rsidP="003216CC">
      <w:pPr>
        <w:pStyle w:val="Heading3"/>
        <w:ind w:left="567" w:hanging="567"/>
      </w:pPr>
      <w:r w:rsidRPr="00094654">
        <w:t xml:space="preserve">Le parti sociali e le organizzazioni della società civile di AT, CY (GI), CZ (GI e GII), EL, ES, FI, HR (GI), IE, IT (GIII), LT, LV, MT, PT, RO (GI) e SK hanno un'opinione positiva del legame che si instaurerà tra il semestre europeo e il prossimo QFP. </w:t>
      </w:r>
    </w:p>
    <w:p w14:paraId="6C3DBFED" w14:textId="77777777" w:rsidR="00053CC9" w:rsidRPr="00094654" w:rsidRDefault="00053CC9" w:rsidP="003216CC">
      <w:pPr>
        <w:pStyle w:val="Heading3"/>
        <w:numPr>
          <w:ilvl w:val="0"/>
          <w:numId w:val="0"/>
        </w:numPr>
        <w:ind w:left="720"/>
      </w:pPr>
    </w:p>
    <w:p w14:paraId="17F8DE9C" w14:textId="0AF8FBC9" w:rsidR="00053CC9" w:rsidRPr="00094654" w:rsidRDefault="00053CC9" w:rsidP="003216CC">
      <w:pPr>
        <w:pStyle w:val="Heading3"/>
        <w:ind w:left="567" w:hanging="567"/>
      </w:pPr>
      <w:r w:rsidRPr="00094654">
        <w:t xml:space="preserve">Inoltre, i rispondenti di EL, ES, IE, LT, LV, RO e SK osservano che collegare il semestre europeo al prossimo QFP rafforzerebbe il coordinamento tra le raccomandazioni dell'UE, le riforme nazionali e i finanziamenti dell'UE, rendendo l'attuazione delle politiche più coerente ed efficace. </w:t>
      </w:r>
    </w:p>
    <w:p w14:paraId="4180D5B9" w14:textId="77777777" w:rsidR="00053CC9" w:rsidRPr="00094654" w:rsidRDefault="00053CC9" w:rsidP="003216CC">
      <w:pPr>
        <w:pStyle w:val="Heading3"/>
        <w:numPr>
          <w:ilvl w:val="0"/>
          <w:numId w:val="0"/>
        </w:numPr>
        <w:ind w:left="720"/>
      </w:pPr>
    </w:p>
    <w:p w14:paraId="0693E5E3" w14:textId="0A1D1B4F" w:rsidR="00053CC9" w:rsidRPr="00094654" w:rsidRDefault="00701C9E" w:rsidP="003216CC">
      <w:pPr>
        <w:pStyle w:val="Heading3"/>
        <w:ind w:left="567" w:hanging="567"/>
      </w:pPr>
      <w:r w:rsidRPr="00094654">
        <w:t>I rispondenti di AT, CZ, EL, ES e MT precisano di essere in linea di principio favorevoli a tale legame, ma sottolineano che la condizionalità non dovrebbe ridurre la flessibilità e l'autonomia a livello nazionale. Alcuni rispondenti di AT, ES (GII) e IT (GIII) mettono in guardia contro un eccessivo trasferimento di poteri verso il livello dell'UE o dei governi centrali, ritenendo che la centralizzazione possa indebolire la legittimità democratica.</w:t>
      </w:r>
    </w:p>
    <w:p w14:paraId="72E6FA79" w14:textId="77777777" w:rsidR="00053CC9" w:rsidRPr="00094654" w:rsidRDefault="00053CC9" w:rsidP="003216CC">
      <w:pPr>
        <w:pStyle w:val="Heading3"/>
        <w:numPr>
          <w:ilvl w:val="0"/>
          <w:numId w:val="0"/>
        </w:numPr>
        <w:ind w:left="720"/>
      </w:pPr>
    </w:p>
    <w:p w14:paraId="2223D8F6" w14:textId="1837CBAC" w:rsidR="00053CC9" w:rsidRPr="00094654" w:rsidRDefault="000972F0" w:rsidP="003216CC">
      <w:pPr>
        <w:pStyle w:val="Heading3"/>
        <w:ind w:left="567" w:hanging="567"/>
      </w:pPr>
      <w:r w:rsidRPr="00094654">
        <w:t xml:space="preserve">Le parti sociali e le organizzazioni della società civile di BE, BG, FR, HR (GIII), HU, IT (GII e GIII), LU, RO (GII), SE e SI sono neutrali su questo tema. Quelle di BE, FR, HR (GIII), HU, IT (GII), SE e SI sono caute riguardo alle implicazioni che il legame tra i finanziamenti dell'UE e il semestre europeo avrà in termini di governance e sono particolarmente preoccupate per quanto riguarda la condizionalità, il potere decisionale e l'equilibrio istituzionale. Anche quelle che non sono contrarie al legame lo considerano una questione politicamente sensibile per cui occorrono garanzie. </w:t>
      </w:r>
    </w:p>
    <w:p w14:paraId="54472983" w14:textId="77777777" w:rsidR="00053CC9" w:rsidRPr="00094654" w:rsidRDefault="00053CC9" w:rsidP="003216CC">
      <w:pPr>
        <w:pStyle w:val="Heading3"/>
        <w:numPr>
          <w:ilvl w:val="0"/>
          <w:numId w:val="0"/>
        </w:numPr>
        <w:ind w:left="720"/>
      </w:pPr>
    </w:p>
    <w:p w14:paraId="3904159E" w14:textId="328C3CE5" w:rsidR="00954E59" w:rsidRPr="00094654" w:rsidRDefault="00053CC9" w:rsidP="003216CC">
      <w:pPr>
        <w:pStyle w:val="Heading3"/>
        <w:ind w:left="567" w:hanging="567"/>
      </w:pPr>
      <w:r w:rsidRPr="00094654">
        <w:t xml:space="preserve">Inoltre, i rispondenti di BE, BG, FR, RO (GII) e SI riconoscono che dal collegamento tra il semestre europeo e il QFP potrebbero derivare vantaggi, ma in generale solo a determinate condizioni. Ritengono che l'approccio potrebbe migliorare la coerenza e l'efficacia dei finanziamenti dell'UE e l'allineamento delle riforme, ma che il suo successo dipende dal modo in cui è concepito e attuato. Come osservato dai rispondenti della Slovenia, tale approccio potrebbe allineare meglio le priorità di riforma ai finanziamenti dell'UE. In Romania, tuttavia, i rispondenti (GII) sono del parere che, sebbene si stiano compiendo sforzi per migliorare l'allineamento, ciò non garantisca un'attuazione efficiente; in Francia, invece, il collegamento è considerato logico e auspicabile, ma ancora poco chiaro nella sua forma pratica. Analogamente, i rispondenti del Belgio sottolineano che potrebbe avere effetti sia positivi che negativi, a seconda dell'ambizione e delle risorse, ed evidenziano la natura condizionata e incerta dei suoi potenziali benefici. </w:t>
      </w:r>
    </w:p>
    <w:p w14:paraId="074DDB72" w14:textId="77777777" w:rsidR="00954E59" w:rsidRPr="00094654" w:rsidRDefault="00954E59" w:rsidP="003216CC">
      <w:pPr>
        <w:pStyle w:val="Heading3"/>
        <w:numPr>
          <w:ilvl w:val="0"/>
          <w:numId w:val="0"/>
        </w:numPr>
        <w:ind w:left="720"/>
      </w:pPr>
    </w:p>
    <w:p w14:paraId="49105FC1" w14:textId="4908E173" w:rsidR="00053CC9" w:rsidRPr="00094654" w:rsidRDefault="00053CC9" w:rsidP="003216CC">
      <w:pPr>
        <w:pStyle w:val="Heading3"/>
        <w:ind w:left="567" w:hanging="567"/>
      </w:pPr>
      <w:r w:rsidRPr="00094654">
        <w:t>In IT (GII), LU e SI una preoccupazione ricorrente è che gli obiettivi sociali e di coesione possano essere diluiti in un modello di finanziamento più centralizzato. A parere dei rispondenti, la governance economica non deve andare a scapito degli obiettivi sociali.</w:t>
      </w:r>
    </w:p>
    <w:p w14:paraId="14364ECD" w14:textId="77777777" w:rsidR="00053CC9" w:rsidRPr="00094654" w:rsidRDefault="00053CC9" w:rsidP="003216CC">
      <w:pPr>
        <w:pStyle w:val="Heading3"/>
        <w:numPr>
          <w:ilvl w:val="0"/>
          <w:numId w:val="0"/>
        </w:numPr>
        <w:ind w:left="720"/>
      </w:pPr>
    </w:p>
    <w:p w14:paraId="29C40A6D" w14:textId="5FD0010D" w:rsidR="00053CC9" w:rsidRPr="00094654" w:rsidRDefault="00232131" w:rsidP="003216CC">
      <w:pPr>
        <w:pStyle w:val="Heading3"/>
        <w:ind w:left="567" w:hanging="567"/>
      </w:pPr>
      <w:r w:rsidRPr="00094654">
        <w:t xml:space="preserve">Le parti sociali e le organizzazioni della società civile di DE, DK (GII e GIII), IT (GI e GII), NL e RO (GIII) hanno un parere negativo sul legame che si instaurerà tra il semestre europeo e il </w:t>
      </w:r>
      <w:r w:rsidRPr="00094654">
        <w:lastRenderedPageBreak/>
        <w:t>prossimo QFP. La principale preoccupazione espressa, in particolare in DK (GII e GIII), IT (GI e GII) e NL, è che collegare il semestre europeo al prossimo QFP rischia di ridurre il controllo democratico e di limitare la partecipazione significativa delle parti sociali, della società civile e dei parlamenti nazionali, trasferendo al contempo il processo decisionale verso processi tecnocratici a livello dell'UE. I rispondenti di IT, NL e RO (GIII) sono preoccupati per il rischio di uno squilibrio tra le politiche e gli obiettivi sociali, economici e ambientali. Quelli di DK e IT mettono inoltre in guardia contro il rischio di un'eccessiva condizionalità e di un onere amministrativo troppo elevato: più norme, più adempimenti burocratici e un'attuazione più lenta dei fondi.</w:t>
      </w:r>
    </w:p>
    <w:p w14:paraId="75D57792" w14:textId="77777777" w:rsidR="00053CC9" w:rsidRPr="00094654" w:rsidRDefault="00053CC9" w:rsidP="003216CC">
      <w:pPr>
        <w:rPr>
          <w:b/>
          <w:szCs w:val="22"/>
        </w:rPr>
      </w:pPr>
    </w:p>
    <w:p w14:paraId="68AB3D39" w14:textId="2C99F6E2" w:rsidR="00053CC9" w:rsidRPr="00094654" w:rsidRDefault="00053CC9" w:rsidP="00266D04">
      <w:pPr>
        <w:keepNext/>
        <w:keepLines/>
        <w:rPr>
          <w:b/>
          <w:szCs w:val="22"/>
        </w:rPr>
      </w:pPr>
      <w:r w:rsidRPr="00094654">
        <w:rPr>
          <w:u w:val="single"/>
        </w:rPr>
        <w:t>Domanda 9</w:t>
      </w:r>
      <w:r w:rsidRPr="00094654">
        <w:t xml:space="preserve">: </w:t>
      </w:r>
      <w:r w:rsidRPr="00094654">
        <w:rPr>
          <w:b/>
        </w:rPr>
        <w:t>In attesa dei dibattiti e dei prossimi negoziati tra i colegislatori sulla proposta della Commissione europea (che potrebbero concludersi nel 2026 o proseguire nel 2027), quali sono, in base alla Sua esperienza, i potenziali benefici di questo nuovo sistema e allo stesso tempo i rischi e gli ostacoli che esso comporta?</w:t>
      </w:r>
    </w:p>
    <w:p w14:paraId="5BAB76C6" w14:textId="77777777" w:rsidR="00F6672F" w:rsidRPr="00094654" w:rsidRDefault="00F6672F" w:rsidP="00266D04">
      <w:pPr>
        <w:keepNext/>
        <w:keepLines/>
        <w:rPr>
          <w:b/>
          <w:szCs w:val="22"/>
        </w:rPr>
      </w:pPr>
    </w:p>
    <w:p w14:paraId="5DB76DD6" w14:textId="66CBE906" w:rsidR="00053CC9" w:rsidRPr="00094654" w:rsidRDefault="00053CC9" w:rsidP="003216CC">
      <w:pPr>
        <w:pStyle w:val="Heading3"/>
        <w:ind w:left="567" w:hanging="567"/>
      </w:pPr>
      <w:r w:rsidRPr="00094654">
        <w:rPr>
          <w:b/>
        </w:rPr>
        <w:t>Per quanto riguarda i potenziali benefici</w:t>
      </w:r>
      <w:r w:rsidRPr="00094654">
        <w:t>, le parti sociali e le organizzazioni della società civile di BG, CZ, ES (GIII), FI, HR, IT, RO (GI) e SI ritengono che il nuovo sistema potrebbe aumentare la coerenza delle politiche attraverso un migliore allineamento dei finanziamenti dell'UE alle priorità del semestre europeo (riforme, raccomandazioni ed esigenze di investimento). Renderebbe le politiche più coerenti, mirate e strategicamente allineate. In EL, HR, IT, LV e PT i rispondenti si aspettano un sistema più snello, caratterizzato da minori oneri amministrativi, dalla semplificazione e da una maggiore efficienza. Quelli di ES (GII), HR, IT, LV e RO (GI) sottolineano la potenziale maggiore flessibilità e adattabilità dei finanziamenti. Un vantaggio ricorrente evidenziato nelle risposte di CZ, EL, HR, IT e SE è una migliore definizione delle priorità e una maggiore attenzione ai risultati. Infine, i rispondenti di BE, DE, EL, ES (GII), HR (GIII), PL e SI sottolineano che l'efficacia e i benefici dipendono dal grado di inclusività e trasparenza della governance, dalla legittimità democratica e dal coinvolgimento dei portatori di interessi.</w:t>
      </w:r>
    </w:p>
    <w:p w14:paraId="58F5D100" w14:textId="77777777" w:rsidR="00F6672F" w:rsidRPr="00094654" w:rsidRDefault="00F6672F" w:rsidP="003216CC"/>
    <w:p w14:paraId="7B4F5D37" w14:textId="5885F128" w:rsidR="00053CC9" w:rsidRPr="00094654" w:rsidRDefault="00053CC9" w:rsidP="003216CC">
      <w:pPr>
        <w:pStyle w:val="Heading3"/>
        <w:ind w:left="567" w:hanging="567"/>
      </w:pPr>
      <w:r w:rsidRPr="00094654">
        <w:rPr>
          <w:b/>
        </w:rPr>
        <w:t>Per quanto riguarda i potenziali rischi</w:t>
      </w:r>
      <w:r w:rsidRPr="00094654">
        <w:t>, le parti sociali e le organizzazioni della società civile di AT, DE, ES (GII), FR, HR, IT, LV, PL, PT, RO (GI e GII), SE e SI individuano il rischio potenziale di un'eccessiva centralizzazione e di una perdita di sussidiarietà, che ridurrebbero l'autonomia nazionale, regionale e locale nel processo decisionale. A ciò si aggiungono spesso le preoccupazioni per la ridotta legittimità democratica e il limitato coinvolgimento dei portatori di interessi. I rispondenti di BE, CZ, EL, ES, FR, HR e SK sottolineano il rischio di un aumento degli adempimenti burocratici, della complessità e degli oneri amministrativi. Inoltre, quelli di BG, CZ, EE, EL, IE e SI rilevano il rischio potenziale di una rigida condizionalità, che potrebbe ridurre l'adattabilità (flessibilità) e rallentare l'attuazione. I rispondenti di ES, FR, IT, NL, RO (GIII) e SI sottolineano il rischio potenziale di uno scarso equilibrio sociale e di politiche sociali più deboli.</w:t>
      </w:r>
    </w:p>
    <w:p w14:paraId="33B8C467" w14:textId="77777777" w:rsidR="00F6672F" w:rsidRPr="00094654" w:rsidRDefault="00F6672F" w:rsidP="003216CC"/>
    <w:p w14:paraId="18E7B123" w14:textId="1A043616" w:rsidR="00053CC9" w:rsidRPr="00094654" w:rsidRDefault="00053CC9" w:rsidP="003216CC">
      <w:pPr>
        <w:pStyle w:val="Heading3"/>
        <w:ind w:left="567" w:hanging="567"/>
        <w:rPr>
          <w:b/>
        </w:rPr>
      </w:pPr>
      <w:r w:rsidRPr="00094654">
        <w:rPr>
          <w:b/>
        </w:rPr>
        <w:t>Per quanto riguarda i potenziali ostacoli</w:t>
      </w:r>
      <w:r w:rsidRPr="00094654">
        <w:t xml:space="preserve">, le parti sociali e le organizzazioni della società civile di BE, EL, ES (GIII), FR, HR, IT e NL ritengono che l'ostacolo potenziale principale sia l'elevato rischio di complessità in termini di governance e di attuazione, derivante in particolare da difficoltà di coordinamento a più livelli (UE, nazionale, regionale), da gravosi oneri amministrativi e dal sovraccarico delle procedure. Ritengono che il sistema possa diventare troppo </w:t>
      </w:r>
      <w:r w:rsidRPr="00094654">
        <w:lastRenderedPageBreak/>
        <w:t>complesso per essere gestito in modo efficace, con conseguenti ritardi, inefficienze e problemi di coordinamento a tutti i livelli di governance. Anche i rispondenti di BG, CZ, PT e SI indicano il disaccordo politico e l'instabilità a livello nazionale come ostacoli che potrebbero rallentare l'attuazione.</w:t>
      </w:r>
    </w:p>
    <w:p w14:paraId="5C9AB65E" w14:textId="77777777" w:rsidR="00053CC9" w:rsidRPr="00094654" w:rsidRDefault="00053CC9" w:rsidP="003216CC">
      <w:pPr>
        <w:rPr>
          <w:b/>
          <w:szCs w:val="22"/>
        </w:rPr>
      </w:pPr>
    </w:p>
    <w:p w14:paraId="4B14B706" w14:textId="24713031" w:rsidR="00053CC9" w:rsidRPr="00094654" w:rsidRDefault="00053CC9" w:rsidP="00266D04">
      <w:pPr>
        <w:keepNext/>
        <w:keepLines/>
        <w:rPr>
          <w:b/>
          <w:szCs w:val="22"/>
        </w:rPr>
      </w:pPr>
      <w:r w:rsidRPr="00094654">
        <w:rPr>
          <w:u w:val="single"/>
        </w:rPr>
        <w:t>Domanda 10</w:t>
      </w:r>
      <w:r w:rsidRPr="00094654">
        <w:t xml:space="preserve">: </w:t>
      </w:r>
      <w:r w:rsidRPr="00094654">
        <w:rPr>
          <w:b/>
        </w:rPr>
        <w:t>A Suo parere, in che modo possiamo garantire un coinvolgimento forte ed incisivo dei partner locali e regionali, delle parti sociali e delle organizzazioni della società civile, nonché dei rappresentanti dei settori e delle industrie?</w:t>
      </w:r>
    </w:p>
    <w:p w14:paraId="37BFD5ED" w14:textId="77777777" w:rsidR="00053CC9" w:rsidRPr="00094654" w:rsidRDefault="00053CC9" w:rsidP="00266D04">
      <w:pPr>
        <w:keepNext/>
        <w:keepLines/>
        <w:rPr>
          <w:b/>
          <w:szCs w:val="22"/>
        </w:rPr>
      </w:pPr>
    </w:p>
    <w:p w14:paraId="312C748E" w14:textId="24EBDFA3" w:rsidR="00053CC9" w:rsidRPr="00094654" w:rsidRDefault="00053CC9" w:rsidP="003216CC">
      <w:pPr>
        <w:pStyle w:val="Heading3"/>
        <w:ind w:left="567" w:hanging="567"/>
      </w:pPr>
      <w:r w:rsidRPr="00094654">
        <w:t>Innanzitutto, nella maggioranza degli Stati membri le parti sociali e le organizzazioni della società civile sottolineano l'importanza che la Commissione europea elabori, in un regolamento UE, orientamenti chiari per gli Stati membri su come coinvolgere le parti sociali e le organizzazioni della società civile in modo strutturale e significativo.</w:t>
      </w:r>
    </w:p>
    <w:p w14:paraId="11803B3D" w14:textId="77777777" w:rsidR="00053CC9" w:rsidRPr="00094654" w:rsidRDefault="00053CC9" w:rsidP="003216CC">
      <w:pPr>
        <w:pStyle w:val="Heading3"/>
        <w:numPr>
          <w:ilvl w:val="0"/>
          <w:numId w:val="0"/>
        </w:numPr>
        <w:ind w:left="720"/>
      </w:pPr>
    </w:p>
    <w:p w14:paraId="7F6D49DB" w14:textId="7CAE5F3D" w:rsidR="00053CC9" w:rsidRPr="00094654" w:rsidRDefault="00053CC9" w:rsidP="003216CC">
      <w:pPr>
        <w:pStyle w:val="Heading3"/>
        <w:ind w:left="567" w:hanging="567"/>
      </w:pPr>
      <w:r w:rsidRPr="00094654">
        <w:t>In secondo luogo, le parti sociali e le organizzazioni della società civile di AT, CZ, DK (GII e GIII), EE, ES, FI, FR, HR (GI e GIII), HU, IT, LV, NL, PT e SI fanno presente che la Commissione europea dovrebbe anche proporre una "verifica della società civile" per garantire ulteriormente il pieno coinvolgimento dei rappresentanti nazionali della società civile nell'elaborazione, nell'attuazione e nella valutazione dei piani.</w:t>
      </w:r>
    </w:p>
    <w:p w14:paraId="1EB74754" w14:textId="77777777" w:rsidR="00053CC9" w:rsidRPr="00094654" w:rsidRDefault="00053CC9" w:rsidP="003216CC">
      <w:pPr>
        <w:pStyle w:val="Heading3"/>
        <w:numPr>
          <w:ilvl w:val="0"/>
          <w:numId w:val="0"/>
        </w:numPr>
        <w:ind w:left="720"/>
      </w:pPr>
    </w:p>
    <w:p w14:paraId="7838233A" w14:textId="16471782" w:rsidR="00053CC9" w:rsidRPr="00094654" w:rsidRDefault="00053CC9" w:rsidP="003216CC">
      <w:pPr>
        <w:pStyle w:val="Heading3"/>
        <w:ind w:left="567" w:hanging="567"/>
      </w:pPr>
      <w:r w:rsidRPr="00094654">
        <w:t>In terzo luogo, i rispondenti di BG, CZ, DE, DK, EL, ES, FR(GIII), HR (GI e GII), IT, MT, PT, SE, SI e SK ritengono che la Commissione dovrebbe chiedere alle parti sociali e alle organizzazioni della società civile nazionali di presentare proposte volte ad affrontare le sfide individuate nel semestre europeo, basandosi su fattori strategici, in particolare quando tali sfide riguardano questioni sociali, lavorative e del mercato del lavoro, come indicato nel quadro di convergenza sociale.</w:t>
      </w:r>
    </w:p>
    <w:p w14:paraId="1CAC4D60" w14:textId="77777777" w:rsidR="00053CC9" w:rsidRPr="00094654" w:rsidRDefault="00053CC9" w:rsidP="003216CC">
      <w:pPr>
        <w:pStyle w:val="Heading3"/>
        <w:numPr>
          <w:ilvl w:val="0"/>
          <w:numId w:val="0"/>
        </w:numPr>
        <w:ind w:left="720"/>
      </w:pPr>
    </w:p>
    <w:p w14:paraId="19212588" w14:textId="75C832E3" w:rsidR="00053CC9" w:rsidRPr="00094654" w:rsidRDefault="00053CC9" w:rsidP="003216CC">
      <w:pPr>
        <w:pStyle w:val="Heading3"/>
        <w:ind w:left="567" w:hanging="567"/>
      </w:pPr>
      <w:r w:rsidRPr="00094654">
        <w:t>In quarto luogo, i rispondenti di BG, CZ, EL, ES, IE, IT (GII e GIII), LV, MT, PT, SI e SK invitano la Commissione europea a fare del coinvolgimento significativo delle parti sociali e delle organizzazioni della società civile un criterio per approvare o, in assenza di tale coinvolgimento, respingere i piani nazionali.</w:t>
      </w:r>
    </w:p>
    <w:p w14:paraId="27A99B17" w14:textId="77777777" w:rsidR="00053CC9" w:rsidRPr="00094654" w:rsidRDefault="00053CC9" w:rsidP="003216CC">
      <w:pPr>
        <w:shd w:val="clear" w:color="auto" w:fill="FFFFFF" w:themeFill="background1"/>
        <w:rPr>
          <w:szCs w:val="22"/>
        </w:rPr>
      </w:pPr>
    </w:p>
    <w:p w14:paraId="30AF7C2D" w14:textId="02933B19" w:rsidR="00053CC9" w:rsidRPr="00094654" w:rsidRDefault="00053CC9" w:rsidP="003216CC">
      <w:pPr>
        <w:pStyle w:val="Heading3"/>
        <w:ind w:left="567" w:hanging="567"/>
      </w:pPr>
      <w:r w:rsidRPr="00094654">
        <w:t>In quinto luogo, le parti sociali e le organizzazioni della società civile di DE, EL, ES, HR, IE, IT, LT, LV, PL e SI sottolineano che la Commissione europea dovrebbe rafforzare il principio di partenariato migliorando il relativo codice di condotta e garantire finanziamenti per lo sviluppo di capacità e l'assistenza tecnica. A loro parere, tutti i portatori di interesse devono essere effettivamente coinvolti a tutti i livelli nel processo decisionale relativo all'assegnazione delle risorse, alle priorità strategiche, ai programmi, agli indicatori e alla valutazione.</w:t>
      </w:r>
    </w:p>
    <w:p w14:paraId="573B9460" w14:textId="77777777" w:rsidR="00053CC9" w:rsidRPr="00094654" w:rsidRDefault="00053CC9" w:rsidP="003216CC">
      <w:pPr>
        <w:pStyle w:val="Heading3"/>
        <w:numPr>
          <w:ilvl w:val="0"/>
          <w:numId w:val="0"/>
        </w:numPr>
        <w:ind w:left="720"/>
      </w:pPr>
    </w:p>
    <w:p w14:paraId="7EB0EE75" w14:textId="4C85D96E" w:rsidR="00053CC9" w:rsidRPr="00094654" w:rsidRDefault="00053CC9" w:rsidP="003216CC">
      <w:pPr>
        <w:pStyle w:val="Heading3"/>
        <w:ind w:left="567" w:hanging="567"/>
        <w:rPr>
          <w:b/>
        </w:rPr>
      </w:pPr>
      <w:r w:rsidRPr="00094654">
        <w:t>Infine, i rispondenti dell'Irlanda propongono che la Commissione elabori principi guida sotto forma di una direttiva, anziché di un regolamento, in modo che possa essere facilmente adattata ai diversi meccanismi nazionali di dialogo. In Italia alcuni rappresentanti delle imprese suggeriscono di istituire un osservatorio europeo permanente e di elaborare una relazione annuale sulle migliori pratiche nelle politiche e nei programmi per lo sviluppo delle PMI.</w:t>
      </w:r>
    </w:p>
    <w:p w14:paraId="55C6426F" w14:textId="77777777" w:rsidR="00A46347" w:rsidRPr="00094654" w:rsidRDefault="00A46347" w:rsidP="003216CC">
      <w:pPr>
        <w:ind w:left="567"/>
        <w:rPr>
          <w:szCs w:val="22"/>
        </w:rPr>
      </w:pPr>
    </w:p>
    <w:p w14:paraId="18FB211D" w14:textId="7CEF9DE1" w:rsidR="00835C6C" w:rsidRPr="00094654" w:rsidRDefault="00716DCD" w:rsidP="00266D04">
      <w:pPr>
        <w:pStyle w:val="Heading1"/>
        <w:keepNext/>
        <w:keepLines/>
        <w:ind w:left="567" w:hanging="567"/>
      </w:pPr>
      <w:r w:rsidRPr="00094654">
        <w:rPr>
          <w:b/>
        </w:rPr>
        <w:lastRenderedPageBreak/>
        <w:t>Conclusioni</w:t>
      </w:r>
    </w:p>
    <w:p w14:paraId="3575F6E5" w14:textId="77777777" w:rsidR="00835C6C" w:rsidRPr="00094654" w:rsidRDefault="00835C6C" w:rsidP="00266D04">
      <w:pPr>
        <w:keepNext/>
        <w:keepLines/>
        <w:rPr>
          <w:szCs w:val="22"/>
        </w:rPr>
      </w:pPr>
    </w:p>
    <w:p w14:paraId="353D83AB" w14:textId="3902CFB6" w:rsidR="006F61DA" w:rsidRPr="00094654" w:rsidRDefault="003C7171" w:rsidP="003216CC">
      <w:pPr>
        <w:pStyle w:val="Heading3"/>
        <w:ind w:left="567" w:hanging="567"/>
      </w:pPr>
      <w:r w:rsidRPr="00094654">
        <w:t>In tutti gli Stati membri le raccomandazioni specifiche per paese sono ampiamente accettate dalle parti sociali e dalle organizzazioni della società civile, che le ritengono generalmente pertinenti e in linea con le principali sfide economiche e strutturali nazionali. Tuttavia, tale accettazione è costantemente accompagnata dalla segnalazione di carenze riguardo alla traduzione di tali raccomandazioni in azioni politiche concrete da parte dei governi nazionali, nonché al coinvolgimento delle parti sociali e della società civile. Inoltre, i portatori di interessi segnalano spesso uno squilibrio nelle priorità strategiche, in quanto la percezione è che gli obiettivi economici e di bilancio siano presi maggiormente in considerazione rispetto a quelli di carattere sociale. Le dimensioni sociali, comprese le condizioni del mercato del lavoro, i salari e le disuguaglianze, sono spesso considerate sottorappresentate all'interno dei vari quadri strategici. Si ritiene che tale squilibrio contribuisca a un più ampio deficit democratico strutturale nel semestre europeo, che potrebbe compromettere sia la legittimità che l'efficacia del coordinamento delle politiche dell'UE. Inoltre, il livello di attuazione delle raccomandazioni specifiche per paese in campo sociale è spesso percepito come insufficiente, inefficiente o assente, anche quando, nel corso del tempo, le RSP danno origine ad alcune dinamiche nazionali di riforma.</w:t>
      </w:r>
    </w:p>
    <w:p w14:paraId="69343482" w14:textId="77777777" w:rsidR="00387FB1" w:rsidRPr="00094654" w:rsidRDefault="00387FB1" w:rsidP="003216CC">
      <w:pPr>
        <w:pStyle w:val="Heading3"/>
        <w:numPr>
          <w:ilvl w:val="0"/>
          <w:numId w:val="0"/>
        </w:numPr>
        <w:ind w:left="720"/>
      </w:pPr>
    </w:p>
    <w:p w14:paraId="349BC12A" w14:textId="4B4E035E" w:rsidR="006F61DA" w:rsidRPr="00094654" w:rsidRDefault="006F61DA" w:rsidP="003216CC">
      <w:pPr>
        <w:pStyle w:val="Heading3"/>
        <w:ind w:left="567" w:hanging="567"/>
      </w:pPr>
      <w:r w:rsidRPr="00094654">
        <w:t xml:space="preserve">Per quanto riguarda l'attuazione del dispositivo per la ripresa e la resilienza, molti portatori di interessi individuano divari tra la progettazione delle politiche e la loro effettiva realizzazione, e l'attuazione è descritta come disomogenea, parziale o limitata da vincoli amministrativi e istituzionali. Una preoccupazione ricorrente riguarda il ruolo della capacità amministrativa e della complessità procedurale. </w:t>
      </w:r>
    </w:p>
    <w:p w14:paraId="08F54D5B" w14:textId="77777777" w:rsidR="006F61DA" w:rsidRPr="00094654" w:rsidRDefault="006F61DA" w:rsidP="003216CC">
      <w:pPr>
        <w:pStyle w:val="Heading3"/>
        <w:numPr>
          <w:ilvl w:val="0"/>
          <w:numId w:val="0"/>
        </w:numPr>
        <w:ind w:left="720"/>
      </w:pPr>
    </w:p>
    <w:p w14:paraId="1D73F3A3" w14:textId="57A5CB7E" w:rsidR="006F61DA" w:rsidRPr="00094654" w:rsidRDefault="006F61DA" w:rsidP="003216CC">
      <w:pPr>
        <w:pStyle w:val="Heading3"/>
        <w:ind w:left="567" w:hanging="567"/>
        <w:rPr>
          <w:b/>
          <w:bCs/>
        </w:rPr>
      </w:pPr>
      <w:r w:rsidRPr="00094654">
        <w:t>Per quanto riguarda le risorse a disposizione delle parti sociali e delle organizzazioni della società civile e la loro capacità di monitorare l'attuazione del piano strutturale nazionale di bilancio di medio termine e della relazione annuale sui progressi compiuti, i rispondenti sottolineano che le risorse limitate, i gravosi oneri amministrativi e la frammentazione dei processi incidono sia sull'attuazione delle riforme che sulla loro capacità di monitorare efficacemente i progressi compiuti. A tali difficoltà si aggiungono spesso un'insufficiente trasparenza e una limitata disponibilità di dati tempestivi e utilizzabili.</w:t>
      </w:r>
    </w:p>
    <w:p w14:paraId="725D1EC3" w14:textId="77777777" w:rsidR="006F61DA" w:rsidRPr="00094654" w:rsidRDefault="006F61DA" w:rsidP="003216CC">
      <w:pPr>
        <w:rPr>
          <w:szCs w:val="22"/>
        </w:rPr>
      </w:pPr>
    </w:p>
    <w:p w14:paraId="033932F1" w14:textId="0E7C89E7" w:rsidR="006F61DA" w:rsidRPr="00094654" w:rsidRDefault="006F61DA" w:rsidP="003216CC">
      <w:pPr>
        <w:pStyle w:val="Heading3"/>
        <w:ind w:left="567" w:hanging="567"/>
      </w:pPr>
      <w:r w:rsidRPr="00094654">
        <w:t>Un'altra constatazione che ricorre costantemente riguarda il coinvolgimento delle parti sociali e delle organizzazioni della società civile nel semestre europeo e nei relativi strumenti dell'UE. Sebbene nella maggior parte degli Stati membri esistano meccanismi formali di consultazione, la partecipazione è largamente considerata insufficiente nella sostanza, poiché spesso si inserisce in una fase troppo avanzata del processo o ha un'influenza limitata sulle decisioni politiche finali. Ne deriva la percezione che il coinvolgimento rimanga in gran parte procedurale anziché avere un impatto reale.</w:t>
      </w:r>
    </w:p>
    <w:p w14:paraId="1CE1FE88" w14:textId="77777777" w:rsidR="006F61DA" w:rsidRPr="00094654" w:rsidRDefault="006F61DA" w:rsidP="003216CC">
      <w:pPr>
        <w:pStyle w:val="Heading3"/>
        <w:numPr>
          <w:ilvl w:val="0"/>
          <w:numId w:val="0"/>
        </w:numPr>
        <w:ind w:left="720"/>
      </w:pPr>
    </w:p>
    <w:p w14:paraId="74E9FD6D" w14:textId="7A015F6E" w:rsidR="00C73F2D" w:rsidRPr="00094654" w:rsidRDefault="00D40B9B" w:rsidP="003216CC">
      <w:pPr>
        <w:pStyle w:val="Heading3"/>
        <w:ind w:left="567" w:hanging="567"/>
      </w:pPr>
      <w:r w:rsidRPr="00094654">
        <w:t xml:space="preserve">Per quanto riguarda il legame tra il QFP e il semestre europeo, vi sono opinioni contrastanti in merito, da un lato, agli sforzi volti a rafforzare il coordinamento a livello dell'UE e, dall'altro, alle preoccupazioni relative alla centralizzazione. Sebbene il maggiore allineamento tra gli strumenti dell'UE, in particolare il semestre europeo e il prossimo QFP, e le politiche nazionali sia considerato una strada percorribile per migliorare la coerenza e l'efficacia, i portatori di interessi in diversi Stati membri sollevano preoccupazioni </w:t>
      </w:r>
      <w:r w:rsidR="000B22C0" w:rsidRPr="00094654">
        <w:t>in merito al</w:t>
      </w:r>
      <w:r w:rsidRPr="00094654">
        <w:t xml:space="preserve">le sue implicazioni. Tra queste </w:t>
      </w:r>
      <w:r w:rsidRPr="00094654">
        <w:lastRenderedPageBreak/>
        <w:t>figurano i potenziali impatti sull'autonomia nazionale, i rischi per il controllo democratico e i possibili squilibri nei processi decisionali, in particolare se la governance diventa più centralizzata o la condizionalità aumenta.</w:t>
      </w:r>
    </w:p>
    <w:p w14:paraId="18B3C8F0" w14:textId="77777777" w:rsidR="00023309" w:rsidRPr="00094654" w:rsidRDefault="00023309" w:rsidP="003216CC"/>
    <w:p w14:paraId="443050F1" w14:textId="393870BE" w:rsidR="00023309" w:rsidRPr="00094654" w:rsidRDefault="00023309" w:rsidP="003216CC">
      <w:r w:rsidRPr="00094654">
        <w:t>Bruxelles, 4 giugno 2026</w:t>
      </w:r>
    </w:p>
    <w:p w14:paraId="0C9DF868" w14:textId="77777777" w:rsidR="00023309" w:rsidRPr="00094654" w:rsidRDefault="00023309" w:rsidP="003216CC"/>
    <w:p w14:paraId="234F72DE" w14:textId="77777777" w:rsidR="00023309" w:rsidRPr="00094654" w:rsidRDefault="00023309" w:rsidP="003216CC"/>
    <w:p w14:paraId="3ED6D800" w14:textId="77777777" w:rsidR="00023309" w:rsidRPr="00094654" w:rsidRDefault="00023309" w:rsidP="003216CC">
      <w:pPr>
        <w:rPr>
          <w:i/>
          <w:iCs/>
        </w:rPr>
      </w:pPr>
      <w:r w:rsidRPr="00094654">
        <w:rPr>
          <w:i/>
        </w:rPr>
        <w:t>La presidente della sezione Unione economica e monetaria, coesione economica e sociale</w:t>
      </w:r>
    </w:p>
    <w:p w14:paraId="28439A3A" w14:textId="64ABD647" w:rsidR="00C73F2D" w:rsidRPr="00094654" w:rsidRDefault="00023309" w:rsidP="003216CC">
      <w:r w:rsidRPr="00094654">
        <w:t>Elena Alexandra CALISTRU</w:t>
      </w:r>
    </w:p>
    <w:p w14:paraId="748A0E40" w14:textId="77777777" w:rsidR="00926C67" w:rsidRPr="00094654" w:rsidRDefault="00926C67" w:rsidP="003216CC">
      <w:pPr>
        <w:jc w:val="center"/>
        <w:rPr>
          <w:szCs w:val="22"/>
        </w:rPr>
      </w:pPr>
    </w:p>
    <w:p w14:paraId="489BE4D0" w14:textId="4AC7F836" w:rsidR="00DA1B10" w:rsidRPr="00094654" w:rsidRDefault="00DA1B10" w:rsidP="003216CC">
      <w:pPr>
        <w:jc w:val="center"/>
        <w:rPr>
          <w:szCs w:val="22"/>
        </w:rPr>
      </w:pPr>
      <w:r w:rsidRPr="00094654">
        <w:t>_____________</w:t>
      </w:r>
    </w:p>
    <w:sectPr w:rsidR="00DA1B10" w:rsidRPr="00094654" w:rsidSect="003216CC">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25E99" w14:textId="77777777" w:rsidR="00B8521B" w:rsidRDefault="00B8521B">
      <w:r>
        <w:separator/>
      </w:r>
    </w:p>
  </w:endnote>
  <w:endnote w:type="continuationSeparator" w:id="0">
    <w:p w14:paraId="4B054ED7" w14:textId="77777777" w:rsidR="00B8521B" w:rsidRDefault="00B8521B">
      <w:r>
        <w:continuationSeparator/>
      </w:r>
    </w:p>
  </w:endnote>
  <w:endnote w:type="continuationNotice" w:id="1">
    <w:p w14:paraId="3018721A" w14:textId="77777777" w:rsidR="00B8521B" w:rsidRDefault="00B852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1ABE" w14:textId="29154955" w:rsidR="00CB5F3C" w:rsidRPr="003216CC" w:rsidRDefault="003216CC" w:rsidP="003216CC">
    <w:pPr>
      <w:pStyle w:val="Footer"/>
    </w:pPr>
    <w:r>
      <w:t xml:space="preserve">ECO/691 – EESC-2025-04323-00-00-RISE-TRA (EN) </w:t>
    </w:r>
    <w:r>
      <w:fldChar w:fldCharType="begin"/>
    </w:r>
    <w:r>
      <w:instrText xml:space="preserve"> PAGE  \* Arabic  \* MERGEFORMAT </w:instrText>
    </w:r>
    <w:r>
      <w:fldChar w:fldCharType="separate"/>
    </w:r>
    <w:r w:rsidR="00780EA2">
      <w:t>1</w:t>
    </w:r>
    <w:r>
      <w:fldChar w:fldCharType="end"/>
    </w:r>
    <w:r>
      <w:t>/</w:t>
    </w:r>
    <w:fldSimple w:instr=" NUMPAGES ">
      <w:r w:rsidR="00780EA2">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6A1F" w14:textId="77777777" w:rsidR="00B43AAA" w:rsidRPr="003216CC" w:rsidRDefault="00B43AAA" w:rsidP="003216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9064" w14:textId="547CFE60" w:rsidR="00646AC2" w:rsidRPr="003216CC" w:rsidRDefault="003216CC" w:rsidP="003216CC">
    <w:pPr>
      <w:pStyle w:val="Footer"/>
    </w:pPr>
    <w:r>
      <w:t xml:space="preserve">ECO/691 – EESC-2025-04323-00-00-RISE-TRA (EN) </w:t>
    </w:r>
    <w:r>
      <w:fldChar w:fldCharType="begin"/>
    </w:r>
    <w:r>
      <w:instrText xml:space="preserve"> PAGE  \* Arabic  \* MERGEFORMAT </w:instrText>
    </w:r>
    <w:r>
      <w:fldChar w:fldCharType="separate"/>
    </w:r>
    <w:r>
      <w:t>2</w:t>
    </w:r>
    <w:r>
      <w:fldChar w:fldCharType="end"/>
    </w:r>
    <w:r>
      <w:t>/</w:t>
    </w:r>
    <w:fldSimple w:instr=" NUMPAGES ">
      <w:r>
        <w:t>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75EC" w14:textId="77777777" w:rsidR="00B43AAA" w:rsidRPr="003216CC" w:rsidRDefault="00B43AAA" w:rsidP="00321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6303" w14:textId="77777777" w:rsidR="00B8521B" w:rsidRDefault="00B8521B">
      <w:r>
        <w:separator/>
      </w:r>
    </w:p>
  </w:footnote>
  <w:footnote w:type="continuationSeparator" w:id="0">
    <w:p w14:paraId="39712C2B" w14:textId="77777777" w:rsidR="00B8521B" w:rsidRDefault="00B8521B">
      <w:r>
        <w:continuationSeparator/>
      </w:r>
    </w:p>
  </w:footnote>
  <w:footnote w:type="continuationNotice" w:id="1">
    <w:p w14:paraId="45EE55D4" w14:textId="77777777" w:rsidR="00B8521B" w:rsidRDefault="00B8521B">
      <w:pPr>
        <w:spacing w:line="240" w:lineRule="auto"/>
      </w:pPr>
    </w:p>
  </w:footnote>
  <w:footnote w:id="2">
    <w:p w14:paraId="38D6C46A" w14:textId="6F27751A" w:rsidR="00650F0F" w:rsidRPr="00094654" w:rsidRDefault="00650F0F" w:rsidP="00E540C5">
      <w:pPr>
        <w:pStyle w:val="FootnoteText"/>
        <w:ind w:left="567" w:hanging="567"/>
      </w:pPr>
      <w:r w:rsidRPr="00094654">
        <w:rPr>
          <w:rStyle w:val="FootnoteReference"/>
        </w:rPr>
        <w:footnoteRef/>
      </w:r>
      <w:r w:rsidRPr="00094654">
        <w:tab/>
      </w:r>
      <w:hyperlink r:id="rId1" w:history="1">
        <w:r w:rsidRPr="00094654">
          <w:rPr>
            <w:rStyle w:val="Hyperlink"/>
          </w:rPr>
          <w:t>Le raccomandazioni del CESE sulle proposte di riforma e investimento nell'ambito del ciclo del semestre europeo 2025-2026</w:t>
        </w:r>
      </w:hyperlink>
      <w:r w:rsidRPr="00094654">
        <w:t>.</w:t>
      </w:r>
    </w:p>
  </w:footnote>
  <w:footnote w:id="3">
    <w:p w14:paraId="2239EF00" w14:textId="63B2B779" w:rsidR="00C30E75" w:rsidRPr="00094654" w:rsidRDefault="00C30E75" w:rsidP="00E540C5">
      <w:pPr>
        <w:pStyle w:val="FootnoteText"/>
        <w:ind w:left="567" w:hanging="567"/>
      </w:pPr>
      <w:r w:rsidRPr="00094654">
        <w:rPr>
          <w:rStyle w:val="FootnoteReference"/>
        </w:rPr>
        <w:footnoteRef/>
      </w:r>
      <w:r w:rsidRPr="00094654">
        <w:tab/>
      </w:r>
      <w:hyperlink r:id="rId2" w:history="1">
        <w:r w:rsidRPr="00094654">
          <w:rPr>
            <w:rStyle w:val="Hyperlink"/>
          </w:rPr>
          <w:t>https://www.eesc.europa.eu/it/our-work/opinions-information-reports/information-reports/point-view-organised-civil-society-eu-member-states-national-reform-and-investment-proposals-and-their-implementation-0/annex</w:t>
        </w:r>
      </w:hyperlink>
      <w:r w:rsidRPr="00094654">
        <w:t>.</w:t>
      </w:r>
    </w:p>
  </w:footnote>
  <w:footnote w:id="4">
    <w:p w14:paraId="23929A55" w14:textId="7AF847A8" w:rsidR="00650F0F" w:rsidRPr="00094654" w:rsidRDefault="00650F0F" w:rsidP="00E540C5">
      <w:pPr>
        <w:pStyle w:val="FootnoteText"/>
        <w:ind w:left="567" w:hanging="567"/>
      </w:pPr>
      <w:r w:rsidRPr="00094654">
        <w:rPr>
          <w:rStyle w:val="FootnoteReference"/>
        </w:rPr>
        <w:footnoteRef/>
      </w:r>
      <w:r w:rsidRPr="00094654">
        <w:tab/>
      </w:r>
      <w:hyperlink r:id="rId3" w:history="1">
        <w:r w:rsidRPr="00094654">
          <w:rPr>
            <w:rStyle w:val="Hyperlink"/>
          </w:rPr>
          <w:t>Raccomandazioni specifiche per paese 2025</w:t>
        </w:r>
      </w:hyperlink>
      <w:r w:rsidRPr="00094654">
        <w:t>.</w:t>
      </w:r>
    </w:p>
  </w:footnote>
  <w:footnote w:id="5">
    <w:p w14:paraId="4A3785B8" w14:textId="180D1491" w:rsidR="00650F0F" w:rsidRPr="00094654" w:rsidRDefault="00650F0F" w:rsidP="00E540C5">
      <w:pPr>
        <w:pStyle w:val="FootnoteText"/>
        <w:ind w:left="567" w:hanging="567"/>
      </w:pPr>
      <w:r w:rsidRPr="00094654">
        <w:rPr>
          <w:rStyle w:val="FootnoteReference"/>
        </w:rPr>
        <w:footnoteRef/>
      </w:r>
      <w:r w:rsidRPr="00094654">
        <w:tab/>
      </w:r>
      <w:hyperlink r:id="rId4" w:anchor="ungheria" w:history="1">
        <w:r w:rsidRPr="00094654">
          <w:rPr>
            <w:rStyle w:val="Hyperlink"/>
          </w:rPr>
          <w:t>Piani strutturali nazionali di bilancio di medio termine</w:t>
        </w:r>
      </w:hyperlink>
      <w:r w:rsidRPr="00094654">
        <w:t xml:space="preserve"> - Commissione europea.</w:t>
      </w:r>
    </w:p>
  </w:footnote>
  <w:footnote w:id="6">
    <w:p w14:paraId="4F11D1B0" w14:textId="7BAAAFCB" w:rsidR="00650F0F" w:rsidRPr="00094654" w:rsidRDefault="00650F0F" w:rsidP="00E540C5">
      <w:pPr>
        <w:pStyle w:val="FootnoteText"/>
        <w:ind w:left="567" w:hanging="567"/>
      </w:pPr>
      <w:r w:rsidRPr="00094654">
        <w:rPr>
          <w:rStyle w:val="FootnoteReference"/>
        </w:rPr>
        <w:footnoteRef/>
      </w:r>
      <w:r w:rsidRPr="00094654">
        <w:tab/>
      </w:r>
      <w:hyperlink r:id="rId5">
        <w:r w:rsidRPr="00094654">
          <w:rPr>
            <w:rStyle w:val="Hyperlink"/>
          </w:rPr>
          <w:t>Revisione del quadro di governance economica</w:t>
        </w:r>
      </w:hyperlink>
      <w:r w:rsidRPr="00094654">
        <w:t>.</w:t>
      </w:r>
    </w:p>
  </w:footnote>
  <w:footnote w:id="7">
    <w:p w14:paraId="6F46A138" w14:textId="3BBEEEC8" w:rsidR="00F458A6" w:rsidRPr="00094654" w:rsidRDefault="00F458A6" w:rsidP="00D73098">
      <w:pPr>
        <w:pStyle w:val="FootnoteText"/>
        <w:ind w:left="567" w:hanging="567"/>
      </w:pPr>
      <w:r w:rsidRPr="00094654">
        <w:rPr>
          <w:rStyle w:val="FootnoteReference"/>
        </w:rPr>
        <w:footnoteRef/>
      </w:r>
      <w:r w:rsidRPr="00094654">
        <w:t xml:space="preserve"> </w:t>
      </w:r>
      <w:r w:rsidRPr="00094654">
        <w:tab/>
        <w:t>Nell'allegato figura una descrizione più dettagliata della metodologia.</w:t>
      </w:r>
    </w:p>
  </w:footnote>
  <w:footnote w:id="8">
    <w:p w14:paraId="735CDF0D" w14:textId="46CF0CCD" w:rsidR="00005D99" w:rsidRPr="00094654" w:rsidRDefault="00005D99" w:rsidP="00D73098">
      <w:pPr>
        <w:pStyle w:val="FootnoteText"/>
        <w:ind w:left="567" w:hanging="567"/>
      </w:pPr>
      <w:r w:rsidRPr="00094654">
        <w:rPr>
          <w:rStyle w:val="FootnoteReference"/>
        </w:rPr>
        <w:footnoteRef/>
      </w:r>
      <w:r w:rsidRPr="00094654">
        <w:t xml:space="preserve"> </w:t>
      </w:r>
      <w:r w:rsidRPr="00094654">
        <w:tab/>
        <w:t>Da Belgio (BE), Bulgaria (BG), Croazia (HR), Cechia (CZ), Danimarca (DK), Finlandia (FI), Germania (DE), Grecia (EL), Ungheria (HU), Irlanda (IE), Italia (IT), Lettonia (LV), Lituania (LT), Lussemburgo (LU), Malta (MT), Paesi Bassi (NL), Polonia (PL), Portogallo (PT), Slovacchia (SK), Slovenia (SL), Spagna (ES) e Svezia (SE).</w:t>
      </w:r>
    </w:p>
  </w:footnote>
  <w:footnote w:id="9">
    <w:p w14:paraId="1CE9B185" w14:textId="5FBAF0EB" w:rsidR="00005D99" w:rsidRPr="00094654" w:rsidRDefault="00005D99" w:rsidP="00D73098">
      <w:pPr>
        <w:pStyle w:val="FootnoteText"/>
        <w:ind w:left="567" w:hanging="567"/>
      </w:pPr>
      <w:r w:rsidRPr="00094654">
        <w:rPr>
          <w:rStyle w:val="FootnoteReference"/>
        </w:rPr>
        <w:footnoteRef/>
      </w:r>
      <w:r w:rsidRPr="00094654">
        <w:tab/>
        <w:t>In Romania il 3 febbraio 2026 (</w:t>
      </w:r>
      <w:hyperlink r:id="rId6" w:history="1">
        <w:r w:rsidRPr="00094654">
          <w:rPr>
            <w:rStyle w:val="Hyperlink"/>
          </w:rPr>
          <w:t>relazione</w:t>
        </w:r>
      </w:hyperlink>
      <w:r w:rsidRPr="00094654">
        <w:t>), a Cipro (CY) il 4 febbraio 2026 (</w:t>
      </w:r>
      <w:hyperlink r:id="rId7" w:history="1">
        <w:r w:rsidRPr="00094654">
          <w:rPr>
            <w:rStyle w:val="Hyperlink"/>
          </w:rPr>
          <w:t>relazione</w:t>
        </w:r>
      </w:hyperlink>
      <w:r w:rsidRPr="00094654">
        <w:t>), in Estonia (EE) il 9 febbraio 2026 (</w:t>
      </w:r>
      <w:hyperlink r:id="rId8" w:history="1">
        <w:r w:rsidRPr="00094654">
          <w:rPr>
            <w:rStyle w:val="Hyperlink"/>
          </w:rPr>
          <w:t>relazione</w:t>
        </w:r>
      </w:hyperlink>
      <w:r w:rsidRPr="00094654">
        <w:t>), in Austria (AT) il 24 febbraio 2026 (</w:t>
      </w:r>
      <w:hyperlink r:id="rId9" w:history="1">
        <w:r w:rsidRPr="00094654">
          <w:rPr>
            <w:rStyle w:val="Hyperlink"/>
          </w:rPr>
          <w:t>relazione</w:t>
        </w:r>
      </w:hyperlink>
      <w:r w:rsidRPr="00094654">
        <w:t>) e in Francia (FR) il 2 marzo 2026 (</w:t>
      </w:r>
      <w:hyperlink r:id="rId10" w:history="1">
        <w:r w:rsidRPr="00094654">
          <w:rPr>
            <w:rStyle w:val="Hyperlink"/>
          </w:rPr>
          <w:t>relazione</w:t>
        </w:r>
      </w:hyperlink>
      <w:r w:rsidRPr="00094654">
        <w:t>).</w:t>
      </w:r>
    </w:p>
  </w:footnote>
  <w:footnote w:id="10">
    <w:p w14:paraId="169977F2" w14:textId="11142B20" w:rsidR="00A46610" w:rsidRPr="00094654" w:rsidRDefault="00A46610" w:rsidP="00D73098">
      <w:pPr>
        <w:pStyle w:val="FootnoteText"/>
        <w:ind w:left="567" w:hanging="567"/>
      </w:pPr>
      <w:r w:rsidRPr="00094654">
        <w:rPr>
          <w:rStyle w:val="FootnoteReference"/>
        </w:rPr>
        <w:footnoteRef/>
      </w:r>
      <w:r w:rsidRPr="00094654">
        <w:t xml:space="preserve"> </w:t>
      </w:r>
      <w:r w:rsidRPr="00094654">
        <w:tab/>
        <w:t>La composizione di tali delegazioni figura nell'allegato.</w:t>
      </w:r>
    </w:p>
  </w:footnote>
  <w:footnote w:id="11">
    <w:p w14:paraId="70C9FB0E" w14:textId="3F96393D" w:rsidR="003808E2" w:rsidRPr="00094654" w:rsidRDefault="003808E2" w:rsidP="00D73098">
      <w:pPr>
        <w:pStyle w:val="FootnoteText"/>
        <w:ind w:left="567" w:hanging="567"/>
      </w:pPr>
      <w:r w:rsidRPr="00094654">
        <w:rPr>
          <w:rStyle w:val="FootnoteReference"/>
        </w:rPr>
        <w:footnoteRef/>
      </w:r>
      <w:r w:rsidRPr="00094654">
        <w:t xml:space="preserve"> </w:t>
      </w:r>
      <w:r w:rsidRPr="00094654">
        <w:tab/>
      </w:r>
      <w:hyperlink r:id="rId11" w:history="1">
        <w:r w:rsidR="000B22C0" w:rsidRPr="00094654">
          <w:rPr>
            <w:rStyle w:val="Hyperlink"/>
          </w:rPr>
          <w:t>Gruppo</w:t>
        </w:r>
        <w:r w:rsidRPr="00094654">
          <w:rPr>
            <w:rStyle w:val="Hyperlink"/>
          </w:rPr>
          <w:t xml:space="preserve"> di collegamento con le organizzazioni e le reti europee della società civile, CESE</w:t>
        </w:r>
      </w:hyperlink>
      <w:r w:rsidRPr="00094654">
        <w:t>.</w:t>
      </w:r>
    </w:p>
  </w:footnote>
  <w:footnote w:id="12">
    <w:p w14:paraId="321B00E1" w14:textId="2085EC3F" w:rsidR="00F95C2C" w:rsidRPr="00094654" w:rsidRDefault="00F95C2C" w:rsidP="007261A0">
      <w:pPr>
        <w:pStyle w:val="FootnoteText"/>
        <w:ind w:left="567" w:hanging="567"/>
      </w:pPr>
      <w:r w:rsidRPr="00094654">
        <w:rPr>
          <w:rStyle w:val="FootnoteReference"/>
        </w:rPr>
        <w:footnoteRef/>
      </w:r>
      <w:r w:rsidRPr="00094654">
        <w:tab/>
        <w:t>GI: gruppo I (Datori di lavoro), GII: gruppo II (Lavoratori), GIII: gruppo III (Organizzazioni della società civile).</w:t>
      </w:r>
    </w:p>
  </w:footnote>
  <w:footnote w:id="13">
    <w:p w14:paraId="7B08A840" w14:textId="4B3B591A" w:rsidR="006E32A2" w:rsidRPr="00094654" w:rsidRDefault="006E32A2" w:rsidP="00D73098">
      <w:pPr>
        <w:pStyle w:val="FootnoteText"/>
        <w:ind w:left="567" w:hanging="567"/>
      </w:pPr>
      <w:r w:rsidRPr="00094654">
        <w:rPr>
          <w:rStyle w:val="FootnoteReference"/>
        </w:rPr>
        <w:footnoteRef/>
      </w:r>
      <w:r w:rsidRPr="00094654">
        <w:t xml:space="preserve"> </w:t>
      </w:r>
      <w:r w:rsidRPr="00094654">
        <w:tab/>
        <w:t>Questo parere è condiviso almeno da alcuni dei rappresentanti del GI in HR.</w:t>
      </w:r>
    </w:p>
  </w:footnote>
  <w:footnote w:id="14">
    <w:p w14:paraId="7F982073" w14:textId="36047405" w:rsidR="006E32A2" w:rsidRPr="00094654" w:rsidRDefault="006E32A2" w:rsidP="00D73098">
      <w:pPr>
        <w:pStyle w:val="FootnoteText"/>
        <w:ind w:left="567" w:hanging="567"/>
      </w:pPr>
      <w:r w:rsidRPr="00094654">
        <w:rPr>
          <w:rStyle w:val="FootnoteReference"/>
        </w:rPr>
        <w:footnoteRef/>
      </w:r>
      <w:r w:rsidRPr="00094654">
        <w:t xml:space="preserve"> </w:t>
      </w:r>
      <w:r w:rsidRPr="00094654">
        <w:tab/>
        <w:t>Questo parere è condiviso dai rispondenti del GI e del GII, nonché da almeno alcuni rappresentanti del GIII in IT.</w:t>
      </w:r>
    </w:p>
  </w:footnote>
  <w:footnote w:id="15">
    <w:p w14:paraId="40418DA7" w14:textId="63E3C273" w:rsidR="006E32A2" w:rsidRPr="00094654" w:rsidRDefault="006E32A2" w:rsidP="00266D04">
      <w:pPr>
        <w:pStyle w:val="FootnoteText"/>
        <w:ind w:left="567" w:hanging="567"/>
      </w:pPr>
      <w:r w:rsidRPr="00094654">
        <w:rPr>
          <w:rStyle w:val="FootnoteReference"/>
        </w:rPr>
        <w:footnoteRef/>
      </w:r>
      <w:r w:rsidRPr="00094654">
        <w:t xml:space="preserve"> </w:t>
      </w:r>
      <w:r w:rsidRPr="00094654">
        <w:tab/>
        <w:t>Questo parere è condiviso almeno da alcuni dei rappresentanti del GI in HR.</w:t>
      </w:r>
    </w:p>
  </w:footnote>
  <w:footnote w:id="16">
    <w:p w14:paraId="58C52B36" w14:textId="33A79F6D" w:rsidR="006E32A2" w:rsidRPr="00094654" w:rsidRDefault="006E32A2" w:rsidP="00266D04">
      <w:pPr>
        <w:pStyle w:val="FootnoteText"/>
        <w:ind w:left="567" w:hanging="567"/>
      </w:pPr>
      <w:r w:rsidRPr="00094654">
        <w:rPr>
          <w:rStyle w:val="FootnoteReference"/>
        </w:rPr>
        <w:footnoteRef/>
      </w:r>
      <w:r w:rsidRPr="00094654">
        <w:t xml:space="preserve"> </w:t>
      </w:r>
      <w:r w:rsidRPr="00094654">
        <w:tab/>
        <w:t>Questo parere è condiviso almeno da alcuni dei rappresentanti del GIII in IT.</w:t>
      </w:r>
    </w:p>
  </w:footnote>
  <w:footnote w:id="17">
    <w:p w14:paraId="3C7EDE47" w14:textId="3A573CDC" w:rsidR="0048232D" w:rsidRPr="00094654" w:rsidRDefault="0048232D" w:rsidP="00266D04">
      <w:pPr>
        <w:pStyle w:val="FootnoteText"/>
        <w:ind w:left="567" w:hanging="567"/>
      </w:pPr>
      <w:r w:rsidRPr="00094654">
        <w:rPr>
          <w:rStyle w:val="FootnoteReference"/>
        </w:rPr>
        <w:footnoteRef/>
      </w:r>
      <w:r w:rsidRPr="00094654">
        <w:t xml:space="preserve"> </w:t>
      </w:r>
      <w:r w:rsidRPr="00094654">
        <w:tab/>
        <w:t>Questo parere è condiviso dai rispondenti del GI e del GIII, nonché da almeno alcuni rappresentanti del GII in IT.</w:t>
      </w:r>
    </w:p>
  </w:footnote>
  <w:footnote w:id="18">
    <w:p w14:paraId="4699D9C4" w14:textId="3FC69478" w:rsidR="0048232D" w:rsidRPr="00094654" w:rsidRDefault="0048232D" w:rsidP="00266D04">
      <w:pPr>
        <w:pStyle w:val="FootnoteText"/>
        <w:ind w:left="567" w:hanging="567"/>
      </w:pPr>
      <w:r w:rsidRPr="00094654">
        <w:rPr>
          <w:rStyle w:val="FootnoteReference"/>
        </w:rPr>
        <w:footnoteRef/>
      </w:r>
      <w:r w:rsidRPr="00094654">
        <w:t xml:space="preserve"> </w:t>
      </w:r>
      <w:r w:rsidRPr="00094654">
        <w:tab/>
        <w:t>Questo parere è condiviso almeno da alcuni dei rappresentanti del GII in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199D" w14:textId="77777777" w:rsidR="00B43AAA" w:rsidRPr="003216CC" w:rsidRDefault="00B43AAA" w:rsidP="00321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CC24" w14:textId="38AF9672" w:rsidR="00646AC2" w:rsidRPr="003216CC" w:rsidRDefault="00646AC2" w:rsidP="00321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0AEA" w14:textId="77777777" w:rsidR="00B43AAA" w:rsidRPr="003216CC" w:rsidRDefault="00B43AAA" w:rsidP="00321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28402C8"/>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i w:val="0"/>
        <w:iCs w:val="0"/>
      </w:rPr>
    </w:lvl>
    <w:lvl w:ilvl="2">
      <w:start w:val="1"/>
      <w:numFmt w:val="decimal"/>
      <w:pStyle w:val="Heading3"/>
      <w:lvlText w:val="%1.%2.%3"/>
      <w:legacy w:legacy="1" w:legacySpace="144" w:legacyIndent="0"/>
      <w:lvlJc w:val="left"/>
      <w:rPr>
        <w:b w:val="0"/>
        <w:bCs w:val="0"/>
        <w:i w:val="0"/>
        <w:iCs w: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displayBackgroundShape/>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8F"/>
    <w:rsid w:val="00005AB9"/>
    <w:rsid w:val="00005D99"/>
    <w:rsid w:val="00005EB9"/>
    <w:rsid w:val="0000612C"/>
    <w:rsid w:val="00006D38"/>
    <w:rsid w:val="00006E24"/>
    <w:rsid w:val="00007A40"/>
    <w:rsid w:val="00010DA9"/>
    <w:rsid w:val="0001319D"/>
    <w:rsid w:val="0001382C"/>
    <w:rsid w:val="0001708F"/>
    <w:rsid w:val="00017B45"/>
    <w:rsid w:val="000202E8"/>
    <w:rsid w:val="00020BE3"/>
    <w:rsid w:val="00020E6E"/>
    <w:rsid w:val="00022CF4"/>
    <w:rsid w:val="00023309"/>
    <w:rsid w:val="00031A4B"/>
    <w:rsid w:val="00033913"/>
    <w:rsid w:val="00033DB4"/>
    <w:rsid w:val="00033E5B"/>
    <w:rsid w:val="000357A8"/>
    <w:rsid w:val="00035F23"/>
    <w:rsid w:val="000430A6"/>
    <w:rsid w:val="00044923"/>
    <w:rsid w:val="00047710"/>
    <w:rsid w:val="0004778F"/>
    <w:rsid w:val="00051AA3"/>
    <w:rsid w:val="0005249C"/>
    <w:rsid w:val="000534A5"/>
    <w:rsid w:val="00053CC9"/>
    <w:rsid w:val="00056038"/>
    <w:rsid w:val="0005680D"/>
    <w:rsid w:val="00056DA8"/>
    <w:rsid w:val="0005716D"/>
    <w:rsid w:val="00061296"/>
    <w:rsid w:val="00063FB4"/>
    <w:rsid w:val="0006793E"/>
    <w:rsid w:val="00071008"/>
    <w:rsid w:val="00072E0F"/>
    <w:rsid w:val="000735E5"/>
    <w:rsid w:val="0007392F"/>
    <w:rsid w:val="0007395B"/>
    <w:rsid w:val="00077DE5"/>
    <w:rsid w:val="00087B39"/>
    <w:rsid w:val="00092469"/>
    <w:rsid w:val="00093DE0"/>
    <w:rsid w:val="00094654"/>
    <w:rsid w:val="0009514D"/>
    <w:rsid w:val="00096502"/>
    <w:rsid w:val="000972F0"/>
    <w:rsid w:val="000A49BB"/>
    <w:rsid w:val="000A5670"/>
    <w:rsid w:val="000B22C0"/>
    <w:rsid w:val="000B240B"/>
    <w:rsid w:val="000C04E4"/>
    <w:rsid w:val="000C2BC7"/>
    <w:rsid w:val="000C2D58"/>
    <w:rsid w:val="000C3441"/>
    <w:rsid w:val="000C4180"/>
    <w:rsid w:val="000C7F53"/>
    <w:rsid w:val="000D2F8E"/>
    <w:rsid w:val="000D34AF"/>
    <w:rsid w:val="000D640C"/>
    <w:rsid w:val="000D6C82"/>
    <w:rsid w:val="000E67B2"/>
    <w:rsid w:val="000E6FE5"/>
    <w:rsid w:val="000E7CF4"/>
    <w:rsid w:val="000F196B"/>
    <w:rsid w:val="00100275"/>
    <w:rsid w:val="00100B04"/>
    <w:rsid w:val="00101365"/>
    <w:rsid w:val="00104096"/>
    <w:rsid w:val="00105361"/>
    <w:rsid w:val="00106EBE"/>
    <w:rsid w:val="00107A3C"/>
    <w:rsid w:val="001101F8"/>
    <w:rsid w:val="0011206F"/>
    <w:rsid w:val="0011656A"/>
    <w:rsid w:val="0012220C"/>
    <w:rsid w:val="00130ADF"/>
    <w:rsid w:val="00135E10"/>
    <w:rsid w:val="00136EA3"/>
    <w:rsid w:val="00137575"/>
    <w:rsid w:val="001422A6"/>
    <w:rsid w:val="00143034"/>
    <w:rsid w:val="00144231"/>
    <w:rsid w:val="0014479E"/>
    <w:rsid w:val="00150434"/>
    <w:rsid w:val="001526A2"/>
    <w:rsid w:val="00154904"/>
    <w:rsid w:val="00155721"/>
    <w:rsid w:val="00157FB5"/>
    <w:rsid w:val="0016503F"/>
    <w:rsid w:val="0016674F"/>
    <w:rsid w:val="00167CA0"/>
    <w:rsid w:val="00167F6A"/>
    <w:rsid w:val="0017120D"/>
    <w:rsid w:val="001714F6"/>
    <w:rsid w:val="00176168"/>
    <w:rsid w:val="00177158"/>
    <w:rsid w:val="001806B0"/>
    <w:rsid w:val="001809D6"/>
    <w:rsid w:val="001814D7"/>
    <w:rsid w:val="00184FD4"/>
    <w:rsid w:val="00186B04"/>
    <w:rsid w:val="00186F1E"/>
    <w:rsid w:val="00190836"/>
    <w:rsid w:val="001924E4"/>
    <w:rsid w:val="00193930"/>
    <w:rsid w:val="00194B36"/>
    <w:rsid w:val="001960C6"/>
    <w:rsid w:val="001963A5"/>
    <w:rsid w:val="00196F1E"/>
    <w:rsid w:val="001971BE"/>
    <w:rsid w:val="00197FCA"/>
    <w:rsid w:val="001A145B"/>
    <w:rsid w:val="001A225A"/>
    <w:rsid w:val="001A27DB"/>
    <w:rsid w:val="001A6852"/>
    <w:rsid w:val="001A78FB"/>
    <w:rsid w:val="001B286A"/>
    <w:rsid w:val="001B2D02"/>
    <w:rsid w:val="001B3647"/>
    <w:rsid w:val="001B77FA"/>
    <w:rsid w:val="001C0ABE"/>
    <w:rsid w:val="001C4B19"/>
    <w:rsid w:val="001C5852"/>
    <w:rsid w:val="001C68BD"/>
    <w:rsid w:val="001D45F0"/>
    <w:rsid w:val="001E0A71"/>
    <w:rsid w:val="001E1335"/>
    <w:rsid w:val="001E4A33"/>
    <w:rsid w:val="001E4C23"/>
    <w:rsid w:val="001E5C27"/>
    <w:rsid w:val="001E73F4"/>
    <w:rsid w:val="001F479C"/>
    <w:rsid w:val="001F602B"/>
    <w:rsid w:val="001F69AD"/>
    <w:rsid w:val="001F6AC8"/>
    <w:rsid w:val="001F6C0F"/>
    <w:rsid w:val="002037D5"/>
    <w:rsid w:val="00206F90"/>
    <w:rsid w:val="00212B03"/>
    <w:rsid w:val="00215C10"/>
    <w:rsid w:val="00215C2D"/>
    <w:rsid w:val="00215EB6"/>
    <w:rsid w:val="002160F6"/>
    <w:rsid w:val="00216B2D"/>
    <w:rsid w:val="002212F9"/>
    <w:rsid w:val="002252C4"/>
    <w:rsid w:val="00226A10"/>
    <w:rsid w:val="0023140A"/>
    <w:rsid w:val="0023183E"/>
    <w:rsid w:val="00232131"/>
    <w:rsid w:val="00234EA9"/>
    <w:rsid w:val="00235138"/>
    <w:rsid w:val="00243E36"/>
    <w:rsid w:val="00244BD5"/>
    <w:rsid w:val="0024540B"/>
    <w:rsid w:val="00245EF4"/>
    <w:rsid w:val="0024659B"/>
    <w:rsid w:val="0024729D"/>
    <w:rsid w:val="00250E11"/>
    <w:rsid w:val="00251383"/>
    <w:rsid w:val="002522C9"/>
    <w:rsid w:val="00252A21"/>
    <w:rsid w:val="0025346D"/>
    <w:rsid w:val="00253E4F"/>
    <w:rsid w:val="00253FCA"/>
    <w:rsid w:val="002542E4"/>
    <w:rsid w:val="002544EB"/>
    <w:rsid w:val="00261053"/>
    <w:rsid w:val="00262FDE"/>
    <w:rsid w:val="00263224"/>
    <w:rsid w:val="00263629"/>
    <w:rsid w:val="00266D04"/>
    <w:rsid w:val="002707CB"/>
    <w:rsid w:val="00270EFA"/>
    <w:rsid w:val="00272D37"/>
    <w:rsid w:val="002742BC"/>
    <w:rsid w:val="0027566C"/>
    <w:rsid w:val="002769BD"/>
    <w:rsid w:val="002809EA"/>
    <w:rsid w:val="00284962"/>
    <w:rsid w:val="00287B0E"/>
    <w:rsid w:val="002902D2"/>
    <w:rsid w:val="00295491"/>
    <w:rsid w:val="0029549C"/>
    <w:rsid w:val="00296CC0"/>
    <w:rsid w:val="002A09EA"/>
    <w:rsid w:val="002A0B53"/>
    <w:rsid w:val="002A0EEF"/>
    <w:rsid w:val="002A7F38"/>
    <w:rsid w:val="002B2DF7"/>
    <w:rsid w:val="002B449C"/>
    <w:rsid w:val="002B4DE3"/>
    <w:rsid w:val="002B5BF1"/>
    <w:rsid w:val="002B69AC"/>
    <w:rsid w:val="002C1D46"/>
    <w:rsid w:val="002C29E6"/>
    <w:rsid w:val="002C3BF4"/>
    <w:rsid w:val="002C69EB"/>
    <w:rsid w:val="002C749F"/>
    <w:rsid w:val="002D4A8F"/>
    <w:rsid w:val="002D7F3B"/>
    <w:rsid w:val="002E381E"/>
    <w:rsid w:val="002E4B58"/>
    <w:rsid w:val="002F059B"/>
    <w:rsid w:val="002F5B0B"/>
    <w:rsid w:val="002F72AE"/>
    <w:rsid w:val="00300924"/>
    <w:rsid w:val="00301136"/>
    <w:rsid w:val="0030596E"/>
    <w:rsid w:val="00306551"/>
    <w:rsid w:val="003073C3"/>
    <w:rsid w:val="003101A4"/>
    <w:rsid w:val="00311AF5"/>
    <w:rsid w:val="003216CC"/>
    <w:rsid w:val="00323637"/>
    <w:rsid w:val="00323C9E"/>
    <w:rsid w:val="00324E8A"/>
    <w:rsid w:val="00331D87"/>
    <w:rsid w:val="00332850"/>
    <w:rsid w:val="00334478"/>
    <w:rsid w:val="003346B4"/>
    <w:rsid w:val="00334AE6"/>
    <w:rsid w:val="003365D0"/>
    <w:rsid w:val="003433F3"/>
    <w:rsid w:val="003439AB"/>
    <w:rsid w:val="00343EA7"/>
    <w:rsid w:val="0034454A"/>
    <w:rsid w:val="00354695"/>
    <w:rsid w:val="0035549B"/>
    <w:rsid w:val="00355563"/>
    <w:rsid w:val="00357217"/>
    <w:rsid w:val="0035764D"/>
    <w:rsid w:val="00361B68"/>
    <w:rsid w:val="00361F27"/>
    <w:rsid w:val="003720D5"/>
    <w:rsid w:val="003737EA"/>
    <w:rsid w:val="003750E8"/>
    <w:rsid w:val="003755C8"/>
    <w:rsid w:val="00375687"/>
    <w:rsid w:val="00375C20"/>
    <w:rsid w:val="003808E2"/>
    <w:rsid w:val="00380AE0"/>
    <w:rsid w:val="00381095"/>
    <w:rsid w:val="00383324"/>
    <w:rsid w:val="00386A37"/>
    <w:rsid w:val="00387A75"/>
    <w:rsid w:val="00387FB1"/>
    <w:rsid w:val="003904FD"/>
    <w:rsid w:val="00394254"/>
    <w:rsid w:val="0039528D"/>
    <w:rsid w:val="00396CB4"/>
    <w:rsid w:val="003A55EE"/>
    <w:rsid w:val="003A5C03"/>
    <w:rsid w:val="003B2831"/>
    <w:rsid w:val="003B363C"/>
    <w:rsid w:val="003B3C22"/>
    <w:rsid w:val="003B7642"/>
    <w:rsid w:val="003C2BFB"/>
    <w:rsid w:val="003C436B"/>
    <w:rsid w:val="003C48E4"/>
    <w:rsid w:val="003C5337"/>
    <w:rsid w:val="003C5F92"/>
    <w:rsid w:val="003C7171"/>
    <w:rsid w:val="003C7318"/>
    <w:rsid w:val="003D2C44"/>
    <w:rsid w:val="003D7A8C"/>
    <w:rsid w:val="003D7C00"/>
    <w:rsid w:val="003D7E0F"/>
    <w:rsid w:val="003E095E"/>
    <w:rsid w:val="003E0EB4"/>
    <w:rsid w:val="003E324F"/>
    <w:rsid w:val="003E4090"/>
    <w:rsid w:val="003E423D"/>
    <w:rsid w:val="003E53AA"/>
    <w:rsid w:val="003E56E5"/>
    <w:rsid w:val="003E7179"/>
    <w:rsid w:val="003E7E60"/>
    <w:rsid w:val="003F00D4"/>
    <w:rsid w:val="003F2209"/>
    <w:rsid w:val="003F3D39"/>
    <w:rsid w:val="003F646A"/>
    <w:rsid w:val="003F6761"/>
    <w:rsid w:val="003F6A0A"/>
    <w:rsid w:val="003F6FB1"/>
    <w:rsid w:val="0040105F"/>
    <w:rsid w:val="004024F5"/>
    <w:rsid w:val="00402DE1"/>
    <w:rsid w:val="0040328E"/>
    <w:rsid w:val="00403D8B"/>
    <w:rsid w:val="004058F1"/>
    <w:rsid w:val="004059E4"/>
    <w:rsid w:val="00407E7D"/>
    <w:rsid w:val="0041283D"/>
    <w:rsid w:val="00413AB4"/>
    <w:rsid w:val="00414F4A"/>
    <w:rsid w:val="0041595C"/>
    <w:rsid w:val="00420458"/>
    <w:rsid w:val="00421373"/>
    <w:rsid w:val="00421FB7"/>
    <w:rsid w:val="00424A07"/>
    <w:rsid w:val="0042763B"/>
    <w:rsid w:val="0043024C"/>
    <w:rsid w:val="00430910"/>
    <w:rsid w:val="00432B53"/>
    <w:rsid w:val="00435036"/>
    <w:rsid w:val="00435493"/>
    <w:rsid w:val="00436706"/>
    <w:rsid w:val="00443D38"/>
    <w:rsid w:val="00450E7A"/>
    <w:rsid w:val="00454ADE"/>
    <w:rsid w:val="00455DF2"/>
    <w:rsid w:val="00456658"/>
    <w:rsid w:val="00456AF8"/>
    <w:rsid w:val="004615A9"/>
    <w:rsid w:val="004651B8"/>
    <w:rsid w:val="00470B15"/>
    <w:rsid w:val="004718BA"/>
    <w:rsid w:val="0047537C"/>
    <w:rsid w:val="00475869"/>
    <w:rsid w:val="00475A77"/>
    <w:rsid w:val="004765AC"/>
    <w:rsid w:val="00477243"/>
    <w:rsid w:val="004801EB"/>
    <w:rsid w:val="0048232D"/>
    <w:rsid w:val="00482A42"/>
    <w:rsid w:val="00482DDC"/>
    <w:rsid w:val="00483E6C"/>
    <w:rsid w:val="004862CA"/>
    <w:rsid w:val="004866A9"/>
    <w:rsid w:val="00492774"/>
    <w:rsid w:val="00496D7A"/>
    <w:rsid w:val="004A0BB1"/>
    <w:rsid w:val="004A1B4A"/>
    <w:rsid w:val="004A1E78"/>
    <w:rsid w:val="004A31BC"/>
    <w:rsid w:val="004A3F1A"/>
    <w:rsid w:val="004A3F45"/>
    <w:rsid w:val="004A585F"/>
    <w:rsid w:val="004B1AFA"/>
    <w:rsid w:val="004B6047"/>
    <w:rsid w:val="004B7088"/>
    <w:rsid w:val="004C0B16"/>
    <w:rsid w:val="004C39CD"/>
    <w:rsid w:val="004C5B76"/>
    <w:rsid w:val="004D02CD"/>
    <w:rsid w:val="004D0B24"/>
    <w:rsid w:val="004D0DB0"/>
    <w:rsid w:val="004D35B5"/>
    <w:rsid w:val="004D4B90"/>
    <w:rsid w:val="004D609A"/>
    <w:rsid w:val="004D6151"/>
    <w:rsid w:val="004D6B95"/>
    <w:rsid w:val="004D7F41"/>
    <w:rsid w:val="004E00C8"/>
    <w:rsid w:val="004E03A2"/>
    <w:rsid w:val="004E1F26"/>
    <w:rsid w:val="004E317E"/>
    <w:rsid w:val="004E3954"/>
    <w:rsid w:val="004E5856"/>
    <w:rsid w:val="004F06B0"/>
    <w:rsid w:val="004F0D80"/>
    <w:rsid w:val="004F2330"/>
    <w:rsid w:val="004F2C8A"/>
    <w:rsid w:val="004F53C6"/>
    <w:rsid w:val="004F69DB"/>
    <w:rsid w:val="004F6B87"/>
    <w:rsid w:val="005007BC"/>
    <w:rsid w:val="00501C2D"/>
    <w:rsid w:val="00502637"/>
    <w:rsid w:val="00511140"/>
    <w:rsid w:val="00513CFE"/>
    <w:rsid w:val="00523B6A"/>
    <w:rsid w:val="00525F6C"/>
    <w:rsid w:val="00527502"/>
    <w:rsid w:val="00542339"/>
    <w:rsid w:val="005426D1"/>
    <w:rsid w:val="00542C88"/>
    <w:rsid w:val="005436C6"/>
    <w:rsid w:val="00544B51"/>
    <w:rsid w:val="00546AB4"/>
    <w:rsid w:val="005514E5"/>
    <w:rsid w:val="005527BB"/>
    <w:rsid w:val="00553CB3"/>
    <w:rsid w:val="005562F7"/>
    <w:rsid w:val="0055696E"/>
    <w:rsid w:val="00560486"/>
    <w:rsid w:val="00563C84"/>
    <w:rsid w:val="005762F6"/>
    <w:rsid w:val="0057637C"/>
    <w:rsid w:val="005766CA"/>
    <w:rsid w:val="00577FA1"/>
    <w:rsid w:val="00584FBE"/>
    <w:rsid w:val="00585483"/>
    <w:rsid w:val="005869D2"/>
    <w:rsid w:val="00587378"/>
    <w:rsid w:val="00587C05"/>
    <w:rsid w:val="00590AAB"/>
    <w:rsid w:val="005928E6"/>
    <w:rsid w:val="00592CFA"/>
    <w:rsid w:val="005938C3"/>
    <w:rsid w:val="0059459F"/>
    <w:rsid w:val="0059468C"/>
    <w:rsid w:val="00594E6E"/>
    <w:rsid w:val="00594FBC"/>
    <w:rsid w:val="00595125"/>
    <w:rsid w:val="005957EA"/>
    <w:rsid w:val="00596F21"/>
    <w:rsid w:val="005B1CDD"/>
    <w:rsid w:val="005B1E19"/>
    <w:rsid w:val="005B55FC"/>
    <w:rsid w:val="005C2D5E"/>
    <w:rsid w:val="005C3AD2"/>
    <w:rsid w:val="005C3B81"/>
    <w:rsid w:val="005C5D79"/>
    <w:rsid w:val="005C650C"/>
    <w:rsid w:val="005D086C"/>
    <w:rsid w:val="005D11D3"/>
    <w:rsid w:val="005D4E1F"/>
    <w:rsid w:val="005D4FB3"/>
    <w:rsid w:val="005D51D1"/>
    <w:rsid w:val="005D52A1"/>
    <w:rsid w:val="005E13BB"/>
    <w:rsid w:val="005E2F07"/>
    <w:rsid w:val="005E2FEA"/>
    <w:rsid w:val="005E3A0B"/>
    <w:rsid w:val="005E536E"/>
    <w:rsid w:val="005E573E"/>
    <w:rsid w:val="005F314B"/>
    <w:rsid w:val="005F5034"/>
    <w:rsid w:val="0060433C"/>
    <w:rsid w:val="00611AA0"/>
    <w:rsid w:val="00611AF2"/>
    <w:rsid w:val="0061212B"/>
    <w:rsid w:val="006127AF"/>
    <w:rsid w:val="00615FB2"/>
    <w:rsid w:val="00617BD1"/>
    <w:rsid w:val="00617CE8"/>
    <w:rsid w:val="00621D25"/>
    <w:rsid w:val="00622778"/>
    <w:rsid w:val="00624EAB"/>
    <w:rsid w:val="006278A0"/>
    <w:rsid w:val="00630074"/>
    <w:rsid w:val="0063095F"/>
    <w:rsid w:val="00634417"/>
    <w:rsid w:val="0064352D"/>
    <w:rsid w:val="00644904"/>
    <w:rsid w:val="00646AC2"/>
    <w:rsid w:val="00650390"/>
    <w:rsid w:val="00650F0F"/>
    <w:rsid w:val="00651F6A"/>
    <w:rsid w:val="00654DAB"/>
    <w:rsid w:val="0065577B"/>
    <w:rsid w:val="00656F0B"/>
    <w:rsid w:val="00657061"/>
    <w:rsid w:val="00657164"/>
    <w:rsid w:val="0066204A"/>
    <w:rsid w:val="00670E3C"/>
    <w:rsid w:val="0067591A"/>
    <w:rsid w:val="00675ED3"/>
    <w:rsid w:val="00676850"/>
    <w:rsid w:val="00677F57"/>
    <w:rsid w:val="00681088"/>
    <w:rsid w:val="00690BBC"/>
    <w:rsid w:val="0069577E"/>
    <w:rsid w:val="00696033"/>
    <w:rsid w:val="0069634B"/>
    <w:rsid w:val="00696623"/>
    <w:rsid w:val="006A04E9"/>
    <w:rsid w:val="006A46EF"/>
    <w:rsid w:val="006A4A03"/>
    <w:rsid w:val="006A7543"/>
    <w:rsid w:val="006B725C"/>
    <w:rsid w:val="006C173A"/>
    <w:rsid w:val="006C273D"/>
    <w:rsid w:val="006C45F0"/>
    <w:rsid w:val="006C56A7"/>
    <w:rsid w:val="006C5C4F"/>
    <w:rsid w:val="006C6282"/>
    <w:rsid w:val="006C762A"/>
    <w:rsid w:val="006D10CD"/>
    <w:rsid w:val="006D14DD"/>
    <w:rsid w:val="006D2736"/>
    <w:rsid w:val="006D5FF9"/>
    <w:rsid w:val="006E0772"/>
    <w:rsid w:val="006E0D57"/>
    <w:rsid w:val="006E0F86"/>
    <w:rsid w:val="006E32A2"/>
    <w:rsid w:val="006E64DF"/>
    <w:rsid w:val="006F0B15"/>
    <w:rsid w:val="006F0DCC"/>
    <w:rsid w:val="006F1B6B"/>
    <w:rsid w:val="006F4074"/>
    <w:rsid w:val="006F4DFD"/>
    <w:rsid w:val="006F61DA"/>
    <w:rsid w:val="00701748"/>
    <w:rsid w:val="00701C9E"/>
    <w:rsid w:val="00703DF9"/>
    <w:rsid w:val="007048EB"/>
    <w:rsid w:val="00704FBB"/>
    <w:rsid w:val="00706EF4"/>
    <w:rsid w:val="0070709D"/>
    <w:rsid w:val="0070726A"/>
    <w:rsid w:val="0071226B"/>
    <w:rsid w:val="00714A5F"/>
    <w:rsid w:val="00716DCD"/>
    <w:rsid w:val="00717040"/>
    <w:rsid w:val="00717184"/>
    <w:rsid w:val="00717F9C"/>
    <w:rsid w:val="00723FC8"/>
    <w:rsid w:val="007261A0"/>
    <w:rsid w:val="00730921"/>
    <w:rsid w:val="00732A1D"/>
    <w:rsid w:val="0073318F"/>
    <w:rsid w:val="00742B67"/>
    <w:rsid w:val="00745E7E"/>
    <w:rsid w:val="00751501"/>
    <w:rsid w:val="00755426"/>
    <w:rsid w:val="00756EBF"/>
    <w:rsid w:val="00761545"/>
    <w:rsid w:val="00766CC0"/>
    <w:rsid w:val="00770974"/>
    <w:rsid w:val="007716C9"/>
    <w:rsid w:val="007718B5"/>
    <w:rsid w:val="00774946"/>
    <w:rsid w:val="007750A2"/>
    <w:rsid w:val="00780EA2"/>
    <w:rsid w:val="007817D6"/>
    <w:rsid w:val="00783D91"/>
    <w:rsid w:val="007874E2"/>
    <w:rsid w:val="00787912"/>
    <w:rsid w:val="0079177A"/>
    <w:rsid w:val="00794836"/>
    <w:rsid w:val="007948D5"/>
    <w:rsid w:val="00797B92"/>
    <w:rsid w:val="007A15C9"/>
    <w:rsid w:val="007A2263"/>
    <w:rsid w:val="007A5B12"/>
    <w:rsid w:val="007A6676"/>
    <w:rsid w:val="007B0446"/>
    <w:rsid w:val="007B061A"/>
    <w:rsid w:val="007B4D42"/>
    <w:rsid w:val="007B5D1B"/>
    <w:rsid w:val="007B7FF5"/>
    <w:rsid w:val="007C1891"/>
    <w:rsid w:val="007C3FC6"/>
    <w:rsid w:val="007C6A86"/>
    <w:rsid w:val="007D14EA"/>
    <w:rsid w:val="007D2CE9"/>
    <w:rsid w:val="007D4FED"/>
    <w:rsid w:val="007D53DC"/>
    <w:rsid w:val="007D69DA"/>
    <w:rsid w:val="007D70B1"/>
    <w:rsid w:val="007D7140"/>
    <w:rsid w:val="007E1C73"/>
    <w:rsid w:val="007E1CDB"/>
    <w:rsid w:val="007E408C"/>
    <w:rsid w:val="007E7706"/>
    <w:rsid w:val="007E7E21"/>
    <w:rsid w:val="007F0460"/>
    <w:rsid w:val="007F0DA2"/>
    <w:rsid w:val="007F39CE"/>
    <w:rsid w:val="007F427F"/>
    <w:rsid w:val="007F5E0D"/>
    <w:rsid w:val="007F7B77"/>
    <w:rsid w:val="0080082D"/>
    <w:rsid w:val="00801085"/>
    <w:rsid w:val="00801A89"/>
    <w:rsid w:val="00805D32"/>
    <w:rsid w:val="00812138"/>
    <w:rsid w:val="008151F2"/>
    <w:rsid w:val="0081777A"/>
    <w:rsid w:val="008210E0"/>
    <w:rsid w:val="00824079"/>
    <w:rsid w:val="008276F6"/>
    <w:rsid w:val="00831F0A"/>
    <w:rsid w:val="00832896"/>
    <w:rsid w:val="00833A78"/>
    <w:rsid w:val="00835C6C"/>
    <w:rsid w:val="008362E2"/>
    <w:rsid w:val="008366D5"/>
    <w:rsid w:val="0084374E"/>
    <w:rsid w:val="0084585F"/>
    <w:rsid w:val="00846A4B"/>
    <w:rsid w:val="00853E53"/>
    <w:rsid w:val="00854ED3"/>
    <w:rsid w:val="00855108"/>
    <w:rsid w:val="00855B02"/>
    <w:rsid w:val="00864D76"/>
    <w:rsid w:val="008656C9"/>
    <w:rsid w:val="0086711C"/>
    <w:rsid w:val="00867535"/>
    <w:rsid w:val="0087052A"/>
    <w:rsid w:val="008709FB"/>
    <w:rsid w:val="00872D5B"/>
    <w:rsid w:val="00875C5B"/>
    <w:rsid w:val="008767B8"/>
    <w:rsid w:val="008825BC"/>
    <w:rsid w:val="008832B8"/>
    <w:rsid w:val="00883C5F"/>
    <w:rsid w:val="00886C92"/>
    <w:rsid w:val="00891C7D"/>
    <w:rsid w:val="00892FA7"/>
    <w:rsid w:val="008A1B77"/>
    <w:rsid w:val="008A3301"/>
    <w:rsid w:val="008A3988"/>
    <w:rsid w:val="008A4135"/>
    <w:rsid w:val="008A4DF1"/>
    <w:rsid w:val="008A5636"/>
    <w:rsid w:val="008B125E"/>
    <w:rsid w:val="008B241C"/>
    <w:rsid w:val="008B408B"/>
    <w:rsid w:val="008B4F11"/>
    <w:rsid w:val="008C0533"/>
    <w:rsid w:val="008C2362"/>
    <w:rsid w:val="008C3049"/>
    <w:rsid w:val="008C5EBB"/>
    <w:rsid w:val="008C6CF8"/>
    <w:rsid w:val="008C726C"/>
    <w:rsid w:val="008D086B"/>
    <w:rsid w:val="008D1D92"/>
    <w:rsid w:val="008D3370"/>
    <w:rsid w:val="008D4AE9"/>
    <w:rsid w:val="008D4C51"/>
    <w:rsid w:val="008D5CF3"/>
    <w:rsid w:val="008D62AF"/>
    <w:rsid w:val="008D7D39"/>
    <w:rsid w:val="008E3CFD"/>
    <w:rsid w:val="008E438E"/>
    <w:rsid w:val="008E4574"/>
    <w:rsid w:val="008E6025"/>
    <w:rsid w:val="008E6F7D"/>
    <w:rsid w:val="008E73C6"/>
    <w:rsid w:val="008F4016"/>
    <w:rsid w:val="008F42FE"/>
    <w:rsid w:val="008F4A00"/>
    <w:rsid w:val="008F5402"/>
    <w:rsid w:val="008F6963"/>
    <w:rsid w:val="0090053A"/>
    <w:rsid w:val="00901C2A"/>
    <w:rsid w:val="00904269"/>
    <w:rsid w:val="00904F39"/>
    <w:rsid w:val="009076F9"/>
    <w:rsid w:val="009109EC"/>
    <w:rsid w:val="009118C7"/>
    <w:rsid w:val="00913DAB"/>
    <w:rsid w:val="00915040"/>
    <w:rsid w:val="0091517D"/>
    <w:rsid w:val="009201A0"/>
    <w:rsid w:val="009225B6"/>
    <w:rsid w:val="00925397"/>
    <w:rsid w:val="00926C67"/>
    <w:rsid w:val="00930103"/>
    <w:rsid w:val="00933A21"/>
    <w:rsid w:val="00934C10"/>
    <w:rsid w:val="00935FF2"/>
    <w:rsid w:val="0093662A"/>
    <w:rsid w:val="009403B3"/>
    <w:rsid w:val="0094060C"/>
    <w:rsid w:val="009441A3"/>
    <w:rsid w:val="009536D7"/>
    <w:rsid w:val="00954E59"/>
    <w:rsid w:val="00955A4A"/>
    <w:rsid w:val="009606A5"/>
    <w:rsid w:val="00962F1F"/>
    <w:rsid w:val="00965229"/>
    <w:rsid w:val="00965304"/>
    <w:rsid w:val="00965D22"/>
    <w:rsid w:val="00966989"/>
    <w:rsid w:val="009676B6"/>
    <w:rsid w:val="009706DE"/>
    <w:rsid w:val="00971293"/>
    <w:rsid w:val="00973A3B"/>
    <w:rsid w:val="00976333"/>
    <w:rsid w:val="00980F1E"/>
    <w:rsid w:val="00983EAE"/>
    <w:rsid w:val="0098585B"/>
    <w:rsid w:val="009858B0"/>
    <w:rsid w:val="0098760B"/>
    <w:rsid w:val="00993448"/>
    <w:rsid w:val="00994C65"/>
    <w:rsid w:val="00996AE2"/>
    <w:rsid w:val="009A11DD"/>
    <w:rsid w:val="009A2CB0"/>
    <w:rsid w:val="009A6C6C"/>
    <w:rsid w:val="009B30AA"/>
    <w:rsid w:val="009B34A8"/>
    <w:rsid w:val="009B3AEF"/>
    <w:rsid w:val="009B4749"/>
    <w:rsid w:val="009B5217"/>
    <w:rsid w:val="009B6118"/>
    <w:rsid w:val="009C4798"/>
    <w:rsid w:val="009C48DE"/>
    <w:rsid w:val="009D17EF"/>
    <w:rsid w:val="009D75D1"/>
    <w:rsid w:val="009E1E1E"/>
    <w:rsid w:val="009E31AA"/>
    <w:rsid w:val="009E33E3"/>
    <w:rsid w:val="009E6FB7"/>
    <w:rsid w:val="009E70F0"/>
    <w:rsid w:val="009E7F16"/>
    <w:rsid w:val="009F266F"/>
    <w:rsid w:val="009F2F82"/>
    <w:rsid w:val="009F5052"/>
    <w:rsid w:val="00A01F06"/>
    <w:rsid w:val="00A02DC0"/>
    <w:rsid w:val="00A04C85"/>
    <w:rsid w:val="00A05D86"/>
    <w:rsid w:val="00A100F0"/>
    <w:rsid w:val="00A14AFE"/>
    <w:rsid w:val="00A15145"/>
    <w:rsid w:val="00A156E6"/>
    <w:rsid w:val="00A27D86"/>
    <w:rsid w:val="00A316C0"/>
    <w:rsid w:val="00A33151"/>
    <w:rsid w:val="00A34666"/>
    <w:rsid w:val="00A36970"/>
    <w:rsid w:val="00A41EB4"/>
    <w:rsid w:val="00A44BFF"/>
    <w:rsid w:val="00A46347"/>
    <w:rsid w:val="00A46610"/>
    <w:rsid w:val="00A501E3"/>
    <w:rsid w:val="00A50F0C"/>
    <w:rsid w:val="00A51541"/>
    <w:rsid w:val="00A52C04"/>
    <w:rsid w:val="00A5410F"/>
    <w:rsid w:val="00A5484C"/>
    <w:rsid w:val="00A56441"/>
    <w:rsid w:val="00A60A07"/>
    <w:rsid w:val="00A640A3"/>
    <w:rsid w:val="00A661D9"/>
    <w:rsid w:val="00A67A0B"/>
    <w:rsid w:val="00A736DD"/>
    <w:rsid w:val="00A74EAF"/>
    <w:rsid w:val="00A80316"/>
    <w:rsid w:val="00A81FA0"/>
    <w:rsid w:val="00A82869"/>
    <w:rsid w:val="00A86BA8"/>
    <w:rsid w:val="00A8758C"/>
    <w:rsid w:val="00A878CC"/>
    <w:rsid w:val="00A87CF0"/>
    <w:rsid w:val="00A947A8"/>
    <w:rsid w:val="00A9598A"/>
    <w:rsid w:val="00AA127E"/>
    <w:rsid w:val="00AA19AE"/>
    <w:rsid w:val="00AA423D"/>
    <w:rsid w:val="00AA5873"/>
    <w:rsid w:val="00AA6A95"/>
    <w:rsid w:val="00AB10DE"/>
    <w:rsid w:val="00AB2CA8"/>
    <w:rsid w:val="00AB3668"/>
    <w:rsid w:val="00AB4C8E"/>
    <w:rsid w:val="00AB5338"/>
    <w:rsid w:val="00AB5ED7"/>
    <w:rsid w:val="00AB64CE"/>
    <w:rsid w:val="00AC0B4C"/>
    <w:rsid w:val="00AC47CF"/>
    <w:rsid w:val="00AC56B1"/>
    <w:rsid w:val="00AC58A6"/>
    <w:rsid w:val="00AD0AEE"/>
    <w:rsid w:val="00AD0BFF"/>
    <w:rsid w:val="00AD49E3"/>
    <w:rsid w:val="00AD4B4F"/>
    <w:rsid w:val="00AE111A"/>
    <w:rsid w:val="00AE69FC"/>
    <w:rsid w:val="00AF0616"/>
    <w:rsid w:val="00AF0E28"/>
    <w:rsid w:val="00AF3405"/>
    <w:rsid w:val="00AF4B79"/>
    <w:rsid w:val="00AF5948"/>
    <w:rsid w:val="00AF5EC9"/>
    <w:rsid w:val="00AF6F9B"/>
    <w:rsid w:val="00B01409"/>
    <w:rsid w:val="00B055A9"/>
    <w:rsid w:val="00B10A3D"/>
    <w:rsid w:val="00B10DBD"/>
    <w:rsid w:val="00B15629"/>
    <w:rsid w:val="00B22ED8"/>
    <w:rsid w:val="00B2372C"/>
    <w:rsid w:val="00B25334"/>
    <w:rsid w:val="00B2680E"/>
    <w:rsid w:val="00B32F70"/>
    <w:rsid w:val="00B35784"/>
    <w:rsid w:val="00B373D0"/>
    <w:rsid w:val="00B4035E"/>
    <w:rsid w:val="00B43AAA"/>
    <w:rsid w:val="00B43AF7"/>
    <w:rsid w:val="00B53139"/>
    <w:rsid w:val="00B562CE"/>
    <w:rsid w:val="00B60B84"/>
    <w:rsid w:val="00B62DE2"/>
    <w:rsid w:val="00B6623A"/>
    <w:rsid w:val="00B74417"/>
    <w:rsid w:val="00B757BD"/>
    <w:rsid w:val="00B758A0"/>
    <w:rsid w:val="00B770CC"/>
    <w:rsid w:val="00B77246"/>
    <w:rsid w:val="00B8521B"/>
    <w:rsid w:val="00B866CD"/>
    <w:rsid w:val="00B92AF0"/>
    <w:rsid w:val="00B93034"/>
    <w:rsid w:val="00B93345"/>
    <w:rsid w:val="00B94B2F"/>
    <w:rsid w:val="00B95EC8"/>
    <w:rsid w:val="00B97C5D"/>
    <w:rsid w:val="00BA0074"/>
    <w:rsid w:val="00BA1290"/>
    <w:rsid w:val="00BA1ABF"/>
    <w:rsid w:val="00BA3101"/>
    <w:rsid w:val="00BA4F49"/>
    <w:rsid w:val="00BA54C7"/>
    <w:rsid w:val="00BA5536"/>
    <w:rsid w:val="00BA5583"/>
    <w:rsid w:val="00BA5CD1"/>
    <w:rsid w:val="00BB1A7C"/>
    <w:rsid w:val="00BB2792"/>
    <w:rsid w:val="00BB4A54"/>
    <w:rsid w:val="00BB5080"/>
    <w:rsid w:val="00BB51E4"/>
    <w:rsid w:val="00BB5614"/>
    <w:rsid w:val="00BB5FCD"/>
    <w:rsid w:val="00BB76BF"/>
    <w:rsid w:val="00BC0A73"/>
    <w:rsid w:val="00BC1679"/>
    <w:rsid w:val="00BC1AD1"/>
    <w:rsid w:val="00BC4A58"/>
    <w:rsid w:val="00BC613B"/>
    <w:rsid w:val="00BD51D9"/>
    <w:rsid w:val="00BD5C76"/>
    <w:rsid w:val="00BD64E2"/>
    <w:rsid w:val="00BE4995"/>
    <w:rsid w:val="00BF40DC"/>
    <w:rsid w:val="00BF429A"/>
    <w:rsid w:val="00BF4EAC"/>
    <w:rsid w:val="00BF53B8"/>
    <w:rsid w:val="00BF53F1"/>
    <w:rsid w:val="00BF62BE"/>
    <w:rsid w:val="00BF727A"/>
    <w:rsid w:val="00C01B5A"/>
    <w:rsid w:val="00C07126"/>
    <w:rsid w:val="00C1492B"/>
    <w:rsid w:val="00C15A1E"/>
    <w:rsid w:val="00C1603C"/>
    <w:rsid w:val="00C16853"/>
    <w:rsid w:val="00C17873"/>
    <w:rsid w:val="00C263F0"/>
    <w:rsid w:val="00C26851"/>
    <w:rsid w:val="00C30E75"/>
    <w:rsid w:val="00C33D23"/>
    <w:rsid w:val="00C33D41"/>
    <w:rsid w:val="00C344BC"/>
    <w:rsid w:val="00C35BE1"/>
    <w:rsid w:val="00C40106"/>
    <w:rsid w:val="00C40AFD"/>
    <w:rsid w:val="00C418E8"/>
    <w:rsid w:val="00C41E20"/>
    <w:rsid w:val="00C42E3E"/>
    <w:rsid w:val="00C51C13"/>
    <w:rsid w:val="00C525A5"/>
    <w:rsid w:val="00C5300F"/>
    <w:rsid w:val="00C53F6B"/>
    <w:rsid w:val="00C55574"/>
    <w:rsid w:val="00C56D26"/>
    <w:rsid w:val="00C57A28"/>
    <w:rsid w:val="00C64703"/>
    <w:rsid w:val="00C65686"/>
    <w:rsid w:val="00C66167"/>
    <w:rsid w:val="00C66CE0"/>
    <w:rsid w:val="00C67AEB"/>
    <w:rsid w:val="00C70041"/>
    <w:rsid w:val="00C71BED"/>
    <w:rsid w:val="00C72A0D"/>
    <w:rsid w:val="00C73F2D"/>
    <w:rsid w:val="00C747C0"/>
    <w:rsid w:val="00C74E73"/>
    <w:rsid w:val="00C76E5D"/>
    <w:rsid w:val="00C81B53"/>
    <w:rsid w:val="00C82AD2"/>
    <w:rsid w:val="00C82CB6"/>
    <w:rsid w:val="00C84726"/>
    <w:rsid w:val="00C90FB6"/>
    <w:rsid w:val="00C91D9C"/>
    <w:rsid w:val="00C9220E"/>
    <w:rsid w:val="00C92AB0"/>
    <w:rsid w:val="00C932BD"/>
    <w:rsid w:val="00C93429"/>
    <w:rsid w:val="00CA16C5"/>
    <w:rsid w:val="00CA415A"/>
    <w:rsid w:val="00CA4DCC"/>
    <w:rsid w:val="00CA504F"/>
    <w:rsid w:val="00CA7A35"/>
    <w:rsid w:val="00CB0192"/>
    <w:rsid w:val="00CB0783"/>
    <w:rsid w:val="00CB1536"/>
    <w:rsid w:val="00CB167D"/>
    <w:rsid w:val="00CB3CE4"/>
    <w:rsid w:val="00CB5880"/>
    <w:rsid w:val="00CB5F3C"/>
    <w:rsid w:val="00CB6CD2"/>
    <w:rsid w:val="00CB73E2"/>
    <w:rsid w:val="00CB7FB8"/>
    <w:rsid w:val="00CC1F71"/>
    <w:rsid w:val="00CC5EB3"/>
    <w:rsid w:val="00CD07D5"/>
    <w:rsid w:val="00CD0E7B"/>
    <w:rsid w:val="00CD2ABD"/>
    <w:rsid w:val="00CD4024"/>
    <w:rsid w:val="00CD4617"/>
    <w:rsid w:val="00CD4855"/>
    <w:rsid w:val="00CE6D43"/>
    <w:rsid w:val="00CE7888"/>
    <w:rsid w:val="00CF43E1"/>
    <w:rsid w:val="00D03363"/>
    <w:rsid w:val="00D03AD8"/>
    <w:rsid w:val="00D0710B"/>
    <w:rsid w:val="00D10E1C"/>
    <w:rsid w:val="00D11278"/>
    <w:rsid w:val="00D12B37"/>
    <w:rsid w:val="00D12EFA"/>
    <w:rsid w:val="00D1404B"/>
    <w:rsid w:val="00D14774"/>
    <w:rsid w:val="00D153EE"/>
    <w:rsid w:val="00D15BF1"/>
    <w:rsid w:val="00D161A3"/>
    <w:rsid w:val="00D17FD6"/>
    <w:rsid w:val="00D22E49"/>
    <w:rsid w:val="00D234D6"/>
    <w:rsid w:val="00D23716"/>
    <w:rsid w:val="00D25ED8"/>
    <w:rsid w:val="00D278F7"/>
    <w:rsid w:val="00D27F8F"/>
    <w:rsid w:val="00D316B8"/>
    <w:rsid w:val="00D31CFC"/>
    <w:rsid w:val="00D3255D"/>
    <w:rsid w:val="00D340C3"/>
    <w:rsid w:val="00D355AB"/>
    <w:rsid w:val="00D409CD"/>
    <w:rsid w:val="00D40B9B"/>
    <w:rsid w:val="00D423D4"/>
    <w:rsid w:val="00D42CAF"/>
    <w:rsid w:val="00D44B2B"/>
    <w:rsid w:val="00D4763B"/>
    <w:rsid w:val="00D527A6"/>
    <w:rsid w:val="00D53136"/>
    <w:rsid w:val="00D56C6D"/>
    <w:rsid w:val="00D57DC2"/>
    <w:rsid w:val="00D601EF"/>
    <w:rsid w:val="00D61533"/>
    <w:rsid w:val="00D63B2F"/>
    <w:rsid w:val="00D6640B"/>
    <w:rsid w:val="00D70747"/>
    <w:rsid w:val="00D70CB3"/>
    <w:rsid w:val="00D7261D"/>
    <w:rsid w:val="00D73098"/>
    <w:rsid w:val="00D73F71"/>
    <w:rsid w:val="00D74962"/>
    <w:rsid w:val="00D7506D"/>
    <w:rsid w:val="00D755FC"/>
    <w:rsid w:val="00D76B6D"/>
    <w:rsid w:val="00D77C40"/>
    <w:rsid w:val="00D80FA1"/>
    <w:rsid w:val="00D820DA"/>
    <w:rsid w:val="00D821CA"/>
    <w:rsid w:val="00D82495"/>
    <w:rsid w:val="00D84D07"/>
    <w:rsid w:val="00D8526A"/>
    <w:rsid w:val="00D86899"/>
    <w:rsid w:val="00D90E91"/>
    <w:rsid w:val="00D93790"/>
    <w:rsid w:val="00D97257"/>
    <w:rsid w:val="00DA02D5"/>
    <w:rsid w:val="00DA1B10"/>
    <w:rsid w:val="00DA43E9"/>
    <w:rsid w:val="00DA5C3C"/>
    <w:rsid w:val="00DA5C55"/>
    <w:rsid w:val="00DB53C1"/>
    <w:rsid w:val="00DC1347"/>
    <w:rsid w:val="00DC2FFE"/>
    <w:rsid w:val="00DC39F1"/>
    <w:rsid w:val="00DC59E4"/>
    <w:rsid w:val="00DD08CC"/>
    <w:rsid w:val="00DD1D78"/>
    <w:rsid w:val="00DD6F39"/>
    <w:rsid w:val="00DE3B60"/>
    <w:rsid w:val="00DE4B35"/>
    <w:rsid w:val="00DE5F04"/>
    <w:rsid w:val="00DE6349"/>
    <w:rsid w:val="00DE6DAE"/>
    <w:rsid w:val="00DF0478"/>
    <w:rsid w:val="00DF19C1"/>
    <w:rsid w:val="00DF1D62"/>
    <w:rsid w:val="00DF54CA"/>
    <w:rsid w:val="00DF5B64"/>
    <w:rsid w:val="00E02794"/>
    <w:rsid w:val="00E03E3D"/>
    <w:rsid w:val="00E043E3"/>
    <w:rsid w:val="00E0505B"/>
    <w:rsid w:val="00E0560C"/>
    <w:rsid w:val="00E11280"/>
    <w:rsid w:val="00E1151D"/>
    <w:rsid w:val="00E12359"/>
    <w:rsid w:val="00E152FF"/>
    <w:rsid w:val="00E170E7"/>
    <w:rsid w:val="00E2461B"/>
    <w:rsid w:val="00E24886"/>
    <w:rsid w:val="00E251CA"/>
    <w:rsid w:val="00E26F83"/>
    <w:rsid w:val="00E276FB"/>
    <w:rsid w:val="00E30B81"/>
    <w:rsid w:val="00E32595"/>
    <w:rsid w:val="00E325F7"/>
    <w:rsid w:val="00E33A74"/>
    <w:rsid w:val="00E35AE1"/>
    <w:rsid w:val="00E4030B"/>
    <w:rsid w:val="00E41D56"/>
    <w:rsid w:val="00E44623"/>
    <w:rsid w:val="00E457DF"/>
    <w:rsid w:val="00E46642"/>
    <w:rsid w:val="00E5139A"/>
    <w:rsid w:val="00E540C5"/>
    <w:rsid w:val="00E5413D"/>
    <w:rsid w:val="00E55674"/>
    <w:rsid w:val="00E57977"/>
    <w:rsid w:val="00E629F0"/>
    <w:rsid w:val="00E635D7"/>
    <w:rsid w:val="00E63638"/>
    <w:rsid w:val="00E639B9"/>
    <w:rsid w:val="00E66C2D"/>
    <w:rsid w:val="00E70576"/>
    <w:rsid w:val="00E83954"/>
    <w:rsid w:val="00E86D8D"/>
    <w:rsid w:val="00E87767"/>
    <w:rsid w:val="00E9044E"/>
    <w:rsid w:val="00E91730"/>
    <w:rsid w:val="00E96F04"/>
    <w:rsid w:val="00E97AEC"/>
    <w:rsid w:val="00EA20FE"/>
    <w:rsid w:val="00EA290C"/>
    <w:rsid w:val="00EA2A01"/>
    <w:rsid w:val="00EA520C"/>
    <w:rsid w:val="00EB40E0"/>
    <w:rsid w:val="00EB417A"/>
    <w:rsid w:val="00EB491E"/>
    <w:rsid w:val="00EB681B"/>
    <w:rsid w:val="00EC28CF"/>
    <w:rsid w:val="00EC4FAD"/>
    <w:rsid w:val="00EC7DC5"/>
    <w:rsid w:val="00ED3BEB"/>
    <w:rsid w:val="00ED3D70"/>
    <w:rsid w:val="00ED4F24"/>
    <w:rsid w:val="00ED71E3"/>
    <w:rsid w:val="00EE18EC"/>
    <w:rsid w:val="00EE3CFA"/>
    <w:rsid w:val="00EE69E4"/>
    <w:rsid w:val="00EF2A7F"/>
    <w:rsid w:val="00EF3E11"/>
    <w:rsid w:val="00EF7E90"/>
    <w:rsid w:val="00F002B6"/>
    <w:rsid w:val="00F009AC"/>
    <w:rsid w:val="00F034D8"/>
    <w:rsid w:val="00F07435"/>
    <w:rsid w:val="00F10AFE"/>
    <w:rsid w:val="00F12646"/>
    <w:rsid w:val="00F15C6C"/>
    <w:rsid w:val="00F17173"/>
    <w:rsid w:val="00F2001C"/>
    <w:rsid w:val="00F224DC"/>
    <w:rsid w:val="00F25383"/>
    <w:rsid w:val="00F26000"/>
    <w:rsid w:val="00F2687F"/>
    <w:rsid w:val="00F27F29"/>
    <w:rsid w:val="00F32D54"/>
    <w:rsid w:val="00F32F49"/>
    <w:rsid w:val="00F36C54"/>
    <w:rsid w:val="00F4189B"/>
    <w:rsid w:val="00F418EA"/>
    <w:rsid w:val="00F41A29"/>
    <w:rsid w:val="00F438C5"/>
    <w:rsid w:val="00F44C1C"/>
    <w:rsid w:val="00F44E5C"/>
    <w:rsid w:val="00F458A6"/>
    <w:rsid w:val="00F518DF"/>
    <w:rsid w:val="00F544DB"/>
    <w:rsid w:val="00F6502E"/>
    <w:rsid w:val="00F65663"/>
    <w:rsid w:val="00F6672F"/>
    <w:rsid w:val="00F668CF"/>
    <w:rsid w:val="00F66BED"/>
    <w:rsid w:val="00F7506E"/>
    <w:rsid w:val="00F756C0"/>
    <w:rsid w:val="00F75A40"/>
    <w:rsid w:val="00F77637"/>
    <w:rsid w:val="00F829DB"/>
    <w:rsid w:val="00F82C87"/>
    <w:rsid w:val="00F8435D"/>
    <w:rsid w:val="00F86734"/>
    <w:rsid w:val="00F87DD0"/>
    <w:rsid w:val="00F92540"/>
    <w:rsid w:val="00F93360"/>
    <w:rsid w:val="00F93FE4"/>
    <w:rsid w:val="00F95C2C"/>
    <w:rsid w:val="00F9667D"/>
    <w:rsid w:val="00F969AD"/>
    <w:rsid w:val="00F97E4E"/>
    <w:rsid w:val="00FA0D4A"/>
    <w:rsid w:val="00FA217B"/>
    <w:rsid w:val="00FA59C6"/>
    <w:rsid w:val="00FB0BC5"/>
    <w:rsid w:val="00FB0BCC"/>
    <w:rsid w:val="00FC0FE5"/>
    <w:rsid w:val="00FC2545"/>
    <w:rsid w:val="00FC4442"/>
    <w:rsid w:val="00FC48B9"/>
    <w:rsid w:val="00FD15D3"/>
    <w:rsid w:val="00FD1ABC"/>
    <w:rsid w:val="00FD298F"/>
    <w:rsid w:val="00FD5ABB"/>
    <w:rsid w:val="00FD7DDF"/>
    <w:rsid w:val="00FE00BA"/>
    <w:rsid w:val="00FE2EB5"/>
    <w:rsid w:val="00FE4C92"/>
    <w:rsid w:val="00FF0FAA"/>
    <w:rsid w:val="00FF193E"/>
    <w:rsid w:val="00FF218A"/>
    <w:rsid w:val="00FF4396"/>
    <w:rsid w:val="00FF519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3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40C"/>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A316C0"/>
    <w:pPr>
      <w:numPr>
        <w:numId w:val="1"/>
      </w:numPr>
      <w:ind w:left="720" w:hanging="720"/>
      <w:outlineLvl w:val="0"/>
    </w:pPr>
    <w:rPr>
      <w:kern w:val="28"/>
    </w:rPr>
  </w:style>
  <w:style w:type="paragraph" w:styleId="Heading2">
    <w:name w:val="heading 2"/>
    <w:basedOn w:val="Normal"/>
    <w:next w:val="Normal"/>
    <w:link w:val="Heading2Char"/>
    <w:qFormat/>
    <w:rsid w:val="00A316C0"/>
    <w:pPr>
      <w:numPr>
        <w:ilvl w:val="1"/>
        <w:numId w:val="1"/>
      </w:numPr>
      <w:ind w:left="720" w:hanging="720"/>
      <w:outlineLvl w:val="1"/>
    </w:pPr>
  </w:style>
  <w:style w:type="paragraph" w:styleId="Heading3">
    <w:name w:val="heading 3"/>
    <w:basedOn w:val="Normal"/>
    <w:next w:val="Normal"/>
    <w:link w:val="Heading3Char"/>
    <w:qFormat/>
    <w:rsid w:val="00A316C0"/>
    <w:pPr>
      <w:numPr>
        <w:ilvl w:val="2"/>
        <w:numId w:val="1"/>
      </w:numPr>
      <w:ind w:left="720" w:hanging="720"/>
      <w:outlineLvl w:val="2"/>
    </w:pPr>
  </w:style>
  <w:style w:type="paragraph" w:styleId="Heading4">
    <w:name w:val="heading 4"/>
    <w:basedOn w:val="Normal"/>
    <w:next w:val="Normal"/>
    <w:link w:val="Heading4Char"/>
    <w:qFormat/>
    <w:rsid w:val="00A316C0"/>
    <w:pPr>
      <w:numPr>
        <w:ilvl w:val="3"/>
        <w:numId w:val="1"/>
      </w:numPr>
      <w:ind w:left="720" w:hanging="720"/>
      <w:outlineLvl w:val="3"/>
    </w:pPr>
  </w:style>
  <w:style w:type="paragraph" w:styleId="Heading5">
    <w:name w:val="heading 5"/>
    <w:basedOn w:val="Normal"/>
    <w:next w:val="Normal"/>
    <w:link w:val="Heading5Char"/>
    <w:qFormat/>
    <w:rsid w:val="00A316C0"/>
    <w:pPr>
      <w:numPr>
        <w:ilvl w:val="4"/>
        <w:numId w:val="1"/>
      </w:numPr>
      <w:ind w:left="720" w:hanging="720"/>
      <w:outlineLvl w:val="4"/>
    </w:pPr>
  </w:style>
  <w:style w:type="paragraph" w:styleId="Heading6">
    <w:name w:val="heading 6"/>
    <w:basedOn w:val="Normal"/>
    <w:next w:val="Normal"/>
    <w:link w:val="Heading6Char"/>
    <w:qFormat/>
    <w:rsid w:val="00A316C0"/>
    <w:pPr>
      <w:numPr>
        <w:ilvl w:val="5"/>
        <w:numId w:val="1"/>
      </w:numPr>
      <w:ind w:left="720" w:hanging="720"/>
      <w:outlineLvl w:val="5"/>
    </w:pPr>
  </w:style>
  <w:style w:type="paragraph" w:styleId="Heading7">
    <w:name w:val="heading 7"/>
    <w:basedOn w:val="Normal"/>
    <w:next w:val="Normal"/>
    <w:link w:val="Heading7Char"/>
    <w:qFormat/>
    <w:rsid w:val="00A316C0"/>
    <w:pPr>
      <w:numPr>
        <w:ilvl w:val="6"/>
        <w:numId w:val="1"/>
      </w:numPr>
      <w:ind w:left="720" w:hanging="720"/>
      <w:outlineLvl w:val="6"/>
    </w:pPr>
  </w:style>
  <w:style w:type="paragraph" w:styleId="Heading8">
    <w:name w:val="heading 8"/>
    <w:basedOn w:val="Normal"/>
    <w:next w:val="Normal"/>
    <w:link w:val="Heading8Char"/>
    <w:qFormat/>
    <w:rsid w:val="00A316C0"/>
    <w:pPr>
      <w:numPr>
        <w:ilvl w:val="7"/>
        <w:numId w:val="1"/>
      </w:numPr>
      <w:ind w:left="720" w:hanging="720"/>
      <w:outlineLvl w:val="7"/>
    </w:pPr>
  </w:style>
  <w:style w:type="paragraph" w:styleId="Heading9">
    <w:name w:val="heading 9"/>
    <w:basedOn w:val="Normal"/>
    <w:next w:val="Normal"/>
    <w:link w:val="Heading9Char"/>
    <w:qFormat/>
    <w:rsid w:val="00A316C0"/>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rsid w:val="00A316C0"/>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basedOn w:val="Normal"/>
    <w:link w:val="FootnoteTextChar"/>
    <w:qFormat/>
    <w:rsid w:val="00A316C0"/>
    <w:pPr>
      <w:keepLines/>
      <w:spacing w:after="60" w:line="240" w:lineRule="auto"/>
      <w:ind w:left="720" w:hanging="720"/>
    </w:pPr>
    <w:rPr>
      <w:sz w:val="16"/>
    </w:rPr>
  </w:style>
  <w:style w:type="character" w:customStyle="1" w:styleId="FootnoteTextChar">
    <w:name w:val="Footnote Text Char"/>
    <w:basedOn w:val="DefaultParagraphFont"/>
    <w:link w:val="FootnoteText"/>
    <w:qFormat/>
    <w:locked/>
    <w:rsid w:val="00CB1536"/>
    <w:rPr>
      <w:sz w:val="16"/>
      <w:szCs w:val="20"/>
      <w:lang w:eastAsia="en-US" w:bidi="ar-SA"/>
    </w:rPr>
  </w:style>
  <w:style w:type="paragraph" w:styleId="Header">
    <w:name w:val="header"/>
    <w:basedOn w:val="Normal"/>
    <w:link w:val="HeaderChar"/>
    <w:rsid w:val="00A316C0"/>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symbol"/>
    <w:basedOn w:val="DefaultParagraphFont"/>
    <w:uiPriority w:val="99"/>
    <w:qFormat/>
    <w:rsid w:val="00A316C0"/>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B5F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F3C"/>
    <w:rPr>
      <w:rFonts w:ascii="Tahoma" w:hAnsi="Tahoma" w:cs="Tahoma"/>
      <w:sz w:val="16"/>
      <w:szCs w:val="16"/>
      <w:lang w:eastAsia="en-US" w:bidi="ar-SA"/>
    </w:rPr>
  </w:style>
  <w:style w:type="character" w:styleId="CommentReference">
    <w:name w:val="annotation reference"/>
    <w:basedOn w:val="DefaultParagraphFont"/>
    <w:uiPriority w:val="99"/>
    <w:semiHidden/>
    <w:unhideWhenUsed/>
    <w:rsid w:val="003101A4"/>
    <w:rPr>
      <w:sz w:val="16"/>
      <w:szCs w:val="16"/>
    </w:rPr>
  </w:style>
  <w:style w:type="paragraph" w:styleId="CommentText">
    <w:name w:val="annotation text"/>
    <w:basedOn w:val="Normal"/>
    <w:link w:val="CommentTextChar"/>
    <w:uiPriority w:val="99"/>
    <w:unhideWhenUsed/>
    <w:rsid w:val="003101A4"/>
    <w:pPr>
      <w:spacing w:line="240" w:lineRule="auto"/>
    </w:pPr>
    <w:rPr>
      <w:sz w:val="20"/>
    </w:rPr>
  </w:style>
  <w:style w:type="character" w:customStyle="1" w:styleId="CommentTextChar">
    <w:name w:val="Comment Text Char"/>
    <w:basedOn w:val="DefaultParagraphFont"/>
    <w:link w:val="CommentText"/>
    <w:uiPriority w:val="99"/>
    <w:rsid w:val="003101A4"/>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3101A4"/>
    <w:rPr>
      <w:b/>
      <w:bCs/>
    </w:rPr>
  </w:style>
  <w:style w:type="character" w:customStyle="1" w:styleId="CommentSubjectChar">
    <w:name w:val="Comment Subject Char"/>
    <w:basedOn w:val="CommentTextChar"/>
    <w:link w:val="CommentSubject"/>
    <w:uiPriority w:val="99"/>
    <w:semiHidden/>
    <w:rsid w:val="003101A4"/>
    <w:rPr>
      <w:b/>
      <w:bCs/>
      <w:sz w:val="20"/>
      <w:szCs w:val="20"/>
      <w:lang w:eastAsia="en-US" w:bidi="ar-SA"/>
    </w:rPr>
  </w:style>
  <w:style w:type="character" w:customStyle="1" w:styleId="UnresolvedMention1">
    <w:name w:val="Unresolved Mention1"/>
    <w:basedOn w:val="DefaultParagraphFont"/>
    <w:uiPriority w:val="99"/>
    <w:semiHidden/>
    <w:unhideWhenUsed/>
    <w:rsid w:val="00306551"/>
    <w:rPr>
      <w:color w:val="605E5C"/>
      <w:shd w:val="clear" w:color="auto" w:fill="E1DFDD"/>
    </w:rPr>
  </w:style>
  <w:style w:type="paragraph" w:styleId="ListParagraph">
    <w:name w:val="List Paragraph"/>
    <w:basedOn w:val="Normal"/>
    <w:link w:val="ListParagraphChar"/>
    <w:uiPriority w:val="34"/>
    <w:qFormat/>
    <w:rsid w:val="00544B51"/>
    <w:pPr>
      <w:overflowPunct/>
      <w:autoSpaceDE/>
      <w:autoSpaceDN/>
      <w:adjustRightInd/>
      <w:spacing w:line="240" w:lineRule="auto"/>
      <w:ind w:left="720"/>
      <w:contextualSpacing/>
      <w:jc w:val="left"/>
      <w:textAlignment w:val="auto"/>
    </w:pPr>
    <w:rPr>
      <w:rFonts w:asciiTheme="minorHAnsi" w:eastAsiaTheme="minorHAnsi" w:hAnsiTheme="minorHAnsi" w:cstheme="minorBidi"/>
      <w:noProof/>
      <w:sz w:val="24"/>
      <w:szCs w:val="24"/>
    </w:rPr>
  </w:style>
  <w:style w:type="character" w:customStyle="1" w:styleId="ListParagraphChar">
    <w:name w:val="List Paragraph Char"/>
    <w:basedOn w:val="DefaultParagraphFont"/>
    <w:link w:val="ListParagraph"/>
    <w:uiPriority w:val="34"/>
    <w:locked/>
    <w:rsid w:val="00544B51"/>
    <w:rPr>
      <w:rFonts w:asciiTheme="minorHAnsi" w:eastAsiaTheme="minorHAnsi" w:hAnsiTheme="minorHAnsi" w:cstheme="minorBidi"/>
      <w:noProof/>
      <w:sz w:val="24"/>
      <w:szCs w:val="24"/>
      <w:lang w:eastAsia="en-US" w:bidi="ar-SA"/>
    </w:rPr>
  </w:style>
  <w:style w:type="paragraph" w:styleId="NormalWeb">
    <w:name w:val="Normal (Web)"/>
    <w:basedOn w:val="Normal"/>
    <w:uiPriority w:val="99"/>
    <w:unhideWhenUsed/>
    <w:rsid w:val="00656F0B"/>
    <w:pPr>
      <w:overflowPunct/>
      <w:autoSpaceDE/>
      <w:autoSpaceDN/>
      <w:adjustRightInd/>
      <w:spacing w:line="240" w:lineRule="auto"/>
      <w:jc w:val="left"/>
      <w:textAlignment w:val="auto"/>
    </w:pPr>
    <w:rPr>
      <w:rFonts w:eastAsiaTheme="minorHAnsi"/>
      <w:noProof/>
      <w:sz w:val="24"/>
      <w:szCs w:val="24"/>
    </w:rPr>
  </w:style>
  <w:style w:type="character" w:customStyle="1" w:styleId="UnresolvedMention2">
    <w:name w:val="Unresolved Mention2"/>
    <w:basedOn w:val="DefaultParagraphFont"/>
    <w:uiPriority w:val="99"/>
    <w:semiHidden/>
    <w:unhideWhenUsed/>
    <w:rsid w:val="00FA0D4A"/>
    <w:rPr>
      <w:color w:val="605E5C"/>
      <w:shd w:val="clear" w:color="auto" w:fill="E1DFDD"/>
    </w:rPr>
  </w:style>
  <w:style w:type="character" w:customStyle="1" w:styleId="UnresolvedMention3">
    <w:name w:val="Unresolved Mention3"/>
    <w:basedOn w:val="DefaultParagraphFont"/>
    <w:uiPriority w:val="99"/>
    <w:semiHidden/>
    <w:unhideWhenUsed/>
    <w:rsid w:val="00774946"/>
    <w:rPr>
      <w:color w:val="605E5C"/>
      <w:shd w:val="clear" w:color="auto" w:fill="E1DFDD"/>
    </w:rPr>
  </w:style>
  <w:style w:type="character" w:customStyle="1" w:styleId="UnresolvedMention4">
    <w:name w:val="Unresolved Mention4"/>
    <w:basedOn w:val="DefaultParagraphFont"/>
    <w:uiPriority w:val="99"/>
    <w:semiHidden/>
    <w:unhideWhenUsed/>
    <w:rsid w:val="00F95C2C"/>
    <w:rPr>
      <w:color w:val="605E5C"/>
      <w:shd w:val="clear" w:color="auto" w:fill="E1DFDD"/>
    </w:rPr>
  </w:style>
  <w:style w:type="character" w:customStyle="1" w:styleId="UnresolvedMention5">
    <w:name w:val="Unresolved Mention5"/>
    <w:basedOn w:val="DefaultParagraphFont"/>
    <w:uiPriority w:val="99"/>
    <w:semiHidden/>
    <w:unhideWhenUsed/>
    <w:rsid w:val="00993448"/>
    <w:rPr>
      <w:color w:val="605E5C"/>
      <w:shd w:val="clear" w:color="auto" w:fill="E1DFDD"/>
    </w:rPr>
  </w:style>
  <w:style w:type="character" w:styleId="UnresolvedMention">
    <w:name w:val="Unresolved Mention"/>
    <w:basedOn w:val="DefaultParagraphFont"/>
    <w:uiPriority w:val="99"/>
    <w:semiHidden/>
    <w:unhideWhenUsed/>
    <w:rsid w:val="005C3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89626">
      <w:bodyDiv w:val="1"/>
      <w:marLeft w:val="0"/>
      <w:marRight w:val="0"/>
      <w:marTop w:val="0"/>
      <w:marBottom w:val="0"/>
      <w:divBdr>
        <w:top w:val="none" w:sz="0" w:space="0" w:color="auto"/>
        <w:left w:val="none" w:sz="0" w:space="0" w:color="auto"/>
        <w:bottom w:val="none" w:sz="0" w:space="0" w:color="auto"/>
        <w:right w:val="none" w:sz="0" w:space="0" w:color="auto"/>
      </w:divBdr>
    </w:div>
    <w:div w:id="371537588">
      <w:bodyDiv w:val="1"/>
      <w:marLeft w:val="0"/>
      <w:marRight w:val="0"/>
      <w:marTop w:val="0"/>
      <w:marBottom w:val="0"/>
      <w:divBdr>
        <w:top w:val="none" w:sz="0" w:space="0" w:color="auto"/>
        <w:left w:val="none" w:sz="0" w:space="0" w:color="auto"/>
        <w:bottom w:val="none" w:sz="0" w:space="0" w:color="auto"/>
        <w:right w:val="none" w:sz="0" w:space="0" w:color="auto"/>
      </w:divBdr>
    </w:div>
    <w:div w:id="385883061">
      <w:bodyDiv w:val="1"/>
      <w:marLeft w:val="0"/>
      <w:marRight w:val="0"/>
      <w:marTop w:val="0"/>
      <w:marBottom w:val="0"/>
      <w:divBdr>
        <w:top w:val="none" w:sz="0" w:space="0" w:color="auto"/>
        <w:left w:val="none" w:sz="0" w:space="0" w:color="auto"/>
        <w:bottom w:val="none" w:sz="0" w:space="0" w:color="auto"/>
        <w:right w:val="none" w:sz="0" w:space="0" w:color="auto"/>
      </w:divBdr>
    </w:div>
    <w:div w:id="492842509">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945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eesc.europa.eu/it/documents/report/national-european-semester-days-estonia-09-02-2026" TargetMode="External"/><Relationship Id="rId3" Type="http://schemas.openxmlformats.org/officeDocument/2006/relationships/hyperlink" Target="https://commission.europa.eu/publications/2025-european-semester-country-specific-recommendations-commission-recommendations_en" TargetMode="External"/><Relationship Id="rId7" Type="http://schemas.openxmlformats.org/officeDocument/2006/relationships/hyperlink" Target="https://www.eesc.europa.eu/it/documents/report/national-european-semester-days-cyprus-04-02-2026" TargetMode="External"/><Relationship Id="rId2" Type="http://schemas.openxmlformats.org/officeDocument/2006/relationships/hyperlink" Target="https://www.eesc.europa.eu/it/our-work/opinions-information-reports/information-reports/point-view-organised-civil-society-eu-member-states-national-reform-and-investment-proposals-and-their-implementation-0/annex" TargetMode="External"/><Relationship Id="rId1" Type="http://schemas.openxmlformats.org/officeDocument/2006/relationships/hyperlink" Target="https://www.eesc.europa.eu/it/our-work/opinions-information-reports/opinions/eescs-recommendations-reform-and-investment-proposals-formulated-part-2025-2026-european-semester-cycle" TargetMode="External"/><Relationship Id="rId6" Type="http://schemas.openxmlformats.org/officeDocument/2006/relationships/hyperlink" Target="https://www.eesc.europa.eu/it/documents/report/national-european-semester-days-romania-03-02-2026" TargetMode="External"/><Relationship Id="rId11" Type="http://schemas.openxmlformats.org/officeDocument/2006/relationships/hyperlink" Target="https://www.eesc.europa.eu/it/sections-other-bodies/other/gruppo-di-collegamento" TargetMode="External"/><Relationship Id="rId5" Type="http://schemas.openxmlformats.org/officeDocument/2006/relationships/hyperlink" Target="https://economy-finance.ec.europa.eu/economic-and-fiscal-governance/new-economic-governance-framework_en" TargetMode="External"/><Relationship Id="rId10" Type="http://schemas.openxmlformats.org/officeDocument/2006/relationships/hyperlink" Target="https://www.eesc.europa.eu/it/documents/report/national-european-semester-days-france-02-03-2026" TargetMode="External"/><Relationship Id="rId4" Type="http://schemas.openxmlformats.org/officeDocument/2006/relationships/hyperlink" Target="https://economy-finance.ec.europa.eu/economic-and-fiscal-governance/stability-and-growth-pact/preventive-arm/national-medium-term-fiscal-structural-plans_en" TargetMode="External"/><Relationship Id="rId9" Type="http://schemas.openxmlformats.org/officeDocument/2006/relationships/hyperlink" Target="https://www.eesc.europa.eu/it/documents/report/national-european-semester-days-austria-24-02-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A6WAAD5KZT2Q-1415362569-8718</_dlc_DocId>
    <_dlc_DocIdUrl xmlns="1a33af13-4045-4f88-9d7b-618e30f79918">
      <Url>http://dm/eesc/2025/_layouts/15/DocIdRedir.aspx?ID=A6WAAD5KZT2Q-1415362569-8718</Url>
      <Description>A6WAAD5KZT2Q-1415362569-8718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RISE</TermName>
          <TermId xmlns="http://schemas.microsoft.com/office/infopath/2007/PartnerControls">e90d3dc9-efa2-4aa3-a057-89e12bda16a3</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2026-06-08T12:00:00+00:00</ProductionDate>
    <DocumentNumber xmlns="03db1768-8e83-4c4e-a8fb-1eb1d05ab6cf">4323</DocumentNumber>
    <FicheYear xmlns="1a33af13-4045-4f88-9d7b-618e30f79918" xsi:nil="true"/>
    <DossierNumber xmlns="1a33af13-4045-4f88-9d7b-618e30f79918">691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2026-06-17T12:00:00+00:00</MeetingDate>
    <TaxCatchAll xmlns="1a33af13-4045-4f88-9d7b-618e30f79918">
      <Value>67</Value>
      <Value>23</Value>
      <Value>50</Value>
      <Value>47</Value>
      <Value>46</Value>
      <Value>43</Value>
      <Value>42</Value>
      <Value>41</Value>
      <Value>40</Value>
      <Value>39</Value>
      <Value>37</Value>
      <Value>36</Value>
      <Value>35</Value>
      <Value>34</Value>
      <Value>33</Value>
      <Value>32</Value>
      <Value>31</Value>
      <Value>30</Value>
      <Value>29</Value>
      <Value>28</Value>
      <Value>27</Value>
      <Value>24</Value>
      <Value>201</Value>
      <Value>16</Value>
      <Value>15</Value>
      <Value>103</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Rapporteur xmlns="1a33af13-4045-4f88-9d7b-618e30f79918">LOBO XAVIER &amp; MONE &amp; JAHIER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297887</FicheNumber>
    <OriginalSender xmlns="1a33af13-4045-4f88-9d7b-618e30f79918">
      <UserInfo>
        <DisplayName>Rota Silvia</DisplayName>
        <AccountId>1557</AccountId>
        <AccountType/>
      </UserInfo>
    </OriginalSender>
    <DocumentPart xmlns="1a33af13-4045-4f88-9d7b-618e30f79918">0</DocumentPart>
    <AdoptionDate xmlns="1a33af13-4045-4f88-9d7b-618e30f79918" xsi:nil="true"/>
    <RequestingService xmlns="1a33af13-4045-4f88-9d7b-618e30f79918">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7207E-FDCB-45A4-9568-582E795A2FA4}">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03db1768-8e83-4c4e-a8fb-1eb1d05ab6cf"/>
  </ds:schemaRefs>
</ds:datastoreItem>
</file>

<file path=customXml/itemProps2.xml><?xml version="1.0" encoding="utf-8"?>
<ds:datastoreItem xmlns:ds="http://schemas.openxmlformats.org/officeDocument/2006/customXml" ds:itemID="{1124949D-427A-4A78-B7BF-91CF29FCE200}">
  <ds:schemaRefs>
    <ds:schemaRef ds:uri="http://schemas.microsoft.com/sharepoint/v3/contenttype/forms"/>
  </ds:schemaRefs>
</ds:datastoreItem>
</file>

<file path=customXml/itemProps3.xml><?xml version="1.0" encoding="utf-8"?>
<ds:datastoreItem xmlns:ds="http://schemas.openxmlformats.org/officeDocument/2006/customXml" ds:itemID="{B7F538FD-8495-43C3-A451-5DB46B6A71FB}">
  <ds:schemaRefs>
    <ds:schemaRef ds:uri="http://schemas.microsoft.com/sharepoint/events"/>
  </ds:schemaRefs>
</ds:datastoreItem>
</file>

<file path=customXml/itemProps4.xml><?xml version="1.0" encoding="utf-8"?>
<ds:datastoreItem xmlns:ds="http://schemas.openxmlformats.org/officeDocument/2006/customXml" ds:itemID="{646A0E72-C038-4136-8F95-79A01EDDDFCE}"/>
</file>

<file path=docProps/app.xml><?xml version="1.0" encoding="utf-8"?>
<Properties xmlns="http://schemas.openxmlformats.org/officeDocument/2006/extended-properties" xmlns:vt="http://schemas.openxmlformats.org/officeDocument/2006/docPropsVTypes">
  <Template>Normal.dotm</Template>
  <TotalTime>0</TotalTime>
  <Pages>14</Pages>
  <Words>5387</Words>
  <Characters>30706</Characters>
  <Application>Microsoft Office Word</Application>
  <DocSecurity>0</DocSecurity>
  <Lines>255</Lines>
  <Paragraphs>72</Paragraphs>
  <ScaleCrop>false</ScaleCrop>
  <HeadingPairs>
    <vt:vector size="8" baseType="variant">
      <vt:variant>
        <vt:lpstr>Title</vt:lpstr>
      </vt:variant>
      <vt:variant>
        <vt:i4>1</vt:i4>
      </vt:variant>
      <vt:variant>
        <vt:lpstr>Título</vt:lpstr>
      </vt:variant>
      <vt:variant>
        <vt:i4>1</vt:i4>
      </vt:variant>
      <vt:variant>
        <vt:lpstr>Titolo</vt:lpstr>
      </vt:variant>
      <vt:variant>
        <vt:i4>1</vt:i4>
      </vt:variant>
      <vt:variant>
        <vt:lpstr>Titlu</vt:lpstr>
      </vt:variant>
      <vt:variant>
        <vt:i4>1</vt:i4>
      </vt:variant>
    </vt:vector>
  </HeadingPairs>
  <TitlesOfParts>
    <vt:vector size="4" baseType="lpstr">
      <vt:lpstr>National reform and investment proposals and their implementation: 2025-2026 European Semester cycle</vt:lpstr>
      <vt:lpstr>EESC APRI - Model</vt:lpstr>
      <vt:lpstr>EESC APRI - Model</vt:lpstr>
      <vt:lpstr>European Agenda on Migration: Second implementation package - A permanent crisis relocation mechanism under the Dublin system</vt:lpstr>
    </vt:vector>
  </TitlesOfParts>
  <Manager/>
  <Company/>
  <LinksUpToDate>false</LinksUpToDate>
  <CharactersWithSpaces>36021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proposte di riforma e investimento degli Stati membri e la loro attuazione: ciclo del semestre europeo 2025-2026</dc:title>
  <dc:subject>Draft information report</dc:subject>
  <dc:creator/>
  <cp:keywords>EESC-2025-04323-00-00-PRI-TRA-EN</cp:keywords>
  <dc:description>Rapporteur: - LOBO XAVIER &amp; MONE &amp; JAHIER Original language: - EN Date of document: - 19/05/2026 Date of meeting: - 04/06/2026 External documents: -  Administrator responsible: -  GREGOIRE COLOMBE</dc:description>
  <cp:lastModifiedBy/>
  <cp:revision>24</cp:revision>
  <cp:lastPrinted>2016-01-26T08:31:00Z</cp:lastPrinted>
  <dcterms:created xsi:type="dcterms:W3CDTF">2026-06-08T07:31:00Z</dcterms:created>
  <dcterms:modified xsi:type="dcterms:W3CDTF">2026-06-08T07:59:00Z</dcterms:modified>
  <cp:category>ECO/691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05/06/2026, 19/05/2026, 22/04/2026, 26/02/2025, 12/04/2024, 17/05/2022, 04/11/2015, 27/10/2015, 19/10/2015, 09/10/2015, 05/10/2015, 05/10/2015, 26/08/2015, 26/08/2015, 25/08/2015</vt:lpwstr>
  </property>
  <property fmtid="{D5CDD505-2E9C-101B-9397-08002B2CF9AE}" pid="4" name="Pref_Time">
    <vt:lpwstr>11:46:56, 13:42:21, 09:24:14, 11:27:19, 12:09:36, 12:15:48, 12:10:07, 14:44:02, 16:04:16, 14:09:30, 16:24:55, 16:04:02, 08:56:14, 07:27:56, 17:31:53</vt:lpwstr>
  </property>
  <property fmtid="{D5CDD505-2E9C-101B-9397-08002B2CF9AE}" pid="5" name="Pref_User">
    <vt:lpwstr>amett, jhvi, pacup, enied, enied, enied, ssex, enied, amett, tvoc, mreg, mreg, amett, enied, ssex</vt:lpwstr>
  </property>
  <property fmtid="{D5CDD505-2E9C-101B-9397-08002B2CF9AE}" pid="6" name="Pref_FileName">
    <vt:lpwstr>EESC-2025-04323-00-00-RISE-TRA-EN-CRR.docx, EESC-2025-04323-00-00-PRI-ORI.docx, EESC-2025-04323-00-00-APRI-ORI.docx, EESC-2024-03288-00-00-APRI-ORI.docx, COR-EESC-2024-01326-24-00-ADMIN-ORI.docx, COR-EESC-2022-02575-00-00-ADMIN-ORI.docx, EESC-2015-05408-0</vt:lpwstr>
  </property>
  <property fmtid="{D5CDD505-2E9C-101B-9397-08002B2CF9AE}" pid="7" name="ContentTypeId">
    <vt:lpwstr>0x010100EA97B91038054C99906057A708A1480A007FAFB00F4882C04A82CD69E07FC3C83E</vt:lpwstr>
  </property>
  <property fmtid="{D5CDD505-2E9C-101B-9397-08002B2CF9AE}" pid="8" name="_dlc_DocIdItemGuid">
    <vt:lpwstr>b2c60951-6b80-43c7-950a-84c6a93d0211</vt:lpwstr>
  </property>
  <property fmtid="{D5CDD505-2E9C-101B-9397-08002B2CF9AE}" pid="9" name="AvailableTranslations">
    <vt:lpwstr>50;#HR|2f555653-ed1a-4fe6-8362-9082d95989e5;#31;#SL|98a412ae-eb01-49e9-ae3d-585a81724cfc;#41;#ET|ff6c3f4c-b02c-4c3c-ab07-2c37995a7a0a;#16;#ES|e7a6b05b-ae16-40c8-add9-68b64b03aeba;#24;#PL|1e03da61-4678-4e07-b136-b5024ca9197b;#39;#LV|46f7e311-5d9f-4663-b433-18aeccb7ace7;#40;#DA|5d49c027-8956-412b-aa16-e85a0f96ad0e;#32;#MT|7df99101-6854-4a26-b53a-b88c0da02c26;#46;#SK|46d9fce0-ef79-4f71-b89b-cd6aa82426b8;#12;#FR|d2afafd3-4c81-4f60-8f52-ee33f2f54ff3;#42;#EL|6d4f4d51-af9b-4650-94b4-4276bee85c91;#37;#HU|6b229040-c589-4408-b4c1-4285663d20a8;#27;#NL|55c6556c-b4f4-441d-9acf-c498d4f838bd;#5;#EN|f2175f21-25d7-44a3-96da-d6a61b075e1b;#43;#GA|762d2456-c427-4ecb-b312-af3dad8e258c;#30;#LT|a7ff5ce7-6123-4f68-865a-a57c31810414;#34;#IT|0774613c-01ed-4e5d-a25d-11d2388de825;#33;#PT|50ccc04a-eadd-42ae-a0cb-acaf45f812ba;#47;#BG|1a1b3951-7821-4e6a-85f5-5673fc08bd2c;#29;#CS|72f9705b-0217-4fd3-bea2-cbc7ed80e26e;#23;#DE|f6b31e5a-26fa-4935-b661-318e46daf27e;#28;#SV|c2ed69e7-a339-43d7-8f22-d93680a92aa0;#36;#RO|feb747a2-64cd-4299-af12-4833ddc30497;#35;#FI|87606a43-d45f-42d6-b8c9-e1a3457db5b7</vt:lpwstr>
  </property>
  <property fmtid="{D5CDD505-2E9C-101B-9397-08002B2CF9AE}" pid="10" name="DocumentType_0">
    <vt:lpwstr>RISE|e90d3dc9-efa2-4aa3-a057-89e12bda16a3</vt:lpwstr>
  </property>
  <property fmtid="{D5CDD505-2E9C-101B-9397-08002B2CF9AE}" pid="11" name="MeetingNumber">
    <vt:i4>606</vt:i4>
  </property>
  <property fmtid="{D5CDD505-2E9C-101B-9397-08002B2CF9AE}" pid="12" name="DossierName_0">
    <vt:lpwstr>ECO|8df351f5-c957-404c-8cf3-8ffb22c9cba2</vt:lpwstr>
  </property>
  <property fmtid="{D5CDD505-2E9C-101B-9397-08002B2CF9AE}" pid="13" name="DocumentSource_0">
    <vt:lpwstr>EESC|422833ec-8d7e-4e65-8e4e-8bed07ffb729</vt:lpwstr>
  </property>
  <property fmtid="{D5CDD505-2E9C-101B-9397-08002B2CF9AE}" pid="14" name="DocumentNumber">
    <vt:i4>4323</vt:i4>
  </property>
  <property fmtid="{D5CDD505-2E9C-101B-9397-08002B2CF9AE}" pid="15" name="FicheYear">
    <vt:i4>2025</vt:i4>
  </property>
  <property fmtid="{D5CDD505-2E9C-101B-9397-08002B2CF9AE}" pid="16" name="DocumentVersion">
    <vt:i4>0</vt:i4>
  </property>
  <property fmtid="{D5CDD505-2E9C-101B-9397-08002B2CF9AE}" pid="17" name="DossierNumber">
    <vt:i4>691</vt:i4>
  </property>
  <property fmtid="{D5CDD505-2E9C-101B-9397-08002B2CF9AE}" pid="18" name="DocumentStatus">
    <vt:lpwstr>13;#TRA|150d2a88-1431-44e6-a8ca-0bb753ab8672</vt:lpwstr>
  </property>
  <property fmtid="{D5CDD505-2E9C-101B-9397-08002B2CF9AE}" pid="19" name="DossierName">
    <vt:lpwstr>103;#ECO|8df351f5-c957-404c-8cf3-8ffb22c9cba2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15;#Unrestricted|826e22d7-d029-4ec0-a450-0c28ff673572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67;#SPL-CES|32d8cb1f-c9ec-4365-95c7-8385a18618ac</vt:lpwstr>
  </property>
  <property fmtid="{D5CDD505-2E9C-101B-9397-08002B2CF9AE}" pid="26" name="MeetingDate">
    <vt:filetime>2026-06-17T12:00:00Z</vt:filetime>
  </property>
  <property fmtid="{D5CDD505-2E9C-101B-9397-08002B2CF9AE}" pid="27" name="AvailableTranslations_0">
    <vt:lpwstr>HR|2f555653-ed1a-4fe6-8362-9082d95989e5;SL|98a412ae-eb01-49e9-ae3d-585a81724cfc;ES|e7a6b05b-ae16-40c8-add9-68b64b03aeba;HU|6b229040-c589-4408-b4c1-4285663d20a8;EN|f2175f21-25d7-44a3-96da-d6a61b075e1b;LT|a7ff5ce7-6123-4f68-865a-a57c31810414;CS|72f9705b-0217-4fd3-bea2-cbc7ed80e26e;DE|f6b31e5a-26fa-4935-b661-318e46daf27e;SV|c2ed69e7-a339-43d7-8f22-d93680a92aa0;FI|87606a43-d45f-42d6-b8c9-e1a3457db5b7</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35;#FI|87606a43-d45f-42d6-b8c9-e1a3457db5b7;#31;#SL|98a412ae-eb01-49e9-ae3d-585a81724cfc;#67;#SPL-CES|32d8cb1f-c9ec-4365-95c7-8385a18618ac;#103;#ECO|8df351f5-c957-404c-8cf3-8ffb22c9cba2;#28;#SV|c2ed69e7-a339-43d7-8f22-d93680a92aa0;#23;#DE|f6b31e5a-26fa-4935-b661-318e46daf27e;#16;#ES|e7a6b05b-ae16-40c8-add9-68b64b03aeba;#15;#Unrestricted|826e22d7-d029-4ec0-a450-0c28ff673572;#50;#HR|2f555653-ed1a-4fe6-8362-9082d95989e5;#13;#TRA|150d2a88-1431-44e6-a8ca-0bb753ab8672;#201;#RISE|e90d3dc9-efa2-4aa3-a057-89e12bda16a3;#8;#Final|ea5e6674-7b27-4bac-b091-73adbb394efe;#30;#LT|a7ff5ce7-6123-4f68-865a-a57c31810414;#29;#CS|72f9705b-0217-4fd3-bea2-cbc7ed80e26e;#5;#EN|f2175f21-25d7-44a3-96da-d6a61b075e1b;#1;#EESC|422833ec-8d7e-4e65-8e4e-8bed07ffb729;#37;#HU|6b229040-c589-4408-b4c1-4285663d20a8</vt:lpwstr>
  </property>
  <property fmtid="{D5CDD505-2E9C-101B-9397-08002B2CF9AE}" pid="31" name="Rapporteur">
    <vt:lpwstr>LOBO XAVIER &amp; MONE &amp; JAHIER</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297887</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201;#RISE|e90d3dc9-efa2-4aa3-a057-89e12bda16a3</vt:lpwstr>
  </property>
  <property fmtid="{D5CDD505-2E9C-101B-9397-08002B2CF9AE}" pid="39" name="DocumentLanguage">
    <vt:lpwstr>34;#IT|0774613c-01ed-4e5d-a25d-11d2388de825</vt:lpwstr>
  </property>
  <property fmtid="{D5CDD505-2E9C-101B-9397-08002B2CF9AE}" pid="40" name="_docset_NoMedatataSyncRequired">
    <vt:lpwstr>False</vt:lpwstr>
  </property>
  <property fmtid="{D5CDD505-2E9C-101B-9397-08002B2CF9AE}" pid="41" name="DocumentLanguage_0">
    <vt:lpwstr>EN|f2175f21-25d7-44a3-96da-d6a61b075e1b</vt:lpwstr>
  </property>
</Properties>
</file>