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547F" w14:textId="1C1C1FAA" w:rsidR="00646AC2" w:rsidRPr="00BF727A" w:rsidRDefault="00200CA5" w:rsidP="003216CC">
      <w:pPr>
        <w:overflowPunct/>
        <w:adjustRightInd/>
        <w:jc w:val="center"/>
        <w:textAlignment w:val="auto"/>
        <w:rPr>
          <w:szCs w:val="22"/>
        </w:rPr>
      </w:pPr>
      <w:r>
        <w:rPr>
          <w:noProof/>
        </w:rPr>
        <w:drawing>
          <wp:inline distT="0" distB="0" distL="0" distR="0" wp14:anchorId="197EC39A" wp14:editId="072E73C6">
            <wp:extent cx="1792605" cy="1239520"/>
            <wp:effectExtent l="0" t="0" r="0" b="0"/>
            <wp:docPr id="3" name="Picture 3" title="EESCLogo_HR"/>
            <wp:cNvGraphicFramePr/>
            <a:graphic xmlns:a="http://schemas.openxmlformats.org/drawingml/2006/main">
              <a:graphicData uri="http://schemas.openxmlformats.org/drawingml/2006/picture">
                <pic:pic xmlns:pic="http://schemas.openxmlformats.org/drawingml/2006/picture">
                  <pic:nvPicPr>
                    <pic:cNvPr id="3" name="Picture 3" title="EESCLogo_HR"/>
                    <pic:cNvPicPr/>
                  </pic:nvPicPr>
                  <pic:blipFill>
                    <a:blip r:embed="rId11"/>
                    <a:stretch>
                      <a:fillRect/>
                    </a:stretch>
                  </pic:blipFill>
                  <pic:spPr>
                    <a:xfrm>
                      <a:off x="0" y="0"/>
                      <a:ext cx="1792605" cy="1239520"/>
                    </a:xfrm>
                    <a:prstGeom prst="rect">
                      <a:avLst/>
                    </a:prstGeom>
                  </pic:spPr>
                </pic:pic>
              </a:graphicData>
            </a:graphic>
          </wp:inline>
        </w:drawing>
      </w:r>
      <w:r w:rsidR="0073318F">
        <w:rPr>
          <w:noProof/>
        </w:rPr>
        <mc:AlternateContent>
          <mc:Choice Requires="wps">
            <w:drawing>
              <wp:anchor distT="0" distB="0" distL="114300" distR="114300" simplePos="0" relativeHeight="251657728" behindDoc="1" locked="0" layoutInCell="0" allowOverlap="1" wp14:anchorId="729ADD32" wp14:editId="7DF78117">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14:paraId="79610E7F" w14:textId="77777777" w:rsidR="00DB53C1" w:rsidRPr="00260E65" w:rsidRDefault="00DB53C1">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DD32"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Ed7XifxAQAAxQMAAA4AAAAAAAAAAAAAAAAALgIAAGRycy9l&#10;Mm9Eb2MueG1sUEsBAi0AFAAGAAgAAAAhAOtUMVreAAAADwEAAA8AAAAAAAAAAAAAAAAASwQAAGRy&#10;cy9kb3ducmV2LnhtbFBLBQYAAAAABAAEAPMAAABWBQAAAAA=&#10;" o:allowincell="f" filled="f" stroked="f">
                <v:textbox>
                  <w:txbxContent>
                    <w:p w14:paraId="79610E7F" w14:textId="77777777" w:rsidR="00DB53C1" w:rsidRPr="00260E65" w:rsidRDefault="00DB53C1">
                      <w:pPr>
                        <w:jc w:val="center"/>
                        <w:rPr>
                          <w:rFonts w:ascii="Arial" w:hAnsi="Arial" w:cs="Arial"/>
                          <w:b/>
                          <w:bCs/>
                          <w:sz w:val="48"/>
                        </w:rPr>
                      </w:pPr>
                      <w:r>
                        <w:rPr>
                          <w:rFonts w:ascii="Arial" w:hAnsi="Arial"/>
                          <w:b/>
                          <w:sz w:val="48"/>
                        </w:rPr>
                        <w:t>HR</w:t>
                      </w:r>
                    </w:p>
                  </w:txbxContent>
                </v:textbox>
                <w10:wrap anchorx="page" anchory="page"/>
              </v:shape>
            </w:pict>
          </mc:Fallback>
        </mc:AlternateContent>
      </w:r>
    </w:p>
    <w:p w14:paraId="2F2F423C" w14:textId="77777777" w:rsidR="003E0EB4" w:rsidRPr="00BF727A" w:rsidRDefault="003E0EB4" w:rsidP="003216CC">
      <w:pPr>
        <w:overflowPunct/>
        <w:adjustRightInd/>
        <w:jc w:val="left"/>
        <w:textAlignment w:val="auto"/>
        <w:rPr>
          <w:szCs w:val="22"/>
        </w:rPr>
      </w:pPr>
    </w:p>
    <w:p w14:paraId="430CD72E" w14:textId="078BAB7F" w:rsidR="00646AC2" w:rsidRPr="00BF727A" w:rsidRDefault="00306551" w:rsidP="003216CC">
      <w:pPr>
        <w:overflowPunct/>
        <w:adjustRightInd/>
        <w:jc w:val="right"/>
        <w:textAlignment w:val="auto"/>
        <w:rPr>
          <w:b/>
          <w:szCs w:val="22"/>
        </w:rPr>
      </w:pPr>
      <w:r>
        <w:rPr>
          <w:b/>
        </w:rPr>
        <w:t>ECO/691</w:t>
      </w:r>
    </w:p>
    <w:p w14:paraId="69A218C3" w14:textId="7802B5CA" w:rsidR="001960C6" w:rsidRPr="00BF727A" w:rsidRDefault="00306551" w:rsidP="003216CC">
      <w:pPr>
        <w:overflowPunct/>
        <w:adjustRightInd/>
        <w:jc w:val="right"/>
        <w:textAlignment w:val="auto"/>
        <w:rPr>
          <w:szCs w:val="22"/>
        </w:rPr>
      </w:pPr>
      <w:r>
        <w:rPr>
          <w:b/>
        </w:rPr>
        <w:t>Prijedlozi za nacionalne reforme i ulaganja i njihova provedba</w:t>
      </w:r>
      <w:r w:rsidR="00FC4C1D">
        <w:rPr>
          <w:b/>
        </w:rPr>
        <w:br/>
      </w:r>
      <w:r>
        <w:rPr>
          <w:b/>
        </w:rPr>
        <w:t>u okviru ciklusa europskog semestra 2025. – 2026.</w:t>
      </w:r>
    </w:p>
    <w:p w14:paraId="0A9CDACB" w14:textId="77777777" w:rsidR="009B30AA" w:rsidRPr="00BF727A" w:rsidRDefault="009B30AA" w:rsidP="003216CC">
      <w:pPr>
        <w:overflowPunct/>
        <w:adjustRightInd/>
        <w:textAlignment w:val="auto"/>
        <w:rPr>
          <w:szCs w:val="22"/>
        </w:rPr>
      </w:pPr>
    </w:p>
    <w:p w14:paraId="3E824B14" w14:textId="77777777" w:rsidR="009B30AA" w:rsidRPr="00BF727A" w:rsidRDefault="009B30AA" w:rsidP="003216CC">
      <w:pPr>
        <w:overflowPunct/>
        <w:adjustRightInd/>
        <w:textAlignment w:val="auto"/>
        <w:rPr>
          <w:szCs w:val="22"/>
        </w:rPr>
      </w:pPr>
    </w:p>
    <w:p w14:paraId="278713FC" w14:textId="0A469A4A" w:rsidR="00357217" w:rsidRPr="00BF727A" w:rsidRDefault="008709FB" w:rsidP="003216CC">
      <w:pPr>
        <w:overflowPunct/>
        <w:adjustRightInd/>
        <w:jc w:val="center"/>
        <w:textAlignment w:val="auto"/>
        <w:rPr>
          <w:b/>
          <w:szCs w:val="22"/>
        </w:rPr>
      </w:pPr>
      <w:r>
        <w:rPr>
          <w:b/>
          <w:sz w:val="28"/>
        </w:rPr>
        <w:t>INFORMATIVNO IZVJEŠĆE</w:t>
      </w:r>
    </w:p>
    <w:p w14:paraId="04167C99" w14:textId="77777777" w:rsidR="00357217" w:rsidRPr="00BF727A" w:rsidRDefault="00357217" w:rsidP="003216CC">
      <w:pPr>
        <w:overflowPunct/>
        <w:adjustRightInd/>
        <w:jc w:val="center"/>
        <w:textAlignment w:val="auto"/>
        <w:rPr>
          <w:b/>
          <w:szCs w:val="22"/>
        </w:rPr>
      </w:pPr>
    </w:p>
    <w:p w14:paraId="6DB6A916" w14:textId="77777777" w:rsidR="00357217" w:rsidRPr="00BF727A" w:rsidRDefault="00306551" w:rsidP="003216CC">
      <w:pPr>
        <w:overflowPunct/>
        <w:adjustRightInd/>
        <w:jc w:val="center"/>
        <w:textAlignment w:val="auto"/>
        <w:rPr>
          <w:szCs w:val="22"/>
        </w:rPr>
      </w:pPr>
      <w:r>
        <w:t>Stručna skupina za ekonomsku i monetarnu uniju te ekonomsku i socijalnu koheziju</w:t>
      </w:r>
    </w:p>
    <w:p w14:paraId="138190FA" w14:textId="77777777" w:rsidR="00357217" w:rsidRPr="00BF727A" w:rsidRDefault="00357217" w:rsidP="003216CC">
      <w:pPr>
        <w:overflowPunct/>
        <w:adjustRightInd/>
        <w:jc w:val="center"/>
        <w:textAlignment w:val="auto"/>
        <w:rPr>
          <w:b/>
          <w:szCs w:val="22"/>
        </w:rPr>
      </w:pPr>
    </w:p>
    <w:p w14:paraId="5A859A04" w14:textId="1DA719C0" w:rsidR="00357217" w:rsidRPr="00BF727A" w:rsidRDefault="00A51541" w:rsidP="003216CC">
      <w:pPr>
        <w:overflowPunct/>
        <w:adjustRightInd/>
        <w:jc w:val="center"/>
        <w:textAlignment w:val="auto"/>
        <w:rPr>
          <w:b/>
          <w:szCs w:val="22"/>
        </w:rPr>
      </w:pPr>
      <w:r>
        <w:rPr>
          <w:b/>
        </w:rPr>
        <w:t>Stajalište organiziranog civilnog društva u državama članicama EU-a o prijedlozima za nacionalne reforme i ulaganja i njihovoj provedbi (ciklus europskog semestra 2025. – 2025.)</w:t>
      </w:r>
    </w:p>
    <w:p w14:paraId="52727447" w14:textId="77777777" w:rsidR="009B30AA" w:rsidRPr="00BF727A" w:rsidRDefault="009B30AA" w:rsidP="003216CC">
      <w:pPr>
        <w:overflowPunct/>
        <w:adjustRightInd/>
        <w:jc w:val="center"/>
        <w:textAlignment w:val="auto"/>
        <w:rPr>
          <w:szCs w:val="22"/>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D44B2B" w:rsidRPr="00BF727A" w14:paraId="329C3F91" w14:textId="77777777" w:rsidTr="00DA02D5">
        <w:tc>
          <w:tcPr>
            <w:tcW w:w="3085" w:type="dxa"/>
          </w:tcPr>
          <w:p w14:paraId="7EA71BF0" w14:textId="3B052E84" w:rsidR="00D44B2B" w:rsidRPr="00BF727A" w:rsidRDefault="00D44B2B" w:rsidP="003216CC">
            <w:pPr>
              <w:overflowPunct/>
              <w:adjustRightInd/>
              <w:jc w:val="left"/>
              <w:textAlignment w:val="auto"/>
              <w:rPr>
                <w:szCs w:val="22"/>
              </w:rPr>
            </w:pPr>
            <w:r>
              <w:t>Kontakt:</w:t>
            </w:r>
          </w:p>
        </w:tc>
        <w:tc>
          <w:tcPr>
            <w:tcW w:w="6204" w:type="dxa"/>
          </w:tcPr>
          <w:p w14:paraId="6BE7B1C8" w14:textId="6E2974E1" w:rsidR="00D44B2B" w:rsidRPr="00BF727A" w:rsidRDefault="007D53E1" w:rsidP="003216CC">
            <w:pPr>
              <w:overflowPunct/>
              <w:adjustRightInd/>
              <w:jc w:val="left"/>
              <w:textAlignment w:val="auto"/>
              <w:rPr>
                <w:szCs w:val="22"/>
              </w:rPr>
            </w:pPr>
            <w:hyperlink r:id="rId12" w:history="1">
              <w:r w:rsidR="00200CA5">
                <w:rPr>
                  <w:rStyle w:val="Hyperlink"/>
                </w:rPr>
                <w:t>eco@eesc.europa.eu</w:t>
              </w:r>
            </w:hyperlink>
          </w:p>
        </w:tc>
      </w:tr>
      <w:tr w:rsidR="00D44B2B" w:rsidRPr="00BF727A" w14:paraId="275E91C2" w14:textId="77777777" w:rsidTr="00DA02D5">
        <w:tc>
          <w:tcPr>
            <w:tcW w:w="3085" w:type="dxa"/>
          </w:tcPr>
          <w:p w14:paraId="2F3F6589" w14:textId="77777777" w:rsidR="00D44B2B" w:rsidRPr="00BF727A" w:rsidRDefault="00D44B2B" w:rsidP="003216CC">
            <w:pPr>
              <w:overflowPunct/>
              <w:adjustRightInd/>
              <w:jc w:val="left"/>
              <w:textAlignment w:val="auto"/>
              <w:rPr>
                <w:szCs w:val="22"/>
              </w:rPr>
            </w:pPr>
            <w:r>
              <w:t>Administrator/ica:</w:t>
            </w:r>
          </w:p>
        </w:tc>
        <w:tc>
          <w:tcPr>
            <w:tcW w:w="6204" w:type="dxa"/>
          </w:tcPr>
          <w:p w14:paraId="2E26F3AA" w14:textId="77777777" w:rsidR="00D44B2B" w:rsidRPr="00BF727A" w:rsidRDefault="00D44B2B" w:rsidP="003216CC">
            <w:pPr>
              <w:overflowPunct/>
              <w:adjustRightInd/>
              <w:jc w:val="left"/>
              <w:textAlignment w:val="auto"/>
              <w:rPr>
                <w:szCs w:val="22"/>
              </w:rPr>
            </w:pPr>
            <w:r>
              <w:t>Colombe GREGOIRE</w:t>
            </w:r>
          </w:p>
        </w:tc>
      </w:tr>
      <w:tr w:rsidR="00D44B2B" w:rsidRPr="00BF727A" w14:paraId="16BBD0BD" w14:textId="77777777" w:rsidTr="00DA02D5">
        <w:tc>
          <w:tcPr>
            <w:tcW w:w="3085" w:type="dxa"/>
          </w:tcPr>
          <w:p w14:paraId="720A8083" w14:textId="77777777" w:rsidR="00D44B2B" w:rsidRPr="00BF727A" w:rsidRDefault="00D44B2B" w:rsidP="003216CC">
            <w:pPr>
              <w:overflowPunct/>
              <w:adjustRightInd/>
              <w:jc w:val="left"/>
              <w:textAlignment w:val="auto"/>
              <w:rPr>
                <w:szCs w:val="22"/>
              </w:rPr>
            </w:pPr>
            <w:r>
              <w:t>Datum dokumenta:</w:t>
            </w:r>
          </w:p>
        </w:tc>
        <w:tc>
          <w:tcPr>
            <w:tcW w:w="6204" w:type="dxa"/>
          </w:tcPr>
          <w:p w14:paraId="17F114E8" w14:textId="57E3FD32" w:rsidR="00D44B2B" w:rsidRPr="00BF727A" w:rsidRDefault="003216CC" w:rsidP="003216CC">
            <w:pPr>
              <w:overflowPunct/>
              <w:adjustRightInd/>
              <w:jc w:val="left"/>
              <w:textAlignment w:val="auto"/>
              <w:rPr>
                <w:szCs w:val="22"/>
              </w:rPr>
            </w:pPr>
            <w:r>
              <w:t>9/6/2026</w:t>
            </w:r>
          </w:p>
        </w:tc>
      </w:tr>
    </w:tbl>
    <w:p w14:paraId="3E43AEF0" w14:textId="44684F07" w:rsidR="00306551" w:rsidRPr="00BF727A" w:rsidRDefault="007F5E0D" w:rsidP="003216CC">
      <w:pPr>
        <w:tabs>
          <w:tab w:val="center" w:pos="4536"/>
          <w:tab w:val="left" w:pos="6795"/>
        </w:tabs>
        <w:overflowPunct/>
        <w:adjustRightInd/>
        <w:jc w:val="center"/>
        <w:textAlignment w:val="auto"/>
        <w:rPr>
          <w:b/>
          <w:szCs w:val="22"/>
        </w:rPr>
      </w:pPr>
      <w:r>
        <w:t xml:space="preserve">Izvjestitelji: </w:t>
      </w:r>
      <w:r>
        <w:rPr>
          <w:b/>
        </w:rPr>
        <w:t>Gonçalo LOBO XAVIER</w:t>
      </w:r>
    </w:p>
    <w:p w14:paraId="459B0394" w14:textId="7AD373E1" w:rsidR="00306551" w:rsidRPr="00BF727A" w:rsidRDefault="00761545" w:rsidP="003216CC">
      <w:pPr>
        <w:overflowPunct/>
        <w:adjustRightInd/>
        <w:jc w:val="center"/>
        <w:textAlignment w:val="auto"/>
        <w:rPr>
          <w:b/>
          <w:szCs w:val="22"/>
        </w:rPr>
      </w:pPr>
      <w:r>
        <w:rPr>
          <w:b/>
        </w:rPr>
        <w:t>Andrea MONE</w:t>
      </w:r>
    </w:p>
    <w:p w14:paraId="66E52F29" w14:textId="77777777" w:rsidR="00704FBB" w:rsidRPr="00BF727A" w:rsidRDefault="00306551" w:rsidP="003216CC">
      <w:pPr>
        <w:overflowPunct/>
        <w:adjustRightInd/>
        <w:jc w:val="center"/>
        <w:textAlignment w:val="auto"/>
        <w:rPr>
          <w:szCs w:val="22"/>
        </w:rPr>
      </w:pPr>
      <w:r>
        <w:rPr>
          <w:b/>
        </w:rPr>
        <w:t>Luca JAHIER</w:t>
      </w:r>
    </w:p>
    <w:p w14:paraId="014F3567" w14:textId="77777777" w:rsidR="002C29E6" w:rsidRPr="00BF727A" w:rsidRDefault="002C29E6" w:rsidP="003216CC">
      <w:pPr>
        <w:overflowPunct/>
        <w:adjustRightInd/>
        <w:jc w:val="center"/>
        <w:textAlignment w:val="auto"/>
        <w:rPr>
          <w:szCs w:val="22"/>
        </w:rPr>
      </w:pPr>
    </w:p>
    <w:p w14:paraId="56C06D69" w14:textId="77777777" w:rsidR="00704FBB" w:rsidRPr="00BF727A" w:rsidRDefault="00704FBB" w:rsidP="003216CC">
      <w:pPr>
        <w:overflowPunct/>
        <w:adjustRightInd/>
        <w:jc w:val="left"/>
        <w:textAlignment w:val="auto"/>
        <w:rPr>
          <w:szCs w:val="22"/>
        </w:rPr>
      </w:pPr>
    </w:p>
    <w:p w14:paraId="2F322971" w14:textId="77777777" w:rsidR="00646AC2" w:rsidRPr="00BF727A" w:rsidRDefault="00646AC2" w:rsidP="003216CC">
      <w:pPr>
        <w:overflowPunct/>
        <w:adjustRightInd/>
        <w:textAlignment w:val="auto"/>
        <w:rPr>
          <w:szCs w:val="22"/>
        </w:rPr>
      </w:pPr>
    </w:p>
    <w:p w14:paraId="326CA041" w14:textId="77777777" w:rsidR="00646AC2" w:rsidRPr="00BF727A" w:rsidRDefault="00646AC2" w:rsidP="003216CC">
      <w:pPr>
        <w:overflowPunct/>
        <w:adjustRightInd/>
        <w:textAlignment w:val="auto"/>
        <w:rPr>
          <w:szCs w:val="22"/>
        </w:rPr>
        <w:sectPr w:rsidR="00646AC2" w:rsidRPr="00BF727A" w:rsidSect="003216C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3B363C" w:rsidRPr="003216CC" w14:paraId="556F1F29" w14:textId="77777777" w:rsidTr="00DA02D5">
        <w:trPr>
          <w:trHeight w:val="250"/>
        </w:trPr>
        <w:tc>
          <w:tcPr>
            <w:tcW w:w="3055" w:type="dxa"/>
          </w:tcPr>
          <w:p w14:paraId="4D371C23" w14:textId="397C74B4" w:rsidR="00CB5880" w:rsidRPr="00BF727A" w:rsidRDefault="00CB5880" w:rsidP="003216CC">
            <w:pPr>
              <w:overflowPunct/>
              <w:adjustRightInd/>
              <w:jc w:val="left"/>
              <w:textAlignment w:val="auto"/>
              <w:rPr>
                <w:szCs w:val="22"/>
              </w:rPr>
            </w:pPr>
            <w:r>
              <w:lastRenderedPageBreak/>
              <w:t>Savjetnici:</w:t>
            </w:r>
          </w:p>
        </w:tc>
        <w:tc>
          <w:tcPr>
            <w:tcW w:w="6018" w:type="dxa"/>
          </w:tcPr>
          <w:p w14:paraId="045835AB" w14:textId="6AA79793" w:rsidR="00CB5880" w:rsidRPr="00A74EAF" w:rsidRDefault="00167F6A" w:rsidP="003216CC">
            <w:pPr>
              <w:overflowPunct/>
              <w:adjustRightInd/>
              <w:jc w:val="left"/>
              <w:textAlignment w:val="auto"/>
              <w:rPr>
                <w:szCs w:val="22"/>
              </w:rPr>
            </w:pPr>
            <w:r>
              <w:t>Anna COLOMBO (za izvjestitelja Lucu JAHIERA)</w:t>
            </w:r>
          </w:p>
          <w:p w14:paraId="563F4CB8" w14:textId="3A6ECD07" w:rsidR="00167F6A" w:rsidRPr="00D57DC2" w:rsidRDefault="00167F6A" w:rsidP="003216CC">
            <w:pPr>
              <w:overflowPunct/>
              <w:adjustRightInd/>
              <w:jc w:val="left"/>
              <w:textAlignment w:val="auto"/>
              <w:rPr>
                <w:szCs w:val="22"/>
              </w:rPr>
            </w:pPr>
            <w:r>
              <w:t>Marco CILENTO (za izvjestitelja Andreu MONEA)</w:t>
            </w:r>
          </w:p>
        </w:tc>
      </w:tr>
      <w:tr w:rsidR="003B363C" w:rsidRPr="003216CC" w14:paraId="79CC1BD8" w14:textId="77777777" w:rsidTr="00DA02D5">
        <w:trPr>
          <w:trHeight w:val="250"/>
        </w:trPr>
        <w:tc>
          <w:tcPr>
            <w:tcW w:w="3055" w:type="dxa"/>
          </w:tcPr>
          <w:p w14:paraId="230B4C73" w14:textId="77777777" w:rsidR="00CB5880" w:rsidRPr="00D57DC2" w:rsidRDefault="00CB5880" w:rsidP="003216CC">
            <w:pPr>
              <w:overflowPunct/>
              <w:adjustRightInd/>
              <w:jc w:val="left"/>
              <w:textAlignment w:val="auto"/>
              <w:rPr>
                <w:szCs w:val="22"/>
                <w:lang w:val="it-IT"/>
              </w:rPr>
            </w:pPr>
          </w:p>
        </w:tc>
        <w:tc>
          <w:tcPr>
            <w:tcW w:w="6018" w:type="dxa"/>
          </w:tcPr>
          <w:p w14:paraId="0380A87B" w14:textId="77777777" w:rsidR="00CB5880" w:rsidRPr="00D57DC2" w:rsidRDefault="00CB5880" w:rsidP="003216CC">
            <w:pPr>
              <w:overflowPunct/>
              <w:adjustRightInd/>
              <w:jc w:val="left"/>
              <w:textAlignment w:val="auto"/>
              <w:rPr>
                <w:szCs w:val="22"/>
                <w:lang w:val="it-IT"/>
              </w:rPr>
            </w:pPr>
          </w:p>
        </w:tc>
      </w:tr>
      <w:tr w:rsidR="003B363C" w:rsidRPr="00BF727A" w14:paraId="6DF81F8A" w14:textId="77777777" w:rsidTr="00DA02D5">
        <w:trPr>
          <w:trHeight w:val="250"/>
        </w:trPr>
        <w:tc>
          <w:tcPr>
            <w:tcW w:w="3055" w:type="dxa"/>
          </w:tcPr>
          <w:p w14:paraId="26553145" w14:textId="77777777" w:rsidR="002C1D46" w:rsidRPr="00BF727A" w:rsidRDefault="002C1D46" w:rsidP="003216CC">
            <w:pPr>
              <w:overflowPunct/>
              <w:adjustRightInd/>
              <w:jc w:val="left"/>
              <w:textAlignment w:val="auto"/>
              <w:rPr>
                <w:szCs w:val="22"/>
              </w:rPr>
            </w:pPr>
            <w:r>
              <w:t>Odluka Plenarne skupštine:</w:t>
            </w:r>
          </w:p>
        </w:tc>
        <w:tc>
          <w:tcPr>
            <w:tcW w:w="6018" w:type="dxa"/>
          </w:tcPr>
          <w:p w14:paraId="2D4FEB06" w14:textId="54EEE48B" w:rsidR="002C1D46" w:rsidRPr="00BF727A" w:rsidRDefault="003C48E4" w:rsidP="003216CC">
            <w:pPr>
              <w:overflowPunct/>
              <w:adjustRightInd/>
              <w:jc w:val="left"/>
              <w:textAlignment w:val="auto"/>
              <w:rPr>
                <w:szCs w:val="22"/>
              </w:rPr>
            </w:pPr>
            <w:r>
              <w:t>4/12/2025</w:t>
            </w:r>
          </w:p>
        </w:tc>
      </w:tr>
      <w:tr w:rsidR="003B363C" w:rsidRPr="00BF727A" w14:paraId="3879CFFD" w14:textId="77777777" w:rsidTr="00DA02D5">
        <w:tc>
          <w:tcPr>
            <w:tcW w:w="3055" w:type="dxa"/>
          </w:tcPr>
          <w:p w14:paraId="62DEF395" w14:textId="77777777" w:rsidR="00243E36" w:rsidRPr="00BF727A" w:rsidRDefault="00243E36" w:rsidP="003216CC">
            <w:pPr>
              <w:overflowPunct/>
              <w:adjustRightInd/>
              <w:jc w:val="left"/>
              <w:textAlignment w:val="auto"/>
              <w:rPr>
                <w:szCs w:val="22"/>
              </w:rPr>
            </w:pPr>
            <w:r>
              <w:t>Pravna osnova:</w:t>
            </w:r>
          </w:p>
        </w:tc>
        <w:tc>
          <w:tcPr>
            <w:tcW w:w="6018" w:type="dxa"/>
          </w:tcPr>
          <w:p w14:paraId="1E337E1D" w14:textId="77777777" w:rsidR="00243E36" w:rsidRPr="00BF727A" w:rsidRDefault="00755426" w:rsidP="003216CC">
            <w:pPr>
              <w:overflowPunct/>
              <w:adjustRightInd/>
              <w:jc w:val="left"/>
              <w:textAlignment w:val="auto"/>
              <w:rPr>
                <w:szCs w:val="22"/>
              </w:rPr>
            </w:pPr>
            <w:r>
              <w:t>pravilo 52. stavak 3. Poslovnika</w:t>
            </w:r>
          </w:p>
        </w:tc>
      </w:tr>
      <w:tr w:rsidR="003B363C" w:rsidRPr="00BF727A" w14:paraId="000D3830" w14:textId="77777777" w:rsidTr="00DA02D5">
        <w:tc>
          <w:tcPr>
            <w:tcW w:w="3055" w:type="dxa"/>
          </w:tcPr>
          <w:p w14:paraId="342CF241" w14:textId="77777777" w:rsidR="00DF5B64" w:rsidRPr="00BF727A" w:rsidRDefault="00AD4B4F" w:rsidP="003216CC">
            <w:pPr>
              <w:overflowPunct/>
              <w:adjustRightInd/>
              <w:jc w:val="left"/>
              <w:textAlignment w:val="auto"/>
              <w:rPr>
                <w:szCs w:val="22"/>
              </w:rPr>
            </w:pPr>
            <w:r>
              <w:t>Nadležna stručna skupina:</w:t>
            </w:r>
          </w:p>
        </w:tc>
        <w:tc>
          <w:tcPr>
            <w:tcW w:w="6018" w:type="dxa"/>
          </w:tcPr>
          <w:p w14:paraId="3B567D2F" w14:textId="77777777" w:rsidR="00DF5B64" w:rsidRPr="00BF727A" w:rsidRDefault="00F86734" w:rsidP="003216CC">
            <w:pPr>
              <w:overflowPunct/>
              <w:adjustRightInd/>
              <w:jc w:val="left"/>
              <w:textAlignment w:val="auto"/>
              <w:rPr>
                <w:szCs w:val="22"/>
              </w:rPr>
            </w:pPr>
            <w:r>
              <w:t>Stručna skupina za ekonomsku i monetarnu uniju te ekonomsku i socijalnu koheziju</w:t>
            </w:r>
          </w:p>
        </w:tc>
      </w:tr>
      <w:tr w:rsidR="003B363C" w:rsidRPr="00BF727A" w14:paraId="2EB9C406" w14:textId="77777777" w:rsidTr="00DA02D5">
        <w:tc>
          <w:tcPr>
            <w:tcW w:w="3055" w:type="dxa"/>
          </w:tcPr>
          <w:p w14:paraId="16314130" w14:textId="77777777" w:rsidR="00A156E6" w:rsidRPr="00BF727A" w:rsidRDefault="003433F3" w:rsidP="003216CC">
            <w:pPr>
              <w:overflowPunct/>
              <w:adjustRightInd/>
              <w:jc w:val="left"/>
              <w:textAlignment w:val="auto"/>
              <w:rPr>
                <w:szCs w:val="22"/>
              </w:rPr>
            </w:pPr>
            <w:r>
              <w:t>Datum usvajanja u Stručnoj skupini:</w:t>
            </w:r>
          </w:p>
        </w:tc>
        <w:tc>
          <w:tcPr>
            <w:tcW w:w="6018" w:type="dxa"/>
          </w:tcPr>
          <w:p w14:paraId="7A9E874E" w14:textId="1FFF3BA5" w:rsidR="00A156E6" w:rsidRPr="00BF727A" w:rsidRDefault="00904F39" w:rsidP="003216CC">
            <w:pPr>
              <w:overflowPunct/>
              <w:adjustRightInd/>
              <w:jc w:val="left"/>
              <w:textAlignment w:val="auto"/>
              <w:rPr>
                <w:szCs w:val="22"/>
              </w:rPr>
            </w:pPr>
            <w:r>
              <w:t>4/6/2026</w:t>
            </w:r>
          </w:p>
        </w:tc>
      </w:tr>
      <w:tr w:rsidR="003B363C" w:rsidRPr="00BF727A" w14:paraId="4D46FFAD" w14:textId="77777777" w:rsidTr="00DA02D5">
        <w:tc>
          <w:tcPr>
            <w:tcW w:w="3055" w:type="dxa"/>
          </w:tcPr>
          <w:p w14:paraId="27A1F837" w14:textId="77777777" w:rsidR="00D423D4" w:rsidRPr="00BF727A" w:rsidRDefault="0043024C" w:rsidP="003216CC">
            <w:pPr>
              <w:overflowPunct/>
              <w:adjustRightInd/>
              <w:jc w:val="left"/>
              <w:rPr>
                <w:szCs w:val="22"/>
              </w:rPr>
            </w:pPr>
            <w:r>
              <w:t>Rezultat glasanja (za/protiv/suzdržani):</w:t>
            </w:r>
          </w:p>
        </w:tc>
        <w:tc>
          <w:tcPr>
            <w:tcW w:w="6018" w:type="dxa"/>
            <w:vAlign w:val="bottom"/>
          </w:tcPr>
          <w:p w14:paraId="0BBC2E40" w14:textId="286C2776" w:rsidR="00A156E6" w:rsidRPr="00BF727A" w:rsidRDefault="008E6F7D" w:rsidP="003216CC">
            <w:pPr>
              <w:overflowPunct/>
              <w:adjustRightInd/>
              <w:jc w:val="left"/>
              <w:textAlignment w:val="auto"/>
              <w:rPr>
                <w:szCs w:val="22"/>
              </w:rPr>
            </w:pPr>
            <w:r>
              <w:t>42/1/1</w:t>
            </w:r>
          </w:p>
        </w:tc>
      </w:tr>
      <w:tr w:rsidR="003B363C" w:rsidRPr="00BF727A" w14:paraId="74432C64" w14:textId="77777777" w:rsidTr="00DA02D5">
        <w:tc>
          <w:tcPr>
            <w:tcW w:w="3055" w:type="dxa"/>
          </w:tcPr>
          <w:p w14:paraId="37CB730E" w14:textId="77777777" w:rsidR="006E64DF" w:rsidRPr="00BF727A" w:rsidRDefault="003433F3" w:rsidP="003216CC">
            <w:pPr>
              <w:overflowPunct/>
              <w:adjustRightInd/>
              <w:jc w:val="left"/>
              <w:rPr>
                <w:szCs w:val="22"/>
              </w:rPr>
            </w:pPr>
            <w:r>
              <w:t>Datum usvajanja na plenarnom zasjedanju:</w:t>
            </w:r>
          </w:p>
        </w:tc>
        <w:tc>
          <w:tcPr>
            <w:tcW w:w="6018" w:type="dxa"/>
            <w:vAlign w:val="bottom"/>
          </w:tcPr>
          <w:p w14:paraId="1309A672" w14:textId="77777777" w:rsidR="006E64DF" w:rsidRPr="00BF727A" w:rsidRDefault="0067591A" w:rsidP="003216CC">
            <w:pPr>
              <w:overflowPunct/>
              <w:adjustRightInd/>
              <w:jc w:val="left"/>
              <w:textAlignment w:val="auto"/>
              <w:rPr>
                <w:szCs w:val="22"/>
              </w:rPr>
            </w:pPr>
            <w:r>
              <w:t>D/M/YYYY</w:t>
            </w:r>
          </w:p>
        </w:tc>
      </w:tr>
      <w:tr w:rsidR="003B363C" w:rsidRPr="00BF727A" w14:paraId="45DB981E" w14:textId="77777777" w:rsidTr="00DA02D5">
        <w:tc>
          <w:tcPr>
            <w:tcW w:w="3055" w:type="dxa"/>
          </w:tcPr>
          <w:p w14:paraId="500AF562" w14:textId="77777777" w:rsidR="0067591A" w:rsidRPr="00BF727A" w:rsidRDefault="0067591A" w:rsidP="003216CC">
            <w:pPr>
              <w:overflowPunct/>
              <w:adjustRightInd/>
              <w:jc w:val="left"/>
              <w:rPr>
                <w:szCs w:val="22"/>
              </w:rPr>
            </w:pPr>
            <w:r>
              <w:t>Plenarno zasjedanje br.:</w:t>
            </w:r>
          </w:p>
        </w:tc>
        <w:tc>
          <w:tcPr>
            <w:tcW w:w="6018" w:type="dxa"/>
            <w:vAlign w:val="bottom"/>
          </w:tcPr>
          <w:p w14:paraId="4F749096" w14:textId="77777777" w:rsidR="0067591A" w:rsidRPr="00BF727A" w:rsidRDefault="0067591A" w:rsidP="003216CC">
            <w:pPr>
              <w:overflowPunct/>
              <w:adjustRightInd/>
              <w:jc w:val="left"/>
              <w:textAlignment w:val="auto"/>
              <w:rPr>
                <w:szCs w:val="22"/>
              </w:rPr>
            </w:pPr>
          </w:p>
        </w:tc>
      </w:tr>
      <w:tr w:rsidR="003433F3" w:rsidRPr="00BF727A" w14:paraId="2051C836" w14:textId="77777777" w:rsidTr="00DA02D5">
        <w:tc>
          <w:tcPr>
            <w:tcW w:w="3055" w:type="dxa"/>
          </w:tcPr>
          <w:p w14:paraId="146797A2" w14:textId="77777777" w:rsidR="003433F3" w:rsidRPr="00BF727A" w:rsidRDefault="003433F3" w:rsidP="003216CC">
            <w:pPr>
              <w:overflowPunct/>
              <w:adjustRightInd/>
              <w:jc w:val="left"/>
              <w:rPr>
                <w:szCs w:val="22"/>
              </w:rPr>
            </w:pPr>
            <w:r>
              <w:t>Rezultat glasanja (za/protiv/suzdržani):</w:t>
            </w:r>
          </w:p>
        </w:tc>
        <w:tc>
          <w:tcPr>
            <w:tcW w:w="6018" w:type="dxa"/>
            <w:vAlign w:val="bottom"/>
          </w:tcPr>
          <w:p w14:paraId="6530E86F" w14:textId="77777777" w:rsidR="003433F3" w:rsidRPr="00BF727A" w:rsidRDefault="003433F3" w:rsidP="003216CC">
            <w:pPr>
              <w:overflowPunct/>
              <w:adjustRightInd/>
              <w:jc w:val="left"/>
              <w:textAlignment w:val="auto"/>
              <w:rPr>
                <w:szCs w:val="22"/>
              </w:rPr>
            </w:pPr>
            <w:r>
              <w:t>…/…/…</w:t>
            </w:r>
          </w:p>
        </w:tc>
      </w:tr>
    </w:tbl>
    <w:p w14:paraId="7C7A89F1" w14:textId="77777777" w:rsidR="0090053A" w:rsidRPr="00BF727A" w:rsidRDefault="0090053A" w:rsidP="003216CC">
      <w:pPr>
        <w:overflowPunct/>
        <w:adjustRightInd/>
        <w:textAlignment w:val="auto"/>
        <w:rPr>
          <w:szCs w:val="22"/>
        </w:rPr>
      </w:pPr>
    </w:p>
    <w:p w14:paraId="040AE9F3" w14:textId="77777777" w:rsidR="00646AC2" w:rsidRPr="00BF727A" w:rsidRDefault="00646AC2" w:rsidP="003216CC">
      <w:pPr>
        <w:overflowPunct/>
        <w:adjustRightInd/>
        <w:textAlignment w:val="auto"/>
        <w:rPr>
          <w:szCs w:val="22"/>
        </w:rPr>
      </w:pPr>
      <w:r>
        <w:br w:type="page"/>
      </w:r>
    </w:p>
    <w:p w14:paraId="31BDCB72" w14:textId="77777777" w:rsidR="00A86BA8" w:rsidRPr="00BF727A" w:rsidRDefault="00A86BA8" w:rsidP="003216CC">
      <w:pPr>
        <w:pStyle w:val="Heading1"/>
        <w:ind w:left="567" w:hanging="567"/>
        <w:rPr>
          <w:b/>
          <w:szCs w:val="22"/>
        </w:rPr>
      </w:pPr>
      <w:r>
        <w:rPr>
          <w:b/>
        </w:rPr>
        <w:lastRenderedPageBreak/>
        <w:t>Uvod</w:t>
      </w:r>
    </w:p>
    <w:p w14:paraId="45A175A8" w14:textId="77777777" w:rsidR="003C48E4" w:rsidRPr="00BF727A" w:rsidRDefault="003C48E4" w:rsidP="003216CC"/>
    <w:p w14:paraId="0781EEBB" w14:textId="0C3C17DB" w:rsidR="00A86BA8" w:rsidRPr="00D57DC2" w:rsidRDefault="00650F0F" w:rsidP="003216CC">
      <w:pPr>
        <w:pStyle w:val="Heading2"/>
        <w:ind w:left="567" w:hanging="567"/>
      </w:pPr>
      <w:r>
        <w:t>Ovo informativno izvješće dio je paketa koji uključuje rezoluciju</w:t>
      </w:r>
      <w:r w:rsidRPr="00BF727A">
        <w:rPr>
          <w:rStyle w:val="FootnoteReference"/>
          <w:sz w:val="22"/>
          <w:szCs w:val="22"/>
        </w:rPr>
        <w:footnoteReference w:id="2"/>
      </w:r>
      <w:r>
        <w:t xml:space="preserve"> i nastavlja se na rad EGSO-ove Skupine za europski semestar (ESG), koja se savjetovala s nacionalnim gospodarskim i socijalnim vijećima, socijalnim partnerima i organizacijama civilnog društva iz država članica EU-a o ključnim temama europskog semestra. U ovom informativnom izvješću prikupljena su stajališta socijalnih partnera i organizacija civilnog društva u državama članicama. Podrobniji rezultati savjetovanja nalaze se u Prilogu</w:t>
      </w:r>
      <w:r w:rsidR="00C30E75" w:rsidRPr="00BF727A">
        <w:rPr>
          <w:rStyle w:val="FootnoteReference"/>
          <w:sz w:val="22"/>
          <w:szCs w:val="22"/>
        </w:rPr>
        <w:footnoteReference w:id="3"/>
      </w:r>
      <w:r>
        <w:t>.</w:t>
      </w:r>
    </w:p>
    <w:p w14:paraId="1EB028E5" w14:textId="77777777" w:rsidR="00A86BA8" w:rsidRPr="00BF727A" w:rsidRDefault="00A86BA8" w:rsidP="003216CC">
      <w:pPr>
        <w:rPr>
          <w:szCs w:val="22"/>
        </w:rPr>
      </w:pPr>
    </w:p>
    <w:p w14:paraId="671D8C11" w14:textId="28BA6CDB" w:rsidR="00EF3E11" w:rsidRPr="00BF727A" w:rsidRDefault="00A46347" w:rsidP="003216CC">
      <w:pPr>
        <w:pStyle w:val="Heading1"/>
        <w:keepNext/>
        <w:ind w:left="567" w:hanging="567"/>
        <w:rPr>
          <w:b/>
          <w:szCs w:val="22"/>
        </w:rPr>
      </w:pPr>
      <w:r>
        <w:rPr>
          <w:b/>
        </w:rPr>
        <w:t>Dosadašnji koraci</w:t>
      </w:r>
    </w:p>
    <w:p w14:paraId="12EED186" w14:textId="77777777" w:rsidR="00CB0192" w:rsidRPr="00BF727A" w:rsidRDefault="00CB0192" w:rsidP="003216CC">
      <w:pPr>
        <w:keepNext/>
        <w:rPr>
          <w:szCs w:val="22"/>
        </w:rPr>
      </w:pPr>
    </w:p>
    <w:p w14:paraId="2517E89F" w14:textId="123DDCCA" w:rsidR="00D03363" w:rsidRPr="00BF727A" w:rsidRDefault="00650F0F" w:rsidP="003216CC">
      <w:pPr>
        <w:pStyle w:val="Heading2"/>
        <w:ind w:left="567" w:hanging="567"/>
      </w:pPr>
      <w:r>
        <w:t>Ovogodišnje savjetovanje usmjereno je na mjere u području reformi i ulaganja u državama članicama, osobito na mjere koje se temelje na preporukama za pojedine zemlje za 2025.</w:t>
      </w:r>
      <w:r w:rsidRPr="00BF727A">
        <w:rPr>
          <w:rStyle w:val="FootnoteReference"/>
          <w:sz w:val="22"/>
        </w:rPr>
        <w:footnoteReference w:id="4"/>
      </w:r>
      <w:r>
        <w:t>, i njihovu provedbu. Cilj je ocijeniti učinkovitost tih mjera i utvrditi načine za bolje usmjeravanje prijedloga, poboljšanje provedbe i jačanje praćenja uključivanjem organiziranog civilnog društva.</w:t>
      </w:r>
    </w:p>
    <w:p w14:paraId="3BB06423" w14:textId="77777777" w:rsidR="003C48E4" w:rsidRPr="00BF727A" w:rsidRDefault="003C48E4" w:rsidP="003216CC"/>
    <w:p w14:paraId="2D1A3BBB" w14:textId="6A4BE23C" w:rsidR="00D03363" w:rsidRPr="00BF727A" w:rsidRDefault="00D03363" w:rsidP="003216CC">
      <w:pPr>
        <w:pStyle w:val="Heading2"/>
        <w:ind w:left="567" w:hanging="567"/>
      </w:pPr>
      <w:r>
        <w:t>Na temelju prethodnih savjetovanja ispituje napredak u dovršetku i provedbi reformi i ulaganja utvrđenih u nacionalnim planovima za oporavak i otpornost te glavna pozitivna i negativna iskustva stečena u okviru tog instrumenta.</w:t>
      </w:r>
    </w:p>
    <w:p w14:paraId="7F0C0492" w14:textId="77777777" w:rsidR="00D03363" w:rsidRPr="00BF727A" w:rsidRDefault="00D03363" w:rsidP="003216CC">
      <w:pPr>
        <w:pStyle w:val="Heading2"/>
        <w:numPr>
          <w:ilvl w:val="0"/>
          <w:numId w:val="0"/>
        </w:numPr>
        <w:ind w:left="567" w:hanging="567"/>
      </w:pPr>
    </w:p>
    <w:p w14:paraId="555A8211" w14:textId="7C33021E" w:rsidR="00A81FA0" w:rsidRPr="00BF727A" w:rsidRDefault="00D03363" w:rsidP="003216CC">
      <w:pPr>
        <w:pStyle w:val="Heading2"/>
        <w:ind w:left="567" w:hanging="567"/>
      </w:pPr>
      <w:r>
        <w:t>Osim toga, savjetovanje se odnosi na provedbu i praćenje srednjoročnih fiskalno-strukturnih planova</w:t>
      </w:r>
      <w:r w:rsidR="00650F0F" w:rsidRPr="00244BD5">
        <w:rPr>
          <w:rStyle w:val="FootnoteReference"/>
          <w:sz w:val="22"/>
        </w:rPr>
        <w:footnoteReference w:id="5"/>
      </w:r>
      <w:r>
        <w:t xml:space="preserve"> uvedenih nakon revizije okvira gospodarskog upravljanja</w:t>
      </w:r>
      <w:r w:rsidR="00650F0F" w:rsidRPr="00244BD5">
        <w:rPr>
          <w:rStyle w:val="FootnoteReference"/>
          <w:sz w:val="22"/>
        </w:rPr>
        <w:footnoteReference w:id="6"/>
      </w:r>
      <w:r>
        <w:t>. Priprema, provedba i praćenje tih planova uključeni su u europski semestar.</w:t>
      </w:r>
    </w:p>
    <w:p w14:paraId="28440128" w14:textId="77777777" w:rsidR="00A81FA0" w:rsidRPr="00BF727A" w:rsidRDefault="00A81FA0" w:rsidP="003216CC">
      <w:pPr>
        <w:pStyle w:val="Heading2"/>
        <w:numPr>
          <w:ilvl w:val="0"/>
          <w:numId w:val="0"/>
        </w:numPr>
        <w:ind w:left="567"/>
      </w:pPr>
    </w:p>
    <w:p w14:paraId="73934ED3" w14:textId="20F3C1A7" w:rsidR="00650F0F" w:rsidRPr="00BF727A" w:rsidRDefault="00650F0F" w:rsidP="003216CC">
      <w:pPr>
        <w:pStyle w:val="Heading2"/>
        <w:ind w:left="567" w:hanging="567"/>
      </w:pPr>
      <w:r>
        <w:t>Naposljetku, ocjenjuju se i stajališta socijalnih partnera i organizacija civilnog društva o vezi između sljedećeg višegodišnjeg financijskog okvira (VFO) i europskog semestra. To uključuje kako osigurati njihovo smisleno i učinkovito sudjelovanje, kao i istraživanje mogućih koristi, rizika i prepreka povezanih s tom vezom.</w:t>
      </w:r>
    </w:p>
    <w:p w14:paraId="4A351164" w14:textId="77777777" w:rsidR="00EF3E11" w:rsidRPr="00BF727A" w:rsidRDefault="00EF3E11" w:rsidP="003216CC">
      <w:pPr>
        <w:rPr>
          <w:szCs w:val="22"/>
        </w:rPr>
      </w:pPr>
    </w:p>
    <w:p w14:paraId="70E9184B" w14:textId="039E699F" w:rsidR="00EF3E11" w:rsidRPr="00BF727A" w:rsidRDefault="00A46347" w:rsidP="003216CC">
      <w:pPr>
        <w:pStyle w:val="Heading1"/>
        <w:keepNext/>
        <w:ind w:left="567" w:hanging="567"/>
        <w:rPr>
          <w:b/>
          <w:szCs w:val="22"/>
        </w:rPr>
      </w:pPr>
      <w:r>
        <w:rPr>
          <w:b/>
        </w:rPr>
        <w:t>Metodologija</w:t>
      </w:r>
      <w:r w:rsidR="00F458A6" w:rsidRPr="00BF727A">
        <w:rPr>
          <w:rStyle w:val="FootnoteReference"/>
          <w:b/>
          <w:sz w:val="22"/>
          <w:szCs w:val="22"/>
        </w:rPr>
        <w:footnoteReference w:id="7"/>
      </w:r>
    </w:p>
    <w:p w14:paraId="2553BAE9" w14:textId="77777777" w:rsidR="00CB0192" w:rsidRPr="00BF727A" w:rsidRDefault="00CB0192" w:rsidP="003216CC">
      <w:pPr>
        <w:keepNext/>
        <w:rPr>
          <w:szCs w:val="22"/>
        </w:rPr>
      </w:pPr>
    </w:p>
    <w:p w14:paraId="4E0D0C2E" w14:textId="1088B29F" w:rsidR="00A947A8" w:rsidRPr="00D57DC2" w:rsidRDefault="007F7B77" w:rsidP="003216CC">
      <w:pPr>
        <w:pStyle w:val="Heading2"/>
        <w:ind w:left="567" w:hanging="567"/>
      </w:pPr>
      <w:r>
        <w:t>Podaci i informacije potrebni za ovo mišljenje prikupljeni su u razdoblju od siječnja 2026. do ožujka 2026. Zaprimljeno je ukupno 27 nacionalnih doprinosa (22 pisana odgovora na upitnik</w:t>
      </w:r>
      <w:r w:rsidR="00005D99" w:rsidRPr="00D57DC2">
        <w:rPr>
          <w:rStyle w:val="FootnoteReference"/>
          <w:bCs/>
          <w:sz w:val="22"/>
          <w:szCs w:val="22"/>
        </w:rPr>
        <w:footnoteReference w:id="8"/>
      </w:r>
      <w:r>
        <w:t xml:space="preserve"> i 5 izvješća o misijama za utvrđivanje činjenica o pojedinim zemljama</w:t>
      </w:r>
      <w:r w:rsidR="00005D99" w:rsidRPr="00D57DC2">
        <w:rPr>
          <w:rStyle w:val="FootnoteReference"/>
          <w:bCs/>
          <w:sz w:val="22"/>
          <w:szCs w:val="22"/>
        </w:rPr>
        <w:footnoteReference w:id="9"/>
      </w:r>
      <w:r>
        <w:t>).</w:t>
      </w:r>
    </w:p>
    <w:p w14:paraId="32DEA238" w14:textId="77777777" w:rsidR="008C6CF8" w:rsidRPr="00BF727A" w:rsidRDefault="008C6CF8" w:rsidP="003216CC">
      <w:pPr>
        <w:ind w:left="567" w:hanging="567"/>
      </w:pPr>
    </w:p>
    <w:p w14:paraId="61389A3E" w14:textId="49FBF326" w:rsidR="00A947A8" w:rsidRPr="00BF727A" w:rsidRDefault="00A46610" w:rsidP="003216CC">
      <w:pPr>
        <w:pStyle w:val="Heading2"/>
        <w:ind w:left="567" w:hanging="567"/>
      </w:pPr>
      <w:r>
        <w:rPr>
          <w:color w:val="000000"/>
        </w:rPr>
        <w:t>Pisani doprinosi svakog od 22 nacionalna izaslanstva</w:t>
      </w:r>
      <w:r w:rsidRPr="00D57DC2">
        <w:rPr>
          <w:rStyle w:val="FootnoteReference"/>
          <w:color w:val="000000"/>
          <w:sz w:val="22"/>
          <w:szCs w:val="22"/>
        </w:rPr>
        <w:footnoteReference w:id="10"/>
      </w:r>
      <w:r>
        <w:rPr>
          <w:color w:val="000000"/>
        </w:rPr>
        <w:t xml:space="preserve"> temeljili su se na znanju samih izvjestitelja (po jedan izvjestitelj iz svake od triju skupina) i/ili na prethodnom savjetovanju s nacionalnim socijalnim partnerima i organizacijama civilnog društva. Izvješća o pet misija za utvrđivanje činjenica sadržavaju ključne točke iznesene na sastancima održanima u tim zemljama s nacionalnim socijalnim partnerima i nacionalnim organizacijama civilnog društva. Nadalje, u nekima od tih zemalja bila su uključena nacionalna gospodarska i socijalna vijeća ili istovjetna tijela.</w:t>
      </w:r>
      <w:r>
        <w:t xml:space="preserve"> Pitanja, bojazni i preporuke izneseni u tih 27 doprinosa (pisani odgovori i izvješća za pojedine zemlje) objedinjeni su, sažeti i predstavljeni u ovom dokumentu. </w:t>
      </w:r>
    </w:p>
    <w:p w14:paraId="62986C6B" w14:textId="77777777" w:rsidR="00A947A8" w:rsidRPr="00BF727A" w:rsidRDefault="00A947A8" w:rsidP="003216CC">
      <w:pPr>
        <w:pStyle w:val="Heading2"/>
        <w:numPr>
          <w:ilvl w:val="0"/>
          <w:numId w:val="0"/>
        </w:numPr>
        <w:ind w:left="567" w:hanging="567"/>
      </w:pPr>
    </w:p>
    <w:p w14:paraId="3955F5D3" w14:textId="250E804C" w:rsidR="00EF3E11" w:rsidRPr="00BF727A" w:rsidRDefault="00FD298F" w:rsidP="003216CC">
      <w:pPr>
        <w:pStyle w:val="Heading2"/>
        <w:ind w:left="567" w:hanging="567"/>
      </w:pPr>
      <w:r>
        <w:t>Prilog ovom dokumentu sadržava sve rezultate prikupljene za svaku državu članicu kao odgovor na svako pitanje, prikazane u obliku tablica i grafikona. Uključuje i odgovore dvaju članova EGSO-ove Skupine za vezu</w:t>
      </w:r>
      <w:r w:rsidR="003808E2" w:rsidRPr="00BF727A">
        <w:rPr>
          <w:rStyle w:val="FootnoteReference"/>
          <w:sz w:val="22"/>
          <w:szCs w:val="22"/>
        </w:rPr>
        <w:footnoteReference w:id="11"/>
      </w:r>
      <w:r>
        <w:t>.</w:t>
      </w:r>
    </w:p>
    <w:p w14:paraId="31C46DCE" w14:textId="77777777" w:rsidR="00EF3E11" w:rsidRPr="00BF727A" w:rsidRDefault="00EF3E11" w:rsidP="003216CC">
      <w:pPr>
        <w:ind w:left="567"/>
        <w:rPr>
          <w:szCs w:val="22"/>
        </w:rPr>
      </w:pPr>
    </w:p>
    <w:p w14:paraId="57B53C9E" w14:textId="56D458E1" w:rsidR="00A46347" w:rsidRPr="00D57DC2" w:rsidRDefault="00A46347" w:rsidP="003216CC">
      <w:pPr>
        <w:pStyle w:val="Heading1"/>
        <w:keepNext/>
        <w:ind w:left="567" w:hanging="567"/>
        <w:rPr>
          <w:b/>
          <w:szCs w:val="22"/>
        </w:rPr>
      </w:pPr>
      <w:r>
        <w:rPr>
          <w:b/>
        </w:rPr>
        <w:t>Opažanja na temelju rezultata savjetovanja</w:t>
      </w:r>
    </w:p>
    <w:p w14:paraId="5EE36FDC" w14:textId="77777777" w:rsidR="00A46347" w:rsidRPr="00BF727A" w:rsidRDefault="00A46347" w:rsidP="003216CC">
      <w:pPr>
        <w:keepNext/>
        <w:rPr>
          <w:szCs w:val="22"/>
        </w:rPr>
      </w:pPr>
    </w:p>
    <w:p w14:paraId="56472B6E" w14:textId="45A33C18" w:rsidR="00650F0F" w:rsidRPr="00BF727A" w:rsidRDefault="00A46347" w:rsidP="003216CC">
      <w:pPr>
        <w:pStyle w:val="Heading2"/>
        <w:ind w:left="567" w:hanging="567"/>
      </w:pPr>
      <w:r>
        <w:t>Odjeljak I.: Mjere u području reformi i ulaganja u državama članicama, osobito mjere koje se temelje na preporukama za pojedine zemlje za 2025., i provedba tih mjera</w:t>
      </w:r>
    </w:p>
    <w:p w14:paraId="0359F301" w14:textId="77777777" w:rsidR="00650F0F" w:rsidRPr="00BF727A" w:rsidRDefault="00650F0F" w:rsidP="003216CC">
      <w:pPr>
        <w:keepNext/>
        <w:rPr>
          <w:i/>
          <w:iCs/>
          <w:szCs w:val="22"/>
        </w:rPr>
      </w:pPr>
    </w:p>
    <w:p w14:paraId="2CCC3140" w14:textId="52E8A35D" w:rsidR="00544B51" w:rsidRPr="00BF727A" w:rsidRDefault="00650F0F" w:rsidP="003216CC">
      <w:pPr>
        <w:rPr>
          <w:kern w:val="28"/>
          <w:szCs w:val="22"/>
          <w:u w:val="single"/>
        </w:rPr>
      </w:pPr>
      <w:r>
        <w:rPr>
          <w:u w:val="single"/>
        </w:rPr>
        <w:t>Pitanje br. 1:</w:t>
      </w:r>
      <w:r>
        <w:t xml:space="preserve"> </w:t>
      </w:r>
      <w:r>
        <w:rPr>
          <w:b/>
        </w:rPr>
        <w:t>Koje je vaše opće mišljenje o preporukama Europske komisije za vašu zemlju za 2025.?</w:t>
      </w:r>
    </w:p>
    <w:p w14:paraId="308A2D75" w14:textId="77777777" w:rsidR="00650F0F" w:rsidRPr="00BF727A" w:rsidRDefault="00650F0F" w:rsidP="003216CC">
      <w:pPr>
        <w:pStyle w:val="Heading3"/>
        <w:numPr>
          <w:ilvl w:val="0"/>
          <w:numId w:val="0"/>
        </w:numPr>
        <w:ind w:left="720"/>
      </w:pPr>
    </w:p>
    <w:p w14:paraId="21C09E22" w14:textId="0B8CC2D4" w:rsidR="00AF5948" w:rsidRPr="00BF727A" w:rsidRDefault="00AF5948" w:rsidP="003216CC">
      <w:pPr>
        <w:pStyle w:val="Heading3"/>
        <w:ind w:left="567" w:hanging="567"/>
      </w:pPr>
      <w:r>
        <w:t>U Austriji, Belgiji, Cipru (Skupine</w:t>
      </w:r>
      <w:r w:rsidR="00F95C2C">
        <w:rPr>
          <w:rStyle w:val="FootnoteReference"/>
        </w:rPr>
        <w:footnoteReference w:id="12"/>
      </w:r>
      <w:r>
        <w:t> II. i III.), Češkoj (Skupine I. i II.), Grčkoj, Španjolskoj (Skupina I.), Finskoj, Francuskoj, Hrvatskoj (Skupine I.</w:t>
      </w:r>
      <w:r w:rsidR="006E32A2" w:rsidRPr="00BF727A">
        <w:rPr>
          <w:rStyle w:val="FootnoteReference"/>
          <w:szCs w:val="22"/>
        </w:rPr>
        <w:footnoteReference w:id="13"/>
      </w:r>
      <w:r>
        <w:t xml:space="preserve"> i III.), Irskoj, Italiji</w:t>
      </w:r>
      <w:r w:rsidR="006E32A2" w:rsidRPr="00BF727A">
        <w:rPr>
          <w:rStyle w:val="FootnoteReference"/>
          <w:szCs w:val="22"/>
        </w:rPr>
        <w:footnoteReference w:id="14"/>
      </w:r>
      <w:r>
        <w:t>, Litvi, Latviji, Malti, Portugalu, Rumunjskoj (Skupine I. i II.) i Slovačkoj, socijalni partneri i organizacije civilnog društva smatraju da su preporuke za pojedine zemlje općenito relevantne, dobro usmjerene, analitički pouzdane i usklađene sa stvarnim nacionalnim izazovima.</w:t>
      </w:r>
    </w:p>
    <w:p w14:paraId="757F442F" w14:textId="77777777" w:rsidR="00AF5948" w:rsidRPr="00BF727A" w:rsidRDefault="00AF5948" w:rsidP="00266D04">
      <w:pPr>
        <w:ind w:left="567" w:hanging="567"/>
        <w:rPr>
          <w:szCs w:val="22"/>
        </w:rPr>
      </w:pPr>
    </w:p>
    <w:p w14:paraId="50B35946" w14:textId="0DF332A7" w:rsidR="00650F0F" w:rsidRPr="00BF727A" w:rsidRDefault="00AF5948" w:rsidP="003216CC">
      <w:pPr>
        <w:pStyle w:val="Heading3"/>
        <w:ind w:left="567" w:hanging="567"/>
      </w:pPr>
      <w:r>
        <w:t>U Belgiji, Njemačkoj, Danskoj (Skupina II. i Skupina III.), Španjolskoj (Skupina II. i Skupina III.), Hrvatskoj (Skupina I.</w:t>
      </w:r>
      <w:r w:rsidR="006E32A2" w:rsidRPr="00BF727A">
        <w:rPr>
          <w:rStyle w:val="FootnoteReference"/>
          <w:szCs w:val="22"/>
        </w:rPr>
        <w:footnoteReference w:id="15"/>
      </w:r>
      <w:r>
        <w:t xml:space="preserve"> i Skupina II.), Mađarskoj, Italiji (Skupina III.</w:t>
      </w:r>
      <w:r w:rsidR="006E32A2" w:rsidRPr="00BF727A">
        <w:rPr>
          <w:rStyle w:val="FootnoteReference"/>
          <w:szCs w:val="22"/>
        </w:rPr>
        <w:footnoteReference w:id="16"/>
      </w:r>
      <w:r>
        <w:t xml:space="preserve">), Luksemburgu, Nizozemskoj, Poljskoj, Švedskoj i Sloveniji prevladavajući trend nije odbijanje preporuka za pojedine zemlje, već nijansirano prihvaćanje: dionici u preporukama za pojedine zemlje vide </w:t>
      </w:r>
      <w:r>
        <w:lastRenderedPageBreak/>
        <w:t>određenu vrijednost, ali dosljedno ističu nedostatke, propuste ili nedostatak kontekstualizacije. Na primjer, iako ih smatraju korisnima, mnogi od njih ističu da se socijalnoj dimenziji ne pridaje dovoljna važnost i pozivaju na snažniju integraciju socijalne pravednosti, plaća i zaštite rada. Ističu i neravnoteže među prioritetima politika (npr. obrana, okoliš, gospodarstvo).</w:t>
      </w:r>
    </w:p>
    <w:p w14:paraId="0B74BC3B" w14:textId="77777777" w:rsidR="00544B51" w:rsidRPr="00BF727A" w:rsidRDefault="00544B51" w:rsidP="003216CC">
      <w:pPr>
        <w:rPr>
          <w:szCs w:val="22"/>
          <w:lang w:eastAsia="fr-BE"/>
        </w:rPr>
      </w:pPr>
    </w:p>
    <w:p w14:paraId="1865E932" w14:textId="39EB36B5" w:rsidR="00544B51" w:rsidRPr="00BF727A" w:rsidRDefault="00544B51" w:rsidP="00266D04">
      <w:pPr>
        <w:keepNext/>
        <w:keepLines/>
        <w:rPr>
          <w:szCs w:val="22"/>
        </w:rPr>
      </w:pPr>
      <w:r>
        <w:rPr>
          <w:u w:val="single"/>
        </w:rPr>
        <w:t>Pitanje br. 2:</w:t>
      </w:r>
      <w:r>
        <w:rPr>
          <w:b/>
        </w:rPr>
        <w:t xml:space="preserve"> Jesu li te preporuke relevantne za izazove s kojima se vaša država suočava?</w:t>
      </w:r>
    </w:p>
    <w:p w14:paraId="2833A07B" w14:textId="77777777" w:rsidR="00AF5948" w:rsidRPr="00BF727A" w:rsidRDefault="00AF5948" w:rsidP="00266D04">
      <w:pPr>
        <w:keepNext/>
        <w:keepLines/>
        <w:rPr>
          <w:szCs w:val="22"/>
        </w:rPr>
      </w:pPr>
    </w:p>
    <w:p w14:paraId="073AB529" w14:textId="72F7EFCF" w:rsidR="00AF5948" w:rsidRPr="00BF727A" w:rsidRDefault="00AF5948" w:rsidP="003216CC">
      <w:pPr>
        <w:pStyle w:val="Heading3"/>
        <w:ind w:left="567" w:hanging="567"/>
      </w:pPr>
      <w:r>
        <w:t>Socijalni partneri i organizacije civilnog društva u Belgiji, Bugarskoj, Cipru, Češkoj (Skupina I. i Skupina II.), Danskoj (Skupina II.), Grčkoj, Španjolskoj, Finskoj, Francuskoj, Hrvatskoj (Skupina I. i Skupina III.), Irskoj, Italiji</w:t>
      </w:r>
      <w:r w:rsidR="0048232D" w:rsidRPr="00BF727A">
        <w:rPr>
          <w:rStyle w:val="FootnoteReference"/>
          <w:szCs w:val="22"/>
        </w:rPr>
        <w:footnoteReference w:id="17"/>
      </w:r>
      <w:r>
        <w:t xml:space="preserve">, Litvi, Latviji, Malti, Nizozemskoj, Poljskoj, Portugalu, Rumunjskoj (Skupina I. i Skupina II.), Švedskoj, Sloveniji i Slovačkoj općenito se slažu da su u preporukama za pojedine zemlje ispravno utvrđeni ključni nacionalni izazovi, posebno strukturna i gospodarska pitanja te pitanja povezana s tržištem rada. Međutim, iako su općenito točne, često se smatraju nepotpunima – iako su snažne u pogledu smjernica za makroekonomsku i strukturnu politiku, smatra se da ne posvećuju dovoljno pozornosti socijalnim pitanjima. </w:t>
      </w:r>
    </w:p>
    <w:p w14:paraId="72448F7A" w14:textId="77777777" w:rsidR="00AF5948" w:rsidRPr="00BF727A" w:rsidRDefault="00AF5948" w:rsidP="003216CC">
      <w:pPr>
        <w:pStyle w:val="Heading3"/>
        <w:numPr>
          <w:ilvl w:val="0"/>
          <w:numId w:val="0"/>
        </w:numPr>
        <w:ind w:left="720"/>
      </w:pPr>
    </w:p>
    <w:p w14:paraId="18134693" w14:textId="64EBAF33" w:rsidR="00544B51" w:rsidRPr="00BF727A" w:rsidRDefault="00AF5948" w:rsidP="003216CC">
      <w:pPr>
        <w:pStyle w:val="Heading3"/>
        <w:ind w:left="567" w:hanging="567"/>
      </w:pPr>
      <w:r>
        <w:t>S druge strane, socijalni partneri i organizacije civilnog društva u Austriji, Češkoj (Skupina III.), Njemačkoj, Danskoj (Skupina III.), Hrvatskoj (Skupina II.), Mađarskoj, Italiji (Skupina II.)</w:t>
      </w:r>
      <w:r w:rsidR="0048232D" w:rsidRPr="00BF727A">
        <w:rPr>
          <w:rStyle w:val="FootnoteReference"/>
          <w:szCs w:val="22"/>
        </w:rPr>
        <w:footnoteReference w:id="18"/>
      </w:r>
      <w:r>
        <w:t xml:space="preserve"> i Luksemburgu uglavnom smatraju da su preporuke preopćenite, uz ograničeno uzimanje u obzir posebnosti svake zemlje i nedostatak konkretnih i ciljanih smjernica. Zabrinuti su i zbog toga što se u preporukama za pojedine zemlje podcjenjuju socijalne stvarnosti i stanje na tržištu rada.</w:t>
      </w:r>
    </w:p>
    <w:p w14:paraId="7D966A9C" w14:textId="77777777" w:rsidR="00544B51" w:rsidRPr="00BF727A" w:rsidRDefault="00544B51" w:rsidP="003216CC">
      <w:pPr>
        <w:rPr>
          <w:szCs w:val="22"/>
          <w:lang w:eastAsia="fr-BE"/>
        </w:rPr>
      </w:pPr>
    </w:p>
    <w:p w14:paraId="0E84D9BC" w14:textId="7B2D3D7C" w:rsidR="00544B51" w:rsidRPr="00BF727A" w:rsidRDefault="00544B51" w:rsidP="00266D04">
      <w:pPr>
        <w:keepNext/>
        <w:keepLines/>
        <w:rPr>
          <w:b/>
          <w:szCs w:val="22"/>
        </w:rPr>
      </w:pPr>
      <w:r>
        <w:rPr>
          <w:u w:val="single"/>
        </w:rPr>
        <w:t>Pitanje br. 3:</w:t>
      </w:r>
      <w:r>
        <w:t xml:space="preserve"> </w:t>
      </w:r>
      <w:r>
        <w:rPr>
          <w:b/>
        </w:rPr>
        <w:t>Kakvo je vaše mišljenje o načinu na koji vaša vlada te preporuke pretvara u konkretno političko djelovanje?</w:t>
      </w:r>
    </w:p>
    <w:p w14:paraId="3F41FF57" w14:textId="77777777" w:rsidR="004D0DB0" w:rsidRPr="00BF727A" w:rsidRDefault="004D0DB0" w:rsidP="00266D04">
      <w:pPr>
        <w:keepNext/>
        <w:keepLines/>
        <w:rPr>
          <w:b/>
          <w:szCs w:val="22"/>
        </w:rPr>
      </w:pPr>
    </w:p>
    <w:p w14:paraId="44EE4AAA" w14:textId="21FC840F" w:rsidR="00AF5948" w:rsidRPr="00BF727A" w:rsidRDefault="00AF5948" w:rsidP="003216CC">
      <w:pPr>
        <w:pStyle w:val="Heading3"/>
        <w:ind w:left="567" w:hanging="567"/>
      </w:pPr>
      <w:r>
        <w:t>Socijalni partneri i organizacije civilnog društva u Cipru (Skupina III.), Grčkoj, Španjolskoj (Skupina II. i Skupina III.), Hrvatskoj, Mađarskoj, Italiji (Skupina I.) i Malti vjeruju da njihove nacionalne vlade aktivno prenose preporuke za pojedine zemlje u mjere politike, ali da provedba nije u potpunosti ostvarena i da je i dalje neujednačena među sektorima. Na primjer, u Grčkoj, Španjolskoj i Mađarskoj došlo je do gospodarskih i fiskalnih poboljšanja (rast, smanjenje duga, stabilnost), dok u Cipru, Grčkoj, Španjolskoj i Malti trajni socijalni izazovi još nisu u potpunosti riješeni (plaće, mirovine, nejednakost, stanovanje).</w:t>
      </w:r>
    </w:p>
    <w:p w14:paraId="04B34556" w14:textId="77777777" w:rsidR="00AF5948" w:rsidRPr="00BF727A" w:rsidRDefault="00AF5948" w:rsidP="003216CC">
      <w:pPr>
        <w:pStyle w:val="Heading3"/>
        <w:numPr>
          <w:ilvl w:val="0"/>
          <w:numId w:val="0"/>
        </w:numPr>
        <w:ind w:left="720"/>
      </w:pPr>
    </w:p>
    <w:p w14:paraId="6C77A518" w14:textId="61521BCF" w:rsidR="00AF5948" w:rsidRPr="00BF727A" w:rsidRDefault="00B758A0" w:rsidP="003216CC">
      <w:pPr>
        <w:pStyle w:val="Heading3"/>
        <w:ind w:left="567" w:hanging="567"/>
      </w:pPr>
      <w:r>
        <w:t>Socijalni partneri i organizacije civilnog društva u Bugarskoj, Cipru (Skupina I.), Njemačkoj, Danskoj (Skupina II.), Španjolskoj (Skupina I.), Finskoj, Hrvatskoj (Skupina II.), Irskoj, Poljskoj, Portugalu, Sloveniji i Slovačkoj priznaju napore koje su njihove nacionalne vlade uložile kako bi poduzele mjere i krenule u pravom smjeru. Međutim, smatraju da nedostatak jasnoće i usklađenosti, kao i nedostaci u provedbi i ograničen učinak, sprečavaju potpunu djelotvornost tih mjera.</w:t>
      </w:r>
    </w:p>
    <w:p w14:paraId="4505740B" w14:textId="77777777" w:rsidR="00AF5948" w:rsidRPr="00BF727A" w:rsidRDefault="00AF5948" w:rsidP="003216CC">
      <w:pPr>
        <w:pStyle w:val="Heading3"/>
        <w:numPr>
          <w:ilvl w:val="0"/>
          <w:numId w:val="0"/>
        </w:numPr>
        <w:ind w:left="720"/>
      </w:pPr>
    </w:p>
    <w:p w14:paraId="7D419A3E" w14:textId="7B90F084" w:rsidR="00AF5948" w:rsidRPr="00BF727A" w:rsidRDefault="00AF5948" w:rsidP="003216CC">
      <w:pPr>
        <w:pStyle w:val="Heading3"/>
        <w:ind w:left="567" w:hanging="567"/>
      </w:pPr>
      <w:r>
        <w:lastRenderedPageBreak/>
        <w:t>U Austriji, Belgiji, Cipru (Skupina II.), Češkoj (Skupina I. i Skupina II.), Danskoj (Skupina III.), Estoniji, Italiji (Skupina II. i Skupina III.), Litvi, Luksemburgu, Latviji, Nizozemskoj, Rumunjskoj (Skupina I. i Skupina II.) i Švedskoj, prema mišljenju socijalnih partnera i organizacija civilnog društva, nacionalne vlade ne uspijevaju učinkovito prenijeti preporuke za pojedine zemlje u konkretne politike, pri čemu se provedba često opisuje kao djelomična, slaba, spora ili nepotpuna.</w:t>
      </w:r>
    </w:p>
    <w:p w14:paraId="58C72AF7" w14:textId="77777777" w:rsidR="00AF5948" w:rsidRPr="00BF727A" w:rsidRDefault="00AF5948" w:rsidP="003216CC">
      <w:pPr>
        <w:pStyle w:val="Heading3"/>
        <w:numPr>
          <w:ilvl w:val="0"/>
          <w:numId w:val="0"/>
        </w:numPr>
        <w:ind w:left="720"/>
      </w:pPr>
    </w:p>
    <w:p w14:paraId="7EDEBE22" w14:textId="5DF0A3C8" w:rsidR="000D640C" w:rsidRPr="00BF727A" w:rsidRDefault="00B758A0" w:rsidP="003216CC">
      <w:pPr>
        <w:pStyle w:val="Heading3"/>
        <w:ind w:left="567" w:hanging="567"/>
      </w:pPr>
      <w:r>
        <w:t>Socijalni partneri i organizacije civilnog društva iz Austrije, Italije, Portugala i Slovačke ističu da postoji velik jaz između oblikovanja politika i njihove provedbe u praksi.</w:t>
      </w:r>
    </w:p>
    <w:p w14:paraId="166582AC" w14:textId="77777777" w:rsidR="000D640C" w:rsidRPr="00D57DC2" w:rsidRDefault="000D640C" w:rsidP="00266D04">
      <w:pPr>
        <w:pStyle w:val="ListParagraph"/>
        <w:spacing w:line="288" w:lineRule="auto"/>
        <w:ind w:left="-115"/>
        <w:jc w:val="both"/>
        <w:rPr>
          <w:rFonts w:ascii="Times New Roman" w:eastAsia="Times New Roman" w:hAnsi="Times New Roman" w:cs="Times New Roman"/>
          <w:noProof w:val="0"/>
          <w:sz w:val="22"/>
          <w:szCs w:val="22"/>
        </w:rPr>
      </w:pPr>
    </w:p>
    <w:p w14:paraId="19A1CCE7" w14:textId="328D52AD" w:rsidR="00544B51" w:rsidRPr="00BF727A" w:rsidRDefault="00B758A0" w:rsidP="003216CC">
      <w:pPr>
        <w:pStyle w:val="Heading3"/>
        <w:ind w:left="567" w:hanging="567"/>
      </w:pPr>
      <w:r>
        <w:t>Neki predstavnici iz Grčke, Italije i Latvije naglašavaju da samo utvrđivanje izazova nije dovoljno jer je glavna poteškoća u provedbi i izvršenju. Smatraju da je potrebna snažna politička volja kako bi se osiguralo da se preporuke za pojedine zemlje učinkovito pretvore u konkretno političko djelovanje.</w:t>
      </w:r>
    </w:p>
    <w:p w14:paraId="64585433" w14:textId="77777777" w:rsidR="00544B51" w:rsidRPr="00BF727A" w:rsidRDefault="00544B51" w:rsidP="003216CC">
      <w:pPr>
        <w:rPr>
          <w:kern w:val="28"/>
          <w:szCs w:val="22"/>
          <w:u w:val="single"/>
        </w:rPr>
      </w:pPr>
    </w:p>
    <w:p w14:paraId="2BA31C85" w14:textId="72A9873E" w:rsidR="00544B51" w:rsidRPr="00BF727A" w:rsidRDefault="00544B51" w:rsidP="00266D04">
      <w:pPr>
        <w:keepNext/>
        <w:keepLines/>
        <w:rPr>
          <w:b/>
          <w:szCs w:val="22"/>
        </w:rPr>
      </w:pPr>
      <w:r>
        <w:rPr>
          <w:u w:val="single"/>
        </w:rPr>
        <w:t>Pitanje br. 4.</w:t>
      </w:r>
      <w:r>
        <w:t xml:space="preserve">: </w:t>
      </w:r>
      <w:r>
        <w:rPr>
          <w:b/>
        </w:rPr>
        <w:t>Je li se 2025. poboljšalo sudjelovanje socijalnih partnera i organizacija civilnog društva u dijalogu između vaše vlade i Europske komisije? Kako to ocjenjujete? Čime bi se poboljšalo sudjelovanje socijalnih partnera i organizacija civilnog društva?</w:t>
      </w:r>
    </w:p>
    <w:p w14:paraId="1F2A46AA" w14:textId="77777777" w:rsidR="000D640C" w:rsidRPr="00BF727A" w:rsidRDefault="000D640C" w:rsidP="00266D04">
      <w:pPr>
        <w:keepNext/>
        <w:keepLines/>
        <w:rPr>
          <w:b/>
          <w:szCs w:val="22"/>
        </w:rPr>
      </w:pPr>
    </w:p>
    <w:p w14:paraId="6671F894" w14:textId="17331454" w:rsidR="000D640C" w:rsidRPr="00BF727A" w:rsidRDefault="000D640C" w:rsidP="003216CC">
      <w:pPr>
        <w:pStyle w:val="Heading3"/>
        <w:ind w:left="567" w:hanging="567"/>
      </w:pPr>
      <w:r>
        <w:t>U Cipru, Grčkoj, Hrvatskoj (Skupina I. i Skupina III.), Mađarskoj, Italiji (Skupina I. i Skupina III.), Litvi, Poljskoj, Rumunjskoj (Skupina I.) i Sloveniji, socijalni partneri i organizacije civilnog društva smatraju da je 2025. došlo do porasta savjetovanja i dijaloga s njihovom vladom i Europskom komisijom. Smatraju da se dijalog poboljšao u pogledu oblika, ali ne i sadržaja, te da je i dalje nedovoljan u pogledu kvalitete, dubine i stvarnog utjecaja na oblikovanje politika.</w:t>
      </w:r>
    </w:p>
    <w:p w14:paraId="3D5A3928" w14:textId="77777777" w:rsidR="000D640C" w:rsidRPr="00BF727A" w:rsidRDefault="000D640C" w:rsidP="003216CC">
      <w:pPr>
        <w:pStyle w:val="Heading3"/>
        <w:numPr>
          <w:ilvl w:val="0"/>
          <w:numId w:val="0"/>
        </w:numPr>
        <w:ind w:left="720"/>
      </w:pPr>
    </w:p>
    <w:p w14:paraId="494F82E1" w14:textId="208388CB" w:rsidR="000D640C" w:rsidRPr="00BF727A" w:rsidRDefault="000D640C" w:rsidP="003216CC">
      <w:pPr>
        <w:pStyle w:val="Heading3"/>
        <w:ind w:left="567" w:hanging="567"/>
      </w:pPr>
      <w:r>
        <w:t>U Austriji, Belgiji, Bugarskoj, Češkoj, Njemačkoj, Danskoj (Skupina II. i Skupina III.), Estoniji (Skupina II. i Skupina III.), Španjolskoj, Finskoj, Francuskoj, Hrvatskoj (Skupina II.), Irskoj, Italiji (Skupina II. i Skupina III.), Latviji, Luksemburgu, Malti, Nizozemskoj, Portugalu, Rumunjskoj (Skupina II. i Skupina III.), Švedskoj i Slovačkoj uključenost socijalnih partnera i civilnog društva ostaje uglavnom nepromijenjena, proceduralna ili nedostatna. 2025. nije ostvaren znatan napredak, a u nekim slučajevima čak je došlo do nazadovanja. Sudjelovanje se često smatra simboličnom usklađenošću, a ne stvarnim suodlučivanjem ili zajedničkim osmišljavanjem. Često ne postoji dosljedan nacionalni okvir kojim se savjetovanja povezuju s procesima dijaloga EU-a.</w:t>
      </w:r>
    </w:p>
    <w:p w14:paraId="0A5CD94B" w14:textId="77777777" w:rsidR="000D640C" w:rsidRPr="00BF727A" w:rsidRDefault="000D640C" w:rsidP="003216CC">
      <w:pPr>
        <w:pStyle w:val="Heading3"/>
        <w:numPr>
          <w:ilvl w:val="0"/>
          <w:numId w:val="0"/>
        </w:numPr>
        <w:ind w:left="720"/>
      </w:pPr>
    </w:p>
    <w:p w14:paraId="2708C6C6" w14:textId="39946315" w:rsidR="000D640C" w:rsidRPr="00BF727A" w:rsidRDefault="00143034" w:rsidP="003216CC">
      <w:pPr>
        <w:pStyle w:val="Heading3"/>
        <w:ind w:left="567" w:hanging="567"/>
      </w:pPr>
      <w:r>
        <w:t>Što se tiče sudjelovanja socijalnih partnera i organizacija civilnog društva u dijalogu između vlada i Europske komisije o preporukama za pojedine zemlje, ocjene po zemljama su kako slijedi: „aktivna uključenost” u Hrvatskoj (Skupina I. i Skupina III.), Mađarskoj i Švedskoj; „vidljiva, ali nedovoljna uključenost” u Belgiji, Cipru, Češkoj (Skupina I. i Skupina II.), Grčkoj, Finskoj, Francuskoj, Hrvatskoj (Skupina II.), Italiji (Skupina I. i za neke zemlje iz Skupine III.), Latviji, Litvi, Luksemburgu, Poljskoj, Rumunjskoj (Skupina I.), Sloveniji i Slovačkoj; „slaba uključenost” u Austriji, Bugarskoj, Njemačkoj, Danskoj (Skupina II. i Skupina III.), Estoniji (Skupina II. i Skupina III.), Španjolskoj (Skupina I. i Skupina III.), Irskoj, Italiji (Skupina II. i za neke zemlje iz Skupine III.), Malti, Nizozemskoj, Portugalu i Rumunjskoj (Skupina II.); i „nema uključenosti” u Češkoj (Skupina III.) i Španjolskoj (Skupina II.).</w:t>
      </w:r>
    </w:p>
    <w:p w14:paraId="16BE5A12" w14:textId="77777777" w:rsidR="000D640C" w:rsidRPr="00BF727A" w:rsidRDefault="000D640C" w:rsidP="003216CC">
      <w:pPr>
        <w:pStyle w:val="Heading3"/>
        <w:numPr>
          <w:ilvl w:val="0"/>
          <w:numId w:val="0"/>
        </w:numPr>
        <w:ind w:left="720"/>
      </w:pPr>
    </w:p>
    <w:p w14:paraId="7F20CD73" w14:textId="3D49A5A3" w:rsidR="00456658" w:rsidRPr="00BF727A" w:rsidRDefault="000D640C" w:rsidP="003216CC">
      <w:pPr>
        <w:pStyle w:val="Heading3"/>
        <w:ind w:left="567" w:hanging="567"/>
      </w:pPr>
      <w:r>
        <w:t xml:space="preserve">Naposljetku, u većini država članica EU-a socijalni partneri i organizacije civilnog društva naglašavaju potrebu za ranijim, značajnijim i više strukturiranim sudjelovanjem u cijelom ciklusu politike (od osmišljavanja do provedbe i evaluacije), a ne u savjetovanjima koja su kasna, proceduralna ili se provode na </w:t>
      </w:r>
      <w:r>
        <w:rPr>
          <w:i/>
        </w:rPr>
        <w:t>ad hoc</w:t>
      </w:r>
      <w:r>
        <w:t xml:space="preserve"> osnovi. U Belgiji, Njemačkoj, Španjolskoj (Skupina III.), Poljskoj, Portugalu, Sloveniji i Slovačkoj ispitanici smatraju da bi vlade trebale odgovarati na primjedbe i objasniti zašto su prijedlozi prihvaćeni ili odbijeni. Ispitanici iz Belgije, Češke, Mađarske, Malte i Poljske ističu potrebu za jačanjem kapaciteta i resursa socijalnih partnera i organizacija civilnog društva, posebno boljom financijskom potporom, mogućnostima osposobljavanja i izgradnjom institucijskih kapaciteta kako bi se omogućilo djelotvornije sudjelovanje u procesu europskog semestra. Ispitanici iz Austrije, Danske (Skupina II. i Skupina III.), Grčke, Španjolske (Skupina II. i Skupina III.), Hrvatske (Skupina II. i Skupina III.), Italije, Luksemburga i Slovenije ističu potrebu za većom strukturiranosti i institucionaliziranosti mehanizama dijaloga, uključujući formalizirane okvire, stabilne i predvidljive postupke savjetovanja i redovito zakazane forume kako bi se osiguralo sustavno i kontinuirano sudjelovanje.</w:t>
      </w:r>
    </w:p>
    <w:p w14:paraId="6CC4D608" w14:textId="77777777" w:rsidR="00A46347" w:rsidRPr="00BF727A" w:rsidRDefault="00A46347" w:rsidP="003216CC">
      <w:pPr>
        <w:rPr>
          <w:szCs w:val="22"/>
        </w:rPr>
      </w:pPr>
    </w:p>
    <w:p w14:paraId="5653E771" w14:textId="4D64282B" w:rsidR="00A46347" w:rsidRPr="00BF727A" w:rsidRDefault="00A46347" w:rsidP="003216CC">
      <w:pPr>
        <w:pStyle w:val="Heading2"/>
        <w:keepNext/>
        <w:rPr>
          <w:szCs w:val="22"/>
        </w:rPr>
      </w:pPr>
      <w:r>
        <w:rPr>
          <w:i/>
        </w:rPr>
        <w:t>Odjeljak II.: Provedba i praćenje nacionalnih srednjoročnih fiskalno-strukturnih planova</w:t>
      </w:r>
    </w:p>
    <w:p w14:paraId="690038E2" w14:textId="77777777" w:rsidR="003E4090" w:rsidRPr="00BF727A" w:rsidRDefault="003E4090" w:rsidP="003216CC">
      <w:pPr>
        <w:keepNext/>
        <w:rPr>
          <w:szCs w:val="22"/>
        </w:rPr>
      </w:pPr>
    </w:p>
    <w:p w14:paraId="65D31355" w14:textId="77777777" w:rsidR="000D640C" w:rsidRPr="00BF727A" w:rsidRDefault="000D640C" w:rsidP="003216CC">
      <w:pPr>
        <w:rPr>
          <w:b/>
          <w:szCs w:val="22"/>
        </w:rPr>
      </w:pPr>
      <w:r>
        <w:rPr>
          <w:u w:val="single"/>
        </w:rPr>
        <w:t xml:space="preserve">Pitanje br. 5.: </w:t>
      </w:r>
      <w:r>
        <w:t xml:space="preserve"> </w:t>
      </w:r>
      <w:r>
        <w:rPr>
          <w:b/>
        </w:rPr>
        <w:t>Imate li potrebne kapacitete i resurse (povezane s administracijom, znanjem, vremenom itd.) za praćenje provedbe plana vaše zemlje i godišnjeg izvješća o napretku? Ako ne, što vam je potrebno kako biste to postigli?</w:t>
      </w:r>
    </w:p>
    <w:p w14:paraId="2FFB57CF" w14:textId="77777777" w:rsidR="00F6672F" w:rsidRPr="00BF727A" w:rsidRDefault="00F6672F" w:rsidP="003216CC">
      <w:pPr>
        <w:rPr>
          <w:szCs w:val="22"/>
        </w:rPr>
      </w:pPr>
    </w:p>
    <w:p w14:paraId="6D9984E9" w14:textId="20720450" w:rsidR="000D640C" w:rsidRPr="00BF727A" w:rsidRDefault="00FA59C6" w:rsidP="003216CC">
      <w:pPr>
        <w:pStyle w:val="Heading3"/>
        <w:ind w:left="567" w:hanging="567"/>
      </w:pPr>
      <w:r>
        <w:t>Socijalni partneri i organizacije civilnog društva u većini država članica smatraju da imaju dostatne administrativne kapacitete za praćenje provedbe u teoriji, ali naglašavaju da su kapaciteti u praksi neujednačeni i znatno ograničeni vremenskim pritiskom, radnim opterećenjem i ograničenim resursima (posebno za manje organizacije). Asimetrija u kapacitetu organizacija strukturni je problem koji se ponavlja. Uz to ispitanici općenito navode da posjeduju potrebno znanje i analitičko razumijevanje. Međutim, to je neravnomjerno raspoređeno i nedovoljno strukturirano.</w:t>
      </w:r>
    </w:p>
    <w:p w14:paraId="358CC11A" w14:textId="77777777" w:rsidR="000D640C" w:rsidRPr="00BF727A" w:rsidRDefault="000D640C" w:rsidP="003216CC">
      <w:pPr>
        <w:pStyle w:val="Heading3"/>
        <w:numPr>
          <w:ilvl w:val="0"/>
          <w:numId w:val="0"/>
        </w:numPr>
        <w:ind w:left="720"/>
      </w:pPr>
    </w:p>
    <w:p w14:paraId="73D8CFFE" w14:textId="3F507E39" w:rsidR="000D640C" w:rsidRPr="00BF727A" w:rsidRDefault="00C76E5D" w:rsidP="003216CC">
      <w:pPr>
        <w:pStyle w:val="Heading3"/>
        <w:ind w:left="567" w:hanging="567"/>
      </w:pPr>
      <w:r>
        <w:t>Socijalni partneri i organizacije civilnog društva u Belgiji, Bugarskoj, Danskoj (Skupina II.), Španjolskoj (Skupina II.), Francuskoj, Hrvatskoj, Italiji (Skupina II.), Portugalu i Sloveniji izvješćuju da, iako imaju vremena pratiti postupak, to nije dovoljno kako bi mogli na odgovarajući način analizirati informacije, provesti savjetovanja i pružiti bitan doprinos.</w:t>
      </w:r>
    </w:p>
    <w:p w14:paraId="5FB04366" w14:textId="77777777" w:rsidR="000D640C" w:rsidRPr="00BF727A" w:rsidRDefault="000D640C" w:rsidP="003216CC">
      <w:pPr>
        <w:pStyle w:val="Heading3"/>
        <w:numPr>
          <w:ilvl w:val="0"/>
          <w:numId w:val="0"/>
        </w:numPr>
        <w:ind w:left="720"/>
      </w:pPr>
    </w:p>
    <w:p w14:paraId="08169146" w14:textId="41E49A1F" w:rsidR="000D640C" w:rsidRPr="00BF727A" w:rsidRDefault="000D640C" w:rsidP="003216CC">
      <w:pPr>
        <w:pStyle w:val="Heading3"/>
        <w:ind w:left="567" w:hanging="567"/>
      </w:pPr>
      <w:r>
        <w:t>Nadalje, ispitanici u Belgiji, Njemačkoj, Italiji (Skupina III.) i Litvi ističu da je, čak i kad postoji kapacitet, praćenje ograničeno slabom transparentnošću, fragmentiranim izvješćivanjem i činjenicom da javna tijela ne osiguravaju pravodobne ili upotrebljive podatke u dovoljnoj mjeri.</w:t>
      </w:r>
    </w:p>
    <w:p w14:paraId="64CFEF83" w14:textId="77777777" w:rsidR="000D640C" w:rsidRPr="00BF727A" w:rsidRDefault="000D640C" w:rsidP="003216CC">
      <w:pPr>
        <w:pStyle w:val="Heading3"/>
        <w:numPr>
          <w:ilvl w:val="0"/>
          <w:numId w:val="0"/>
        </w:numPr>
        <w:ind w:left="720"/>
      </w:pPr>
    </w:p>
    <w:p w14:paraId="0EE3CB25" w14:textId="5165A5A5" w:rsidR="000D640C" w:rsidRPr="00BF727A" w:rsidRDefault="000D640C" w:rsidP="003216CC">
      <w:pPr>
        <w:pStyle w:val="Heading3"/>
        <w:ind w:left="567" w:hanging="567"/>
        <w:rPr>
          <w:kern w:val="28"/>
          <w:u w:val="single"/>
        </w:rPr>
      </w:pPr>
      <w:r>
        <w:t>Naposljetku, socijalni partneri i civilno društvo iz Češke (Skupina III.), Danske (Skupina III.), Mađarske, Irske, Italije (Skupina III.), Malte, Nizozemske, Poljske, Rumunjske (Skupina I. i Skupina III.), Slovenije i Slovačke ističu da nemaju dovoljno institucijskih resursa za sustavno praćenje provedbe, čak i ako imaju određeno tehničko znanje.</w:t>
      </w:r>
    </w:p>
    <w:p w14:paraId="4752E47D" w14:textId="77777777" w:rsidR="00B6623A" w:rsidRPr="00BF727A" w:rsidRDefault="00B6623A" w:rsidP="003216CC">
      <w:pPr>
        <w:rPr>
          <w:szCs w:val="22"/>
        </w:rPr>
      </w:pPr>
    </w:p>
    <w:p w14:paraId="52147563" w14:textId="52AB0762" w:rsidR="00A46347" w:rsidRPr="00BF727A" w:rsidRDefault="00A46347" w:rsidP="003216CC">
      <w:pPr>
        <w:pStyle w:val="Heading2"/>
        <w:keepNext/>
        <w:ind w:left="567" w:hanging="567"/>
        <w:rPr>
          <w:szCs w:val="22"/>
        </w:rPr>
      </w:pPr>
      <w:r>
        <w:rPr>
          <w:i/>
        </w:rPr>
        <w:lastRenderedPageBreak/>
        <w:t>Odjeljak III.: Dovršetak reformi i ulaganja predviđenih nacionalnim planovima za oporavak i otpornost</w:t>
      </w:r>
    </w:p>
    <w:p w14:paraId="75E838F8" w14:textId="77777777" w:rsidR="00656F0B" w:rsidRPr="00BF727A" w:rsidRDefault="00656F0B" w:rsidP="003216CC">
      <w:pPr>
        <w:keepNext/>
        <w:rPr>
          <w:kern w:val="28"/>
          <w:szCs w:val="22"/>
          <w:u w:val="single"/>
        </w:rPr>
      </w:pPr>
    </w:p>
    <w:p w14:paraId="7125102B" w14:textId="6EB0DF06" w:rsidR="000D640C" w:rsidRPr="00BF727A" w:rsidRDefault="000D640C" w:rsidP="003216CC">
      <w:pPr>
        <w:rPr>
          <w:b/>
          <w:szCs w:val="22"/>
        </w:rPr>
      </w:pPr>
      <w:r>
        <w:rPr>
          <w:u w:val="single"/>
        </w:rPr>
        <w:t xml:space="preserve">Pitanje br. 6: </w:t>
      </w:r>
      <w:r>
        <w:rPr>
          <w:b/>
        </w:rPr>
        <w:t>Kako gledate na napredak u provedbi nacionalnog plana za oporavak i otpornost vaše zemlje?</w:t>
      </w:r>
    </w:p>
    <w:p w14:paraId="6FFCBEE8" w14:textId="77777777" w:rsidR="000D640C" w:rsidRPr="00BF727A" w:rsidRDefault="000D640C" w:rsidP="003216CC">
      <w:pPr>
        <w:rPr>
          <w:b/>
          <w:szCs w:val="22"/>
        </w:rPr>
      </w:pPr>
    </w:p>
    <w:p w14:paraId="73E1EB92" w14:textId="61A850FC" w:rsidR="000D640C" w:rsidRPr="00BF727A" w:rsidRDefault="000D640C" w:rsidP="003216CC">
      <w:pPr>
        <w:pStyle w:val="Heading3"/>
        <w:ind w:left="567" w:hanging="567"/>
      </w:pPr>
      <w:r>
        <w:t>U Austriji (Skupina I.), Bugarskoj, Cipru (Skupina III.), Češkoj (Skupina I. i Skupina III.), Estoniji (Skupina I.), Grčkoj, Španjolskoj, Francuskoj, Hrvatskoj, Irskoj, Italiji (Skupina I. i Skupina III.), Luksemburgu, Malti, Portugalu, Švedskoj i Sloveniji socijalni partneri i organizacije civilnog društva smatraju da provedba nacionalnih planova za oporavak i otpornost dobro napreduje, pri čemu su postignute mnoge ključne etape i ciljne vrijednosti, te da reforme i ulaganja napreduju, iako su neujednačeni ili nepotpuni.</w:t>
      </w:r>
    </w:p>
    <w:p w14:paraId="3D17438B" w14:textId="77777777" w:rsidR="000D640C" w:rsidRPr="00BF727A" w:rsidRDefault="000D640C" w:rsidP="003216CC">
      <w:pPr>
        <w:pStyle w:val="Heading3"/>
        <w:numPr>
          <w:ilvl w:val="0"/>
          <w:numId w:val="0"/>
        </w:numPr>
        <w:ind w:left="720"/>
      </w:pPr>
    </w:p>
    <w:p w14:paraId="4086ED82" w14:textId="22073AC0" w:rsidR="000D640C" w:rsidRPr="00BF727A" w:rsidRDefault="000D640C" w:rsidP="003216CC">
      <w:pPr>
        <w:pStyle w:val="Heading3"/>
        <w:ind w:left="567" w:hanging="567"/>
      </w:pPr>
      <w:r>
        <w:t>Međutim, mnogi upućuju na preostale izazove u provedbi. Na primjer, ističu stalna ograničenja koja utječu na brzinu i djelotvornost provedbe. Ispitanici iz Grčke navode kašnjenja uzrokovana strukturom službi odgovornih za upravljanje resursima i manjkom njihova osoblja, nepostojanje obveznih privremenih rokova za provedbu projekata izvan faza dogovorenih s EU-om i nedovoljno praćenje provedbe projekata. U Hrvatskoj i Italiji ispitanici smatraju da je potreba za jačanjem administrativnih kapaciteta jedan od glavnih izazova u provedbi. Ispitanici iz Portugala napominju i da nije vjerojatno da će ta zemlja moći provesti cijeli plan.</w:t>
      </w:r>
    </w:p>
    <w:p w14:paraId="13526F0B" w14:textId="77777777" w:rsidR="000D640C" w:rsidRPr="00BF727A" w:rsidRDefault="000D640C" w:rsidP="003216CC">
      <w:pPr>
        <w:rPr>
          <w:szCs w:val="22"/>
        </w:rPr>
      </w:pPr>
    </w:p>
    <w:p w14:paraId="5C7AB22A" w14:textId="10DDF89E" w:rsidR="000D640C" w:rsidRPr="00BF727A" w:rsidRDefault="000D640C" w:rsidP="003216CC">
      <w:pPr>
        <w:pStyle w:val="Heading3"/>
        <w:ind w:left="567" w:hanging="567"/>
      </w:pPr>
      <w:r>
        <w:t>Nadalje, neki ispitanici naglašavaju i važnost reformi koje nadilaze potrošnju, naglašavajući da je strukturni učinak i dalje neizvjestan i da financijsko izvršenje još nije u potpunosti pretočeno u dublju strukturnu preobrazbu. Na primjer, ispitanici iz Slovenije navode da je ukupni učinak tih mjera i dalje nejasan, dok ispitanici iz Italije napominju da plan još nije proizveo vidljive učinke u smislu administrativnih reformi, modernizacije infrastrukture, konkurentnijeg proizvodnog sustava u cjelini ili povećanja ljudskog kapitala i vještina potrebnih za razvoj. Osim toga, ispitanici iz Irske, Italije i Litve ističu preostale socijalne izazove, kao što su siromaštvo i nedostatak socijalnog i cjenovno pristupačnog stanovanja te integracije ranjivih skupina na tržište rada.</w:t>
      </w:r>
    </w:p>
    <w:p w14:paraId="6A11E5CC" w14:textId="77777777" w:rsidR="000D640C" w:rsidRPr="00BF727A" w:rsidRDefault="000D640C" w:rsidP="003216CC">
      <w:pPr>
        <w:pStyle w:val="Heading3"/>
        <w:numPr>
          <w:ilvl w:val="0"/>
          <w:numId w:val="0"/>
        </w:numPr>
        <w:ind w:left="720"/>
      </w:pPr>
    </w:p>
    <w:p w14:paraId="4BA9BC91" w14:textId="1955DC08" w:rsidR="000D640C" w:rsidRPr="00BF727A" w:rsidRDefault="000D640C" w:rsidP="003216CC">
      <w:pPr>
        <w:pStyle w:val="Heading3"/>
        <w:ind w:left="567" w:hanging="567"/>
      </w:pPr>
      <w:r>
        <w:t>U Austriji (Skupina II.), Cipru (Skupina I.), Njemačkoj, Danskoj (Skupina II. i Skupina III.), Finskoj, Italiji (Skupina II. i Skupina III.), Latviji, Poljskoj i Slovačkoj socijalni partneri i organizacije civilnog društva neutralni su u pogledu tog pitanja. Općenito smatraju da je postignut napredak, ali da ga je i dalje teško u potpunosti procijeniti. Stvarni učinak, brzina i učinkovitost provedbe i dalje su neizvjesni ili ograničeni administrativnim i postupovnim pitanjima.</w:t>
      </w:r>
    </w:p>
    <w:p w14:paraId="49B3F160" w14:textId="77777777" w:rsidR="000D640C" w:rsidRPr="00BF727A" w:rsidRDefault="000D640C" w:rsidP="003216CC">
      <w:pPr>
        <w:pStyle w:val="Heading3"/>
        <w:numPr>
          <w:ilvl w:val="0"/>
          <w:numId w:val="0"/>
        </w:numPr>
        <w:ind w:left="720"/>
      </w:pPr>
    </w:p>
    <w:p w14:paraId="4BE0FBD2" w14:textId="5D0911DD" w:rsidR="000D640C" w:rsidRPr="00BF727A" w:rsidRDefault="000D640C" w:rsidP="003216CC">
      <w:pPr>
        <w:pStyle w:val="Heading3"/>
        <w:ind w:left="567" w:hanging="567"/>
        <w:rPr>
          <w:kern w:val="28"/>
          <w:u w:val="single"/>
        </w:rPr>
      </w:pPr>
      <w:r>
        <w:t xml:space="preserve">U Austriji (Skupina III.), Estoniji (Skupina II. i Skupina III.), Španjolskoj (Skupina I.), Mađarskoj, Italiji (Skupina II.), Nizozemskoj i Rumunjskoj socijalni partneri i organizacije civilnog društva imaju negativnu predodžbu o napretku postignutom u provedbi nacionalnih planova za oporavak i otpornost. Općenito ističu njihovo slabo sudjelovanje, što doprinosi loše osmišljenim planovima, niskoj razini odgovornosti i neuspješnoj provedbi. Osim toga, većina ih izvješćuje o ozbiljnim problemima u provedbi, uključujući kašnjenja, blokirane reforme ili nemogućnost ispunjavanja rokova i ciljnih vrijednosti. Ispitanici u Austriji (Skupina III.), Španjolskoj (Skupina I.) i Rumunjskoj smatraju da slabi administrativni kapaciteti i opterećujući </w:t>
      </w:r>
      <w:r>
        <w:lastRenderedPageBreak/>
        <w:t>postupci usporavaju provedbu i apsorpciju sredstava. Opetovani problemi su nejasni postupci, nedostatak dostupnih informacija i slaba odgovornost.</w:t>
      </w:r>
    </w:p>
    <w:p w14:paraId="69EA1C97" w14:textId="77777777" w:rsidR="000D640C" w:rsidRPr="00BF727A" w:rsidRDefault="000D640C" w:rsidP="003216CC">
      <w:pPr>
        <w:rPr>
          <w:kern w:val="28"/>
          <w:szCs w:val="22"/>
          <w:u w:val="single"/>
        </w:rPr>
      </w:pPr>
    </w:p>
    <w:p w14:paraId="68DE7269" w14:textId="042DC64D" w:rsidR="00656F0B" w:rsidRPr="00BF727A" w:rsidRDefault="00656F0B" w:rsidP="00266D04">
      <w:pPr>
        <w:keepNext/>
        <w:keepLines/>
        <w:rPr>
          <w:b/>
          <w:szCs w:val="22"/>
        </w:rPr>
      </w:pPr>
      <w:r>
        <w:rPr>
          <w:u w:val="single"/>
        </w:rPr>
        <w:t>Pitanje br. 7.:</w:t>
      </w:r>
      <w:r>
        <w:rPr>
          <w:b/>
        </w:rPr>
        <w:t xml:space="preserve"> Budući da bi Mehanizam za oporavak i otpornost trebao završiti krajem 2026., koje su glavne pouke koje ste izvukli zahvaljujući tom instrumentu, pozitivne i negativne?</w:t>
      </w:r>
    </w:p>
    <w:p w14:paraId="3971F47C" w14:textId="77777777" w:rsidR="000D640C" w:rsidRPr="00BF727A" w:rsidRDefault="000D640C" w:rsidP="00266D04">
      <w:pPr>
        <w:keepNext/>
        <w:keepLines/>
        <w:rPr>
          <w:kern w:val="28"/>
          <w:szCs w:val="22"/>
          <w:u w:val="single"/>
        </w:rPr>
      </w:pPr>
    </w:p>
    <w:p w14:paraId="0BBB5DB6" w14:textId="58DE7204" w:rsidR="000D640C" w:rsidRPr="00BF727A" w:rsidRDefault="000D640C" w:rsidP="003216CC">
      <w:pPr>
        <w:pStyle w:val="Heading3"/>
        <w:ind w:left="567" w:hanging="567"/>
      </w:pPr>
      <w:r>
        <w:rPr>
          <w:b/>
        </w:rPr>
        <w:t>Kad je riječ o stečenim pozitivnim iskustvima</w:t>
      </w:r>
      <w:r>
        <w:t>, socijalni partneri i organizacije civilnog društva iz Belgije, Češke (Skupina I. i Skupina II.), Grčke, Španjolske, Irske, Italije, Latvije, Malte, Poljske, Rumunjske (Skupina I. i Skupina III.), Švedske, Slovenije i Slovačke navode da Mehanizam za oporavak i otpornost uspješno povezuje reforme s ulaganjima i istodobno potiče strateške prioritete (zeleno, digitalno, otpornost) na nacionalnoj razini i razini EU-a. Mehanizam za oporavak i otpornost vrlo je cijenjen zbog kombiniranja financiranja s reformama i usklađivanja potrošnje s dugoročnim prioritetima EU-a, zbog čega je strateški usmjereniji od tradicionalnih instrumenata.</w:t>
      </w:r>
    </w:p>
    <w:p w14:paraId="2E06B867" w14:textId="77777777" w:rsidR="000D640C" w:rsidRPr="00BF727A" w:rsidRDefault="000D640C" w:rsidP="003216CC">
      <w:pPr>
        <w:pStyle w:val="Heading3"/>
        <w:numPr>
          <w:ilvl w:val="0"/>
          <w:numId w:val="0"/>
        </w:numPr>
        <w:ind w:left="720"/>
      </w:pPr>
    </w:p>
    <w:p w14:paraId="52DD247A" w14:textId="2F9DA485" w:rsidR="000D640C" w:rsidRPr="00BF727A" w:rsidRDefault="000D640C" w:rsidP="003216CC">
      <w:pPr>
        <w:pStyle w:val="Heading3"/>
        <w:ind w:left="567" w:hanging="567"/>
      </w:pPr>
      <w:r>
        <w:t xml:space="preserve">Osim toga, prema ispitanicima u Njemačkoj, Španjolskoj (Skupina I. i Skupina II.), Italiji, Litvi i Slovačkoj, Mehanizam za oporavak i otpornost pokazao je veliku dodanu vrijednost EU-a zahvaljujući solidarnosti, opsegu i koordinaciji, posebno u krizama. Smatra se da stvara pozitivne učinke prelijevanja unutar država članica EU-a i među njima. </w:t>
      </w:r>
    </w:p>
    <w:p w14:paraId="08CD4D17" w14:textId="77777777" w:rsidR="000D640C" w:rsidRPr="00BF727A" w:rsidRDefault="000D640C" w:rsidP="003216CC">
      <w:pPr>
        <w:pStyle w:val="Heading3"/>
        <w:numPr>
          <w:ilvl w:val="0"/>
          <w:numId w:val="0"/>
        </w:numPr>
        <w:ind w:left="720"/>
      </w:pPr>
    </w:p>
    <w:p w14:paraId="47132CFE" w14:textId="4C360E83" w:rsidR="000D640C" w:rsidRPr="00BF727A" w:rsidRDefault="000D640C" w:rsidP="003216CC">
      <w:pPr>
        <w:pStyle w:val="Heading3"/>
        <w:ind w:left="567" w:hanging="567"/>
      </w:pPr>
      <w:r>
        <w:t>Nadalje, još jedna ključna pouka koju ističu ispitanici iz Češke (Skupina I. i Skupina II.), Grčke, Španjolske (Skupina I.), Italije, Rumunjske (Skupina I.) i Slovenije jest učinkovitost pristupa upravljanju koji se temelji na uspješnosti (na temelju rezultata), za koji smatraju da jača provedbu politika.</w:t>
      </w:r>
    </w:p>
    <w:p w14:paraId="45B1EA9C" w14:textId="77777777" w:rsidR="000D640C" w:rsidRPr="00BF727A" w:rsidRDefault="000D640C" w:rsidP="003216CC">
      <w:pPr>
        <w:pStyle w:val="Heading3"/>
        <w:numPr>
          <w:ilvl w:val="0"/>
          <w:numId w:val="0"/>
        </w:numPr>
        <w:ind w:left="720"/>
      </w:pPr>
    </w:p>
    <w:p w14:paraId="55823072" w14:textId="50D7A80E" w:rsidR="000D640C" w:rsidRPr="00BF727A" w:rsidRDefault="000D640C" w:rsidP="003216CC">
      <w:pPr>
        <w:pStyle w:val="Heading3"/>
        <w:ind w:left="567" w:hanging="567"/>
      </w:pPr>
      <w:r>
        <w:t>Naposljetku, neki ispitanici u Belgiji, Danskoj (Skupina II.), Hrvatskoj (Skupina I.), Italiji i Rumunjskoj napominju i da Mehanizam za oporavak i otpornost doprinosi boljoj praksi upravljanja i koordinaciji među akterima.</w:t>
      </w:r>
    </w:p>
    <w:p w14:paraId="7E897414" w14:textId="77777777" w:rsidR="000D640C" w:rsidRPr="00D57DC2" w:rsidRDefault="000D640C" w:rsidP="00266D04">
      <w:pPr>
        <w:pStyle w:val="ListParagraph"/>
        <w:spacing w:line="288" w:lineRule="auto"/>
        <w:ind w:left="-115"/>
        <w:jc w:val="both"/>
        <w:rPr>
          <w:rFonts w:ascii="Times New Roman" w:hAnsi="Times New Roman" w:cs="Times New Roman"/>
          <w:noProof w:val="0"/>
          <w:sz w:val="22"/>
          <w:szCs w:val="22"/>
        </w:rPr>
      </w:pPr>
    </w:p>
    <w:p w14:paraId="7A372E54" w14:textId="62563CCF" w:rsidR="000D640C" w:rsidRPr="00BF727A" w:rsidRDefault="000D640C" w:rsidP="003216CC">
      <w:pPr>
        <w:pStyle w:val="Heading3"/>
        <w:ind w:left="567" w:hanging="567"/>
      </w:pPr>
      <w:r>
        <w:rPr>
          <w:b/>
        </w:rPr>
        <w:t>Kad je riječ o negativnim stečenim iskustvima</w:t>
      </w:r>
      <w:r>
        <w:t>, socijalni partneri i organizacije civilnog društva iz Austrije, Belgije, Cipra, Grčke, Španjolske, Francuske, Hrvatske, Italije i Slovačke izvješćuju da instrument ima veliko administrativno opterećenje i da je vrlo složen, često u kombinaciji s ograničenjima kapaciteta i posljedičnim kašnjenjima ili neučinkovitostima u provedbi. Mehanizam za oporavak i otpornost općenito se smatra previše složenim i opterećujućim, što usporava provedbu, ograničava pristup i smanjuje ukupnu djelotvornost.</w:t>
      </w:r>
    </w:p>
    <w:p w14:paraId="31F95184" w14:textId="77777777" w:rsidR="000D640C" w:rsidRPr="00BF727A" w:rsidRDefault="000D640C" w:rsidP="003216CC">
      <w:pPr>
        <w:pStyle w:val="Heading3"/>
        <w:numPr>
          <w:ilvl w:val="0"/>
          <w:numId w:val="0"/>
        </w:numPr>
        <w:ind w:left="720"/>
      </w:pPr>
    </w:p>
    <w:p w14:paraId="162DDDEF" w14:textId="4EA46C71" w:rsidR="00770974" w:rsidRPr="00BF727A" w:rsidRDefault="000D640C" w:rsidP="003216CC">
      <w:pPr>
        <w:pStyle w:val="Heading3"/>
        <w:ind w:left="567" w:hanging="567"/>
      </w:pPr>
      <w:r>
        <w:t>Osim toga, sudjelovanje socijalnih partnera i civilnog društva često se kritizira u odgovorima iz Austrije, Češke, Danske, Grčke, Španjolske, Italije, Nizozemske, Rumunjske i Slovenije. Često se smatra nedovoljnim, kasnim ili isključivo proceduralnim, čime se oslabljuje odgovornost i kvaliteta politika. Ispitanici iz Belgije, Španjolske, Italije i Rumunjske naglašavaju i da se upravljanje često smatra previše centraliziranim, nedovoljno transparentnim i neuključivim.</w:t>
      </w:r>
    </w:p>
    <w:p w14:paraId="4795182A" w14:textId="77777777" w:rsidR="00770974" w:rsidRPr="00BF727A" w:rsidRDefault="00770974" w:rsidP="003216CC">
      <w:pPr>
        <w:pStyle w:val="Heading3"/>
        <w:numPr>
          <w:ilvl w:val="0"/>
          <w:numId w:val="0"/>
        </w:numPr>
        <w:ind w:left="720"/>
      </w:pPr>
    </w:p>
    <w:p w14:paraId="22952410" w14:textId="4EE17CF5" w:rsidR="00656F0B" w:rsidRPr="00BF727A" w:rsidRDefault="000D640C" w:rsidP="003216CC">
      <w:pPr>
        <w:pStyle w:val="Heading3"/>
      </w:pPr>
      <w:r>
        <w:t xml:space="preserve">Nadalje, neki ispitanici iz Španjolske, Poljske, Slovenije i Slovačke ističu ograničenja pristupa koji se temelji na uspješnosti (ključne etape): iako je koristan, kritizira se i zbog poticanja </w:t>
      </w:r>
      <w:r>
        <w:lastRenderedPageBreak/>
        <w:t>formalne usklađenosti u odnosu na stvarni učinak. Može dovesti do nedostatka fleksibilnosti i usmjerenosti na postupke umjesto na ishode.</w:t>
      </w:r>
    </w:p>
    <w:p w14:paraId="20F8011F" w14:textId="77777777" w:rsidR="00F6672F" w:rsidRPr="00BF727A" w:rsidRDefault="00F6672F" w:rsidP="003216CC"/>
    <w:p w14:paraId="2E481799" w14:textId="38A7033C" w:rsidR="00770974" w:rsidRPr="00BF727A" w:rsidRDefault="00976333" w:rsidP="003216CC">
      <w:pPr>
        <w:pStyle w:val="Heading3"/>
      </w:pPr>
      <w:r>
        <w:t>Socijalni partneri i organizacije civilnog društva iz Italije, Nizozemske, Rumunjske i Slovenije ističu kratak vremenski okvir, koji se općenito smatra problematičnim. Rok stvara pritisak i rizike za kvalitetu te uzrokuje preveliku žurbu u provedbi.</w:t>
      </w:r>
    </w:p>
    <w:p w14:paraId="31415D17" w14:textId="77777777" w:rsidR="00770974" w:rsidRPr="00BF727A" w:rsidRDefault="00770974" w:rsidP="003216CC">
      <w:pPr>
        <w:pStyle w:val="Heading3"/>
        <w:numPr>
          <w:ilvl w:val="0"/>
          <w:numId w:val="0"/>
        </w:numPr>
        <w:ind w:left="720"/>
      </w:pPr>
    </w:p>
    <w:p w14:paraId="7304F23C" w14:textId="69FADB3F" w:rsidR="000D640C" w:rsidRPr="00BF727A" w:rsidRDefault="000D640C" w:rsidP="003216CC">
      <w:pPr>
        <w:pStyle w:val="Heading3"/>
        <w:ind w:left="567" w:hanging="567"/>
      </w:pPr>
      <w:r>
        <w:t>Naposljetku, ispitanici iz Cipra, Španjolske, Hrvatske i Slovačke ističu ograničen pristup i nejednako sudjelovanje (posebno za MSP-ove), ističući da se manji sudionici suočavaju sa strukturnim nedostacima i da sustav obično pogoduje većim sudionicima.</w:t>
      </w:r>
    </w:p>
    <w:p w14:paraId="42B60013" w14:textId="77777777" w:rsidR="000D640C" w:rsidRPr="00BF727A" w:rsidRDefault="000D640C" w:rsidP="003216CC">
      <w:pPr>
        <w:rPr>
          <w:szCs w:val="22"/>
        </w:rPr>
      </w:pPr>
    </w:p>
    <w:p w14:paraId="5B2DB67D" w14:textId="13691DA3" w:rsidR="000D640C" w:rsidRPr="00BF727A" w:rsidRDefault="000D640C" w:rsidP="003216CC">
      <w:pPr>
        <w:pStyle w:val="Heading3"/>
        <w:ind w:left="567" w:hanging="567"/>
      </w:pPr>
      <w:r>
        <w:t>Odjeljak IV.: Veza između VFO-a i europskog semestra</w:t>
      </w:r>
    </w:p>
    <w:p w14:paraId="452ED896" w14:textId="77777777" w:rsidR="000D640C" w:rsidRPr="00BF727A" w:rsidRDefault="000D640C" w:rsidP="003216CC">
      <w:pPr>
        <w:rPr>
          <w:kern w:val="28"/>
          <w:szCs w:val="22"/>
        </w:rPr>
      </w:pPr>
    </w:p>
    <w:p w14:paraId="01D14EBC" w14:textId="282B0491" w:rsidR="003B363C" w:rsidRPr="00BF727A" w:rsidRDefault="000D640C" w:rsidP="00266D04">
      <w:pPr>
        <w:keepNext/>
        <w:keepLines/>
        <w:rPr>
          <w:b/>
          <w:szCs w:val="22"/>
        </w:rPr>
      </w:pPr>
      <w:r>
        <w:rPr>
          <w:u w:val="single"/>
        </w:rPr>
        <w:t>Pitanje br. 8.</w:t>
      </w:r>
      <w:r>
        <w:t xml:space="preserve">: </w:t>
      </w:r>
      <w:r>
        <w:rPr>
          <w:b/>
        </w:rPr>
        <w:t>Kako vidite vezu koja će se uspostaviti između europskog semestra i sljedećeg VFO-a?</w:t>
      </w:r>
    </w:p>
    <w:p w14:paraId="41DD1B7A" w14:textId="77777777" w:rsidR="00053CC9" w:rsidRPr="00BF727A" w:rsidRDefault="00053CC9" w:rsidP="00266D04">
      <w:pPr>
        <w:keepNext/>
        <w:keepLines/>
        <w:rPr>
          <w:b/>
          <w:szCs w:val="22"/>
        </w:rPr>
      </w:pPr>
    </w:p>
    <w:p w14:paraId="237F787B" w14:textId="14292EE6" w:rsidR="00053CC9" w:rsidRPr="00BF727A" w:rsidRDefault="00D56C6D" w:rsidP="003216CC">
      <w:pPr>
        <w:pStyle w:val="Heading3"/>
        <w:ind w:left="567" w:hanging="567"/>
      </w:pPr>
      <w:r>
        <w:t xml:space="preserve">Socijalni partneri i organizacije civilnog društva iz Austrije, Cipra (Skupina I.), Češke (Skupina I. i Skupina II.), Grčke, Španjolske, Finske, Hrvatske (Skupina I.), Irske, Italije (Skupina III.), Latvije, Litve, Malte, Portugala, Rumunjske (Skupina I.) i Slovačke imaju pozitivno mišljenje o vezi koja će se uspostaviti između europskog semestra i sljedećeg VFO-a. </w:t>
      </w:r>
    </w:p>
    <w:p w14:paraId="6C3DBFED" w14:textId="77777777" w:rsidR="00053CC9" w:rsidRPr="00BF727A" w:rsidRDefault="00053CC9" w:rsidP="003216CC">
      <w:pPr>
        <w:pStyle w:val="Heading3"/>
        <w:numPr>
          <w:ilvl w:val="0"/>
          <w:numId w:val="0"/>
        </w:numPr>
        <w:ind w:left="720"/>
      </w:pPr>
    </w:p>
    <w:p w14:paraId="17F8DE9C" w14:textId="0AF8FBC9" w:rsidR="00053CC9" w:rsidRPr="00BF727A" w:rsidRDefault="00053CC9" w:rsidP="003216CC">
      <w:pPr>
        <w:pStyle w:val="Heading3"/>
        <w:ind w:left="567" w:hanging="567"/>
      </w:pPr>
      <w:r>
        <w:t xml:space="preserve">Nadalje, ispitanici iz Grčke, Španjolske, Irske, Litve, Latvije, Rumunjske i Slovačke napominju da bi se povezivanjem europskog semestra sa sljedećim VFO-om ojačala koordinacija između preporuka EU-a, nacionalnih reformi i financiranja EU-a, čime bi provedba politika postala dosljednija i učinkovitija. </w:t>
      </w:r>
    </w:p>
    <w:p w14:paraId="4180D5B9" w14:textId="77777777" w:rsidR="00053CC9" w:rsidRPr="00BF727A" w:rsidRDefault="00053CC9" w:rsidP="003216CC">
      <w:pPr>
        <w:pStyle w:val="Heading3"/>
        <w:numPr>
          <w:ilvl w:val="0"/>
          <w:numId w:val="0"/>
        </w:numPr>
        <w:ind w:left="720"/>
      </w:pPr>
    </w:p>
    <w:p w14:paraId="0693E5E3" w14:textId="0A1D1B4F" w:rsidR="00053CC9" w:rsidRPr="00BF727A" w:rsidRDefault="00701C9E" w:rsidP="003216CC">
      <w:pPr>
        <w:pStyle w:val="Heading3"/>
        <w:ind w:left="567" w:hanging="567"/>
      </w:pPr>
      <w:r>
        <w:t>Ispitanici iz Austrije, Češke, Grčke, Španjolske i Malte ističu da u načelu podupiru to povezivanje, ali naglašavaju da uvjetovanost ne bi trebala uzrokovati nacionalnu autonomiju i fleksibilnost. Neki ispitanici iz Austrije, Španjolske (Skupina II.) i Italije (Skupina III.) upozoravaju na prevelik prijenos vlasti na razinu EU-a ili središnje vlade jer vjeruju da centralizacija može oslabiti demokratski legitimitet.</w:t>
      </w:r>
    </w:p>
    <w:p w14:paraId="72E6FA79" w14:textId="77777777" w:rsidR="00053CC9" w:rsidRPr="00BF727A" w:rsidRDefault="00053CC9" w:rsidP="003216CC">
      <w:pPr>
        <w:pStyle w:val="Heading3"/>
        <w:numPr>
          <w:ilvl w:val="0"/>
          <w:numId w:val="0"/>
        </w:numPr>
        <w:ind w:left="720"/>
      </w:pPr>
    </w:p>
    <w:p w14:paraId="2223D8F6" w14:textId="1837CBAC" w:rsidR="00053CC9" w:rsidRPr="00BF727A" w:rsidRDefault="000972F0" w:rsidP="003216CC">
      <w:pPr>
        <w:pStyle w:val="Heading3"/>
        <w:ind w:left="567" w:hanging="567"/>
      </w:pPr>
      <w:r>
        <w:t xml:space="preserve">Socijalni partneri i organizacije civilnog društva iz Belgije, Bugarske, Francuske, Hrvatske (Skupina III.), Mađarske, Italije (Skupina II. i Skupina III.), Luksemburga, Rumunjske (Skupina II.), Švedske i Slovenije neutralni su u pogledu tog pitanja. Ispitanici iz Belgije, Francuske, Hrvatske (Skupina III.), Mađarske, Italije (Skupina II.), Švedske i Slovenije oprezni su u pogledu posljedica povezivanja financiranja EU-a s europskim semestrom na upravljanje, a posebno su zabrinuti zbog uvjetovanosti, ovlasti za donošenje odluka i institucionalne ravnoteže. Čak i oni koji se ne protive povezanosti smatraju da je politički osjetljiva i da zahtijeva zaštitne mjere. </w:t>
      </w:r>
    </w:p>
    <w:p w14:paraId="54472983" w14:textId="77777777" w:rsidR="00053CC9" w:rsidRPr="00BF727A" w:rsidRDefault="00053CC9" w:rsidP="003216CC">
      <w:pPr>
        <w:pStyle w:val="Heading3"/>
        <w:numPr>
          <w:ilvl w:val="0"/>
          <w:numId w:val="0"/>
        </w:numPr>
        <w:ind w:left="720"/>
      </w:pPr>
    </w:p>
    <w:p w14:paraId="3904159E" w14:textId="328C3CE5" w:rsidR="00954E59" w:rsidRPr="00BF727A" w:rsidRDefault="00053CC9" w:rsidP="003216CC">
      <w:pPr>
        <w:pStyle w:val="Heading3"/>
        <w:ind w:left="567" w:hanging="567"/>
      </w:pPr>
      <w:r>
        <w:t xml:space="preserve">Osim toga, ispitanici iz Belgije, Bugarske, Francuske, Rumunjske (Skupina II.) i Slovenije priznaju moguće prednosti povezivanja europskog semestra s VFO-om, ali općenito samo pod određenim uvjetima. Smatraju da bi se tim pristupom mogla poboljšati usklađenost i djelotvornost financiranja EU-a i usklađivanja reformi, ali da njegov uspjeh ovisi o načinu na koji je osmišljen i na koji se provodi. Kao što su napomenuli ispitanici iz Slovenije, njime bi se </w:t>
      </w:r>
      <w:r>
        <w:lastRenderedPageBreak/>
        <w:t xml:space="preserve">prioriteti reformi mogli bolje uskladiti s financijskim sredstvima EU-a. Međutim, ispitanici iz Rumunjske (Skupina II.) smatraju da, iako se ulažu napori u poboljšanje usklađenosti, to ne jamči učinkovitu provedbu, dok se u Francuskoj povezanost smatra logičnom i poželjnom, ali je i dalje nejasna u svojem praktičnom obliku. Slično tome, ispitanici iz Belgije naglašavaju da bi to moglo imati i pozitivne i negativne učinke, ovisno o ambicijama i resursima, te ističu uvjetnu i neizvjesnu prirodu njegovih potencijalnih koristi. </w:t>
      </w:r>
    </w:p>
    <w:p w14:paraId="074DDB72" w14:textId="77777777" w:rsidR="00954E59" w:rsidRPr="00BF727A" w:rsidRDefault="00954E59" w:rsidP="003216CC">
      <w:pPr>
        <w:pStyle w:val="Heading3"/>
        <w:numPr>
          <w:ilvl w:val="0"/>
          <w:numId w:val="0"/>
        </w:numPr>
        <w:ind w:left="720"/>
      </w:pPr>
    </w:p>
    <w:p w14:paraId="49105FC1" w14:textId="4908E173" w:rsidR="00053CC9" w:rsidRPr="00BF727A" w:rsidRDefault="00053CC9" w:rsidP="003216CC">
      <w:pPr>
        <w:pStyle w:val="Heading3"/>
        <w:ind w:left="567" w:hanging="567"/>
      </w:pPr>
      <w:r>
        <w:t>U Italiji (Skupina II.), Luksemburgu i Sloveniji stalno postoji zabrinutost da bi se socijalni i kohezijski ciljevi mogli ublažiti kroz veću centraliziranost modela financiranja. Ispitanici smatraju da gospodarsko upravljanje ne smije biti nauštrb socijalnih ciljeva.</w:t>
      </w:r>
    </w:p>
    <w:p w14:paraId="14364ECD" w14:textId="77777777" w:rsidR="00053CC9" w:rsidRPr="00BF727A" w:rsidRDefault="00053CC9" w:rsidP="003216CC">
      <w:pPr>
        <w:pStyle w:val="Heading3"/>
        <w:numPr>
          <w:ilvl w:val="0"/>
          <w:numId w:val="0"/>
        </w:numPr>
        <w:ind w:left="720"/>
      </w:pPr>
    </w:p>
    <w:p w14:paraId="29C40A6D" w14:textId="5FD0010D" w:rsidR="00053CC9" w:rsidRPr="00BF727A" w:rsidRDefault="00232131" w:rsidP="003216CC">
      <w:pPr>
        <w:pStyle w:val="Heading3"/>
        <w:ind w:left="567" w:hanging="567"/>
      </w:pPr>
      <w:r>
        <w:t>Socijalni partneri i organizacije civilnog društva iz Njemačke, Danske (Skupina II. i Skupina III.), Italije (Skupina I. i Skupina II.),Nizozemske i Rumunjske (Skupina III.) imaju negativno mišljenje o vezi koja će se uspostaviti između europskog semestra i sljedećeg VFO-a. Kao glavni razlog za zabrinutost, posebno u Danskoj (Skupina II. i Skupina III.), Italiji (Skupina I. i Skupina II.) i Nizozemskoj, naveli su da bi povezivanje europskog semestra sa sljedećim VFO-om moglo smanjiti demokratski nadzor i ograničiti smisleno sudjelovanje socijalnih partnera, civilnog društva i nacionalnih parlamenata, uz istodobno preusmjeravanje donošenja odluka na tehnokratske procese na razini EU-a. Ispitanici u Italiji, Nizozemskoj i Rumunjskoj (Skupina III.) zabrinuti su zbog rizika od neravnoteže između socijalnih, gospodarskih i okolišnih politika i ciljeva. Ispitanici iz Danske i Italije upozoravaju i na rizik od prekomjerne uvjetovanosti i prekomjernog administrativnog opterećenja: više pravila, više birokracije i sporija provedba fondova.</w:t>
      </w:r>
    </w:p>
    <w:p w14:paraId="75D57792" w14:textId="77777777" w:rsidR="00053CC9" w:rsidRPr="00BF727A" w:rsidRDefault="00053CC9" w:rsidP="003216CC">
      <w:pPr>
        <w:rPr>
          <w:b/>
          <w:szCs w:val="22"/>
        </w:rPr>
      </w:pPr>
    </w:p>
    <w:p w14:paraId="68AB3D39" w14:textId="2C99F6E2" w:rsidR="00053CC9" w:rsidRPr="00BF727A" w:rsidRDefault="00053CC9" w:rsidP="00266D04">
      <w:pPr>
        <w:keepNext/>
        <w:keepLines/>
        <w:rPr>
          <w:b/>
          <w:szCs w:val="22"/>
        </w:rPr>
      </w:pPr>
      <w:r>
        <w:rPr>
          <w:u w:val="single"/>
        </w:rPr>
        <w:t>Pitanje br. 9.</w:t>
      </w:r>
      <w:r>
        <w:t xml:space="preserve">: </w:t>
      </w:r>
      <w:r>
        <w:rPr>
          <w:b/>
        </w:rPr>
        <w:t>U očekivanju rasprava i predstojećih pregovora suzakonodavaca o prijedlogu Europske komisije (koji bi mogli završiti 2026. ili trajati do 2027.), koje su, na temelju vašeg iskustva, potencijalne koristi takvog novog sustava i, istodobno, rizici i prepreke?</w:t>
      </w:r>
    </w:p>
    <w:p w14:paraId="5BAB76C6" w14:textId="77777777" w:rsidR="00F6672F" w:rsidRPr="00BF727A" w:rsidRDefault="00F6672F" w:rsidP="00266D04">
      <w:pPr>
        <w:keepNext/>
        <w:keepLines/>
        <w:rPr>
          <w:b/>
          <w:szCs w:val="22"/>
        </w:rPr>
      </w:pPr>
    </w:p>
    <w:p w14:paraId="5DB76DD6" w14:textId="66CBE906" w:rsidR="00053CC9" w:rsidRPr="00BF727A" w:rsidRDefault="00053CC9" w:rsidP="003216CC">
      <w:pPr>
        <w:pStyle w:val="Heading3"/>
        <w:ind w:left="567" w:hanging="567"/>
      </w:pPr>
      <w:r>
        <w:rPr>
          <w:b/>
        </w:rPr>
        <w:t>Kad je riječ o potencijalnim koristima</w:t>
      </w:r>
      <w:r>
        <w:t>, socijalni partneri i organizacije civilnog društva u Bugarskoj, Češkoj, Španjolskoj (Skupina III.), Finskoj, Hrvatskoj, Italiji, Rumunjskoj (Skupina I.) i Sloveniji vjeruju da bi se novim sustavom mogla poboljšati usklađenost politika boljim usklađivanjem financiranja EU-a s prioritetima europskog semestra (reforme, preporuke i potrebe za ulaganjima). Time bi politike postale dosljednije, usmjerenije i strateški usklađenije. U Grčkoj, Hrvatskoj, Italiji, Latviji i Portugalu ispitanici očekuju jednostavniji sustav s manjim administrativnim opterećenjem, pojednostavnjenjem i većom učinkovitošću. Ispitanici iz Španjolske (Skupina II.), Hrvatske, Italije, Latvije i Rumunjske (Skupina I.) naglašavaju potencijal za veću fleksibilnost i prilagodljivost financiranja. Korist koja se opetovano ističe u odgovorima Češke, Grčke, Hrvatske, Italije i Švedske poboljšana je prioritizacija i usmjerenost na rezultate. Naposljetku, ispitanici iz Belgije, Njemačke, Grčke, Španjolske (Skupina II.), Hrvatske (Skupina III.), Poljske i Slovenije ističu da učinkovitost i koristi ovise o uključivom i transparentnom upravljanju, demokratskom legitimitetu i sudjelovanju dionika.</w:t>
      </w:r>
    </w:p>
    <w:p w14:paraId="58F5D100" w14:textId="77777777" w:rsidR="00F6672F" w:rsidRPr="00BF727A" w:rsidRDefault="00F6672F" w:rsidP="003216CC"/>
    <w:p w14:paraId="7B4F5D37" w14:textId="5885F128" w:rsidR="00053CC9" w:rsidRPr="00BF727A" w:rsidRDefault="00053CC9" w:rsidP="003216CC">
      <w:pPr>
        <w:pStyle w:val="Heading3"/>
        <w:ind w:left="567" w:hanging="567"/>
      </w:pPr>
      <w:r>
        <w:rPr>
          <w:b/>
        </w:rPr>
        <w:t>Kad je riječ o potencijalnim rizicima</w:t>
      </w:r>
      <w:r>
        <w:t xml:space="preserve">, socijalni partneri i organizacije civilnog društva u Austriji, Njemačkoj, Španjolskoj (Skupina II.), Francuskoj, Hrvatskoj, Italiji, Latviji, Poljskoj, Portugalu, Rumunjskoj (Skupina I. i Skupina II.), Švedskoj i Sloveniji utvrdili su potencijalni </w:t>
      </w:r>
      <w:r>
        <w:lastRenderedPageBreak/>
        <w:t>rizik od prekomjerne centralizacije i gubitka supsidijarnosti, čime bi se smanjila nacionalna, regionalna i lokalna autonomija u donošenju odluka. To se često kombinira sa zabrinutošću zbog smanjene demokratske legitimnosti i ograničene uključenosti dionika. Ispitanici iz Belgije, Češke, Grčke, Španjolske, Francuske, Hrvatske i Slovačke ističu rizik od povećane birokracije i složenosti te većeg administrativnog opterećenja. Osim toga, ispitanici iz Belgije, Češke, Estonije, Grčke, Irske i Slovenije primjećuju potencijalni rizik od stroge uvjetovanosti, što bi moglo smanjiti prilagodljivost (fleksibilnost) i sporu provedbu. Ispitanici iz Španjolske, Francuske, Italije, Nizozemske, Rumunjske (Skupina III.) i Slovenije ističu potencijalni rizik od loše socijalne ravnoteže i slabijih socijalnih politika.</w:t>
      </w:r>
    </w:p>
    <w:p w14:paraId="33B8C467" w14:textId="77777777" w:rsidR="00F6672F" w:rsidRPr="00BF727A" w:rsidRDefault="00F6672F" w:rsidP="003216CC"/>
    <w:p w14:paraId="18E7B123" w14:textId="1A043616" w:rsidR="00053CC9" w:rsidRPr="00BF727A" w:rsidRDefault="00053CC9" w:rsidP="003216CC">
      <w:pPr>
        <w:pStyle w:val="Heading3"/>
        <w:ind w:left="567" w:hanging="567"/>
        <w:rPr>
          <w:b/>
        </w:rPr>
      </w:pPr>
      <w:r>
        <w:rPr>
          <w:b/>
        </w:rPr>
        <w:t>Kad je riječ o potencijalnim preprekama</w:t>
      </w:r>
      <w:r>
        <w:t>, socijalni partneri i organizacije civilnog društva u Belgiji, Grčkoj, Španjolskoj (Skupina III.), Francuskoj, Hrvatskoj, Italiji i Nizozemskoj smatraju da je glavna potencijalna prepreka visok rizik od složenosti upravljanja i provedbe, posebno zbog izazova u koordinaciji na više razina (na razini EU-a te na nacionalnoj i regionalnoj razini), velikog administrativnog opterećenja i preopterećenja postupka. Smatraju da bi sustav mogao postati presložen za učinkovito upravljanje, što bi dovelo do kašnjenja, neučinkovitosti i problema s koordinacijom na svim razinama upravljanja. Ispitanici iz Belgije, Češke, Portugala i Slovenije ističu i nacionalno političko neslaganje i nestabilnost kao prepreke koje bi mogle usporiti provedbu.</w:t>
      </w:r>
    </w:p>
    <w:p w14:paraId="5C9AB65E" w14:textId="77777777" w:rsidR="00053CC9" w:rsidRPr="00BF727A" w:rsidRDefault="00053CC9" w:rsidP="003216CC">
      <w:pPr>
        <w:rPr>
          <w:b/>
          <w:szCs w:val="22"/>
        </w:rPr>
      </w:pPr>
    </w:p>
    <w:p w14:paraId="4B14B706" w14:textId="24713031" w:rsidR="00053CC9" w:rsidRPr="00BF727A" w:rsidRDefault="00053CC9" w:rsidP="00266D04">
      <w:pPr>
        <w:keepNext/>
        <w:keepLines/>
        <w:rPr>
          <w:b/>
          <w:szCs w:val="22"/>
        </w:rPr>
      </w:pPr>
      <w:r>
        <w:rPr>
          <w:u w:val="single"/>
        </w:rPr>
        <w:t>Pitanje br. 10.</w:t>
      </w:r>
      <w:r>
        <w:t xml:space="preserve">: </w:t>
      </w:r>
      <w:r>
        <w:rPr>
          <w:b/>
        </w:rPr>
        <w:t>Kako, prema vašem mišljenju, možemo osigurati snažno i učinkovito sudjelovanje lokalnih i regionalnih partnera, socijalnih partnera i organizacija civilnog društva, kao i predstavnika sektora i industrija?</w:t>
      </w:r>
    </w:p>
    <w:p w14:paraId="37BFD5ED" w14:textId="77777777" w:rsidR="00053CC9" w:rsidRPr="00BF727A" w:rsidRDefault="00053CC9" w:rsidP="00266D04">
      <w:pPr>
        <w:keepNext/>
        <w:keepLines/>
        <w:rPr>
          <w:b/>
          <w:szCs w:val="22"/>
        </w:rPr>
      </w:pPr>
    </w:p>
    <w:p w14:paraId="312C748E" w14:textId="24EBDFA3" w:rsidR="00053CC9" w:rsidRPr="00BF727A" w:rsidRDefault="00053CC9" w:rsidP="003216CC">
      <w:pPr>
        <w:pStyle w:val="Heading3"/>
        <w:ind w:left="567" w:hanging="567"/>
      </w:pPr>
      <w:r>
        <w:t>Kao prvo, socijalni partneri i organizacije civilnog društva u većini država članica naglašavaju da je ključno da Europska komisija izradi jasne smjernice u uredbi EU-a za države članice o tome kako strukturirano i smisleno uključiti socijalne partnere i organizacije civilnog društva.</w:t>
      </w:r>
    </w:p>
    <w:p w14:paraId="11803B3D" w14:textId="77777777" w:rsidR="00053CC9" w:rsidRPr="00BF727A" w:rsidRDefault="00053CC9" w:rsidP="003216CC">
      <w:pPr>
        <w:pStyle w:val="Heading3"/>
        <w:numPr>
          <w:ilvl w:val="0"/>
          <w:numId w:val="0"/>
        </w:numPr>
        <w:ind w:left="720"/>
      </w:pPr>
    </w:p>
    <w:p w14:paraId="7F6D49DB" w14:textId="7CAE5F3D" w:rsidR="00053CC9" w:rsidRPr="00BF727A" w:rsidRDefault="00053CC9" w:rsidP="003216CC">
      <w:pPr>
        <w:pStyle w:val="Heading3"/>
        <w:ind w:left="567" w:hanging="567"/>
      </w:pPr>
      <w:r>
        <w:t>Kao drugo, socijalni partneri i organizacije civilnog društva u Austriji, Češkoj, Danskoj (Skupina II. i Skupina III.), Estoniji, Španjolskoj, Finskoj, Francuskoj, Hrvatskoj (Skupina I. i Skupina III.), Mađarskoj, Italiji, Latviji, Nizozemskoj, Portugalu i Sloveniji naglašavaju da bi Europska komisija trebala predložiti i „provjeru civilnog društva” kako bi se dodatno zajamčila potpuna uključenost nacionalnih predstavnika civilnog društva u pripremu, provedbu i evaluaciju planova.</w:t>
      </w:r>
    </w:p>
    <w:p w14:paraId="1EB74754" w14:textId="77777777" w:rsidR="00053CC9" w:rsidRPr="00BF727A" w:rsidRDefault="00053CC9" w:rsidP="003216CC">
      <w:pPr>
        <w:pStyle w:val="Heading3"/>
        <w:numPr>
          <w:ilvl w:val="0"/>
          <w:numId w:val="0"/>
        </w:numPr>
        <w:ind w:left="720"/>
      </w:pPr>
    </w:p>
    <w:p w14:paraId="7838233A" w14:textId="16471782" w:rsidR="00053CC9" w:rsidRPr="00BF727A" w:rsidRDefault="00053CC9" w:rsidP="003216CC">
      <w:pPr>
        <w:pStyle w:val="Heading3"/>
        <w:ind w:left="567" w:hanging="567"/>
      </w:pPr>
      <w:r>
        <w:t>Kao treće, ispitanici iz Belgije, Češke, Njemačke, Danske, Grčke, Španjolske, Francuske (Skupina III.), Hrvatske (Skupina I. i Skupina II.), Italije, Malte, Portugala, Švedske, Slovenije i Slovačke smatraju da bi Europska komisija trebala zatražiti od nacionalnih socijalnih partnera i organizacija civilnog društva da podnesu prijedloge za rješavanje izazova utvrđenih u europskom semestru, oslanjajući se na pokretače politika, posebno ako se ti izazovi odnose na socijalna pitanja, pitanja rada i tržišta rada, kako je utvrđeno u okviru za socijalnu konvergenciju.</w:t>
      </w:r>
    </w:p>
    <w:p w14:paraId="1CAC4D60" w14:textId="77777777" w:rsidR="00053CC9" w:rsidRPr="00BF727A" w:rsidRDefault="00053CC9" w:rsidP="003216CC">
      <w:pPr>
        <w:pStyle w:val="Heading3"/>
        <w:numPr>
          <w:ilvl w:val="0"/>
          <w:numId w:val="0"/>
        </w:numPr>
        <w:ind w:left="720"/>
      </w:pPr>
    </w:p>
    <w:p w14:paraId="19212588" w14:textId="75C832E3" w:rsidR="00053CC9" w:rsidRPr="00BF727A" w:rsidRDefault="00053CC9" w:rsidP="003216CC">
      <w:pPr>
        <w:pStyle w:val="Heading3"/>
        <w:ind w:left="567" w:hanging="567"/>
      </w:pPr>
      <w:r>
        <w:t xml:space="preserve">Kao četvrto, ispitanici iz Bugarske, Češke, Grčke, Španjolske, Irske, Italije (Skupina II. i Skupina III.), Latvije, Malte, Portugala, Slovenije i Slovačke pozivaju Europsku komisiju da </w:t>
      </w:r>
      <w:r>
        <w:lastRenderedPageBreak/>
        <w:t>odredi smisleno sudjelovanje socijalnih partnera i organizacija civilnog društva kao kriterij za odobravanje ili, ako nema takvog sudjelovanja, odbijanje nacionalnih planova.</w:t>
      </w:r>
    </w:p>
    <w:p w14:paraId="27A99B17" w14:textId="77777777" w:rsidR="00053CC9" w:rsidRPr="00BF727A" w:rsidRDefault="00053CC9" w:rsidP="003216CC">
      <w:pPr>
        <w:shd w:val="clear" w:color="auto" w:fill="FFFFFF" w:themeFill="background1"/>
        <w:rPr>
          <w:szCs w:val="22"/>
        </w:rPr>
      </w:pPr>
    </w:p>
    <w:p w14:paraId="30AF7C2D" w14:textId="02933B19" w:rsidR="00053CC9" w:rsidRPr="00BF727A" w:rsidRDefault="00053CC9" w:rsidP="003216CC">
      <w:pPr>
        <w:pStyle w:val="Heading3"/>
        <w:ind w:left="567" w:hanging="567"/>
      </w:pPr>
      <w:r>
        <w:t>Kao peto, socijalni partneri i organizacije civilnog društva u Njemačkoj, Grčkoj, Španjolskoj, Hrvatskoj, Irskoj, Italiji, Litvi, Latviji, Poljskoj i Sloveniji ističu da bi Europska komisija trebala ojačati načelo partnerstva poboljšanjem kodeksa ponašanja i osigurati financiranje za izgradnju kapaciteta i tehničku pomoć. Smatraju da svi dionici, na svim razinama, moraju biti istinski uključeni u donošenje odluka o dodjeli sredstava, strateškim prioritetima, programima, pokazateljima i evaluaciji.</w:t>
      </w:r>
    </w:p>
    <w:p w14:paraId="573B9460" w14:textId="77777777" w:rsidR="00053CC9" w:rsidRPr="00BF727A" w:rsidRDefault="00053CC9" w:rsidP="003216CC">
      <w:pPr>
        <w:pStyle w:val="Heading3"/>
        <w:numPr>
          <w:ilvl w:val="0"/>
          <w:numId w:val="0"/>
        </w:numPr>
        <w:ind w:left="720"/>
      </w:pPr>
    </w:p>
    <w:p w14:paraId="7EB0EE75" w14:textId="4C85D96E" w:rsidR="00053CC9" w:rsidRPr="00E66C2D" w:rsidRDefault="00053CC9" w:rsidP="003216CC">
      <w:pPr>
        <w:pStyle w:val="Heading3"/>
        <w:ind w:left="567" w:hanging="567"/>
        <w:rPr>
          <w:b/>
        </w:rPr>
      </w:pPr>
      <w:r>
        <w:t>Naposljetku, ispitanici iz Irske predlažu da Komisija razvije vodeća načela u obliku direktive, a ne uredbe, kako bi se ona mogla lako prilagoditi različitim nacionalnim mehanizmima za dijalog. Neki predstavnici poduzeća u IT-u predlažu osnivanje stalnog europskog opservatorija i godišnjeg izvješća o najboljim praksama u politikama i programima za razvoj MSP-ova.</w:t>
      </w:r>
    </w:p>
    <w:p w14:paraId="55C6426F" w14:textId="77777777" w:rsidR="00A46347" w:rsidRPr="00EE18EC" w:rsidRDefault="00A46347" w:rsidP="003216CC">
      <w:pPr>
        <w:ind w:left="567"/>
        <w:rPr>
          <w:szCs w:val="22"/>
        </w:rPr>
      </w:pPr>
    </w:p>
    <w:p w14:paraId="18FB211D" w14:textId="7CEF9DE1" w:rsidR="00835C6C" w:rsidRPr="00E66C2D" w:rsidRDefault="00716DCD" w:rsidP="00266D04">
      <w:pPr>
        <w:pStyle w:val="Heading1"/>
        <w:keepNext/>
        <w:keepLines/>
        <w:ind w:left="567" w:hanging="567"/>
      </w:pPr>
      <w:r>
        <w:rPr>
          <w:b/>
        </w:rPr>
        <w:t>Zaključci</w:t>
      </w:r>
    </w:p>
    <w:p w14:paraId="3575F6E5" w14:textId="77777777" w:rsidR="00835C6C" w:rsidRPr="00EE18EC" w:rsidRDefault="00835C6C" w:rsidP="00266D04">
      <w:pPr>
        <w:keepNext/>
        <w:keepLines/>
        <w:rPr>
          <w:szCs w:val="22"/>
        </w:rPr>
      </w:pPr>
    </w:p>
    <w:p w14:paraId="353D83AB" w14:textId="3902CFB6" w:rsidR="006F61DA" w:rsidRPr="00BF727A" w:rsidRDefault="003C7171" w:rsidP="003216CC">
      <w:pPr>
        <w:pStyle w:val="Heading3"/>
        <w:ind w:left="567" w:hanging="567"/>
      </w:pPr>
      <w:r>
        <w:t>Socijalni partneri i organizacije civilnog društva općenito prihvaćaju preporuke za pojedine zemlje u svim državama članicama kao općenito relevantne i usklađene s ključnim nacionalnim gospodarskim i strukturnim izazovima. Međutim, to prihvaćanje dosljedno je popraćeno prijavljenim nedostacima u pogledu prenošenja tih preporuka u konkretne mjere politike nacionalnih vlada, kao i uključivanjem socijalnih partnera i civilnog društva. Osim toga, dionici često ističu neravnotežu u prioritetima politika, pri čemu se smatra da se gospodarski i fiskalni ciljevi više uzimaju u obzir nego socijalna pitanja. Socijalne dimenzije, uključujući uvjete na tržištu rada, plaće i nejednakost, često se smatraju nedovoljno zastupljenima u različitim okvirima politike. Smatra se da ta neravnoteža doprinosi širem strukturnom demokratskom deficitu u europskom semestru, što može ugroziti legitimnost i učinkovitost koordinacije politika EU-a. Nadalje, razina provedbe socijalnih preporuka po državama članicama često se smatra nedostatnom, neučinkovitom ili nepostojećom, čak i ako s vremenom pokreću određenu dinamiku nacionalnih reformi.</w:t>
      </w:r>
    </w:p>
    <w:p w14:paraId="69343482" w14:textId="77777777" w:rsidR="00387FB1" w:rsidRPr="00BF727A" w:rsidRDefault="00387FB1" w:rsidP="003216CC">
      <w:pPr>
        <w:pStyle w:val="Heading3"/>
        <w:numPr>
          <w:ilvl w:val="0"/>
          <w:numId w:val="0"/>
        </w:numPr>
        <w:ind w:left="720"/>
      </w:pPr>
    </w:p>
    <w:p w14:paraId="349BC12A" w14:textId="4B4E035E" w:rsidR="006F61DA" w:rsidRPr="00BF727A" w:rsidRDefault="006F61DA" w:rsidP="003216CC">
      <w:pPr>
        <w:pStyle w:val="Heading3"/>
        <w:ind w:left="567" w:hanging="567"/>
      </w:pPr>
      <w:r>
        <w:t xml:space="preserve">Kad je riječ o provedbi Mehanizma za oporavak i otpornost, mnogi dionici utvrđuju razlike između oblikovanja politika i njihove stvarne provedbe, pri čemu se provedba opisuje kao neujednačena, djelomična ili administrativno i institucijski ograničena. Opetovanu zabrinutost uzrokuje uloga administrativnih kapaciteta i postupovnu složenost. </w:t>
      </w:r>
    </w:p>
    <w:p w14:paraId="08F54D5B" w14:textId="77777777" w:rsidR="006F61DA" w:rsidRPr="00BF727A" w:rsidRDefault="006F61DA" w:rsidP="003216CC">
      <w:pPr>
        <w:pStyle w:val="Heading3"/>
        <w:numPr>
          <w:ilvl w:val="0"/>
          <w:numId w:val="0"/>
        </w:numPr>
        <w:ind w:left="720"/>
      </w:pPr>
    </w:p>
    <w:p w14:paraId="1D73F3A3" w14:textId="57A5CB7E" w:rsidR="006F61DA" w:rsidRPr="00BF727A" w:rsidRDefault="006F61DA" w:rsidP="003216CC">
      <w:pPr>
        <w:pStyle w:val="Heading3"/>
        <w:ind w:left="567" w:hanging="567"/>
        <w:rPr>
          <w:b/>
          <w:bCs/>
        </w:rPr>
      </w:pPr>
      <w:r>
        <w:t>Kad je riječ o resursima dostupnima socijalnim partnerima i organizacijama civilnog društva te njihovu kapacitetu za praćenje provedbe nacionalnog srednjoročnog fiskalno-strukturnog plana i godišnjeg izvješća o napretku, ispitanici ističu da ograničeni resursi, veliko administrativno opterećenje i fragmentirani postupci utječu i na provedbu reformi i na njihovu sposobnost djelotvornog praćenja napretka. Ta su ograničenja često popraćena nedovoljnom transparentnošću i ograničenom dostupnošću pravodobnih i upotrebljivih podataka.</w:t>
      </w:r>
    </w:p>
    <w:p w14:paraId="725D1EC3" w14:textId="77777777" w:rsidR="006F61DA" w:rsidRPr="00BF727A" w:rsidRDefault="006F61DA" w:rsidP="003216CC">
      <w:pPr>
        <w:rPr>
          <w:szCs w:val="22"/>
        </w:rPr>
      </w:pPr>
    </w:p>
    <w:p w14:paraId="033932F1" w14:textId="0E7C89E7" w:rsidR="006F61DA" w:rsidRPr="00BF727A" w:rsidRDefault="006F61DA" w:rsidP="003216CC">
      <w:pPr>
        <w:pStyle w:val="Heading3"/>
        <w:ind w:left="567" w:hanging="567"/>
      </w:pPr>
      <w:r>
        <w:t xml:space="preserve">Još jedan dosljedan zaključak odnosi se na uključenost socijalnih partnera i organizacija civilnog društva u europski semestar i povezane instrumente EU-a. Iako formalni mehanizmi savjetovanja postoje u većini država članica, sudjelovanje se općenito smatra načelno </w:t>
      </w:r>
      <w:r>
        <w:lastRenderedPageBreak/>
        <w:t>nedovoljnim, često se odvija prekasno u postupku ili ima ograničen utjecaj na konačne političke odluke. To dovodi do percepcije da je angažman i dalje uglavnom proceduralan, a ne učinkovit.</w:t>
      </w:r>
    </w:p>
    <w:p w14:paraId="1CE1FE88" w14:textId="77777777" w:rsidR="006F61DA" w:rsidRPr="00BF727A" w:rsidRDefault="006F61DA" w:rsidP="003216CC">
      <w:pPr>
        <w:pStyle w:val="Heading3"/>
        <w:numPr>
          <w:ilvl w:val="0"/>
          <w:numId w:val="0"/>
        </w:numPr>
        <w:ind w:left="720"/>
      </w:pPr>
    </w:p>
    <w:p w14:paraId="74E9FD6D" w14:textId="13290454" w:rsidR="00C73F2D" w:rsidRDefault="00D40B9B" w:rsidP="003216CC">
      <w:pPr>
        <w:pStyle w:val="Heading3"/>
        <w:ind w:left="567" w:hanging="567"/>
      </w:pPr>
      <w:r>
        <w:t>Kad je riječ o vezi između VFO-a i europskog semestra, postoje oprečna stajališta u pogledu, s jedne strane, napora za jačanje koordinacije na razini EU-a i, s druge strane, zabrinutosti u pogledu centralizacije. Iako je bolja usklađenost između instrumenata EU-a, posebno europskog semestra i sljedećeg VFO-a, i nacionalnih politika prepoznata kao mogući način za poboljšanje usklađenosti i djelotvornosti, dionici u nekoliko država članica izražavaju zabrinutost zbog njezinih posljedica. To uključuje moguće učinke na nacionalnu autonomiju, rizike za demokratski nadzor i moguće neravnoteže u postupcima donošenja odluka, posebno ako upravljanje postane više centralizirano ili se poveća uvjetovanost.</w:t>
      </w:r>
    </w:p>
    <w:p w14:paraId="18B3C8F0" w14:textId="77777777" w:rsidR="00023309" w:rsidRDefault="00023309" w:rsidP="003216CC"/>
    <w:p w14:paraId="443050F1" w14:textId="393870BE" w:rsidR="00023309" w:rsidRDefault="00023309" w:rsidP="003216CC">
      <w:r>
        <w:t>Bruxelles, 4. lipnja 2026.</w:t>
      </w:r>
    </w:p>
    <w:p w14:paraId="0C9DF868" w14:textId="77777777" w:rsidR="00023309" w:rsidRDefault="00023309" w:rsidP="003216CC"/>
    <w:p w14:paraId="234F72DE" w14:textId="77777777" w:rsidR="00023309" w:rsidRDefault="00023309" w:rsidP="003216CC"/>
    <w:p w14:paraId="3ED6D800" w14:textId="77777777" w:rsidR="00023309" w:rsidRPr="00513042" w:rsidRDefault="00023309" w:rsidP="003216CC">
      <w:pPr>
        <w:rPr>
          <w:i/>
          <w:iCs/>
        </w:rPr>
      </w:pPr>
      <w:r>
        <w:rPr>
          <w:i/>
          <w:iCs/>
        </w:rPr>
        <w:t>Predsjednica Stručne skupine za ekonomsku i monetarnu uniju te ekonomsku i socijalnu koheziju</w:t>
      </w:r>
    </w:p>
    <w:p w14:paraId="28439A3A" w14:textId="64ABD647" w:rsidR="00C73F2D" w:rsidRPr="00C73F2D" w:rsidRDefault="00023309" w:rsidP="003216CC">
      <w:r>
        <w:t>Elena Alexandra CALISTRU</w:t>
      </w:r>
    </w:p>
    <w:p w14:paraId="748A0E40" w14:textId="77777777" w:rsidR="00926C67" w:rsidRPr="00BF727A" w:rsidRDefault="00926C67" w:rsidP="003216CC">
      <w:pPr>
        <w:jc w:val="center"/>
        <w:rPr>
          <w:szCs w:val="22"/>
        </w:rPr>
      </w:pPr>
    </w:p>
    <w:p w14:paraId="489BE4D0" w14:textId="4AC7F836" w:rsidR="00DA1B10" w:rsidRPr="00BF727A" w:rsidRDefault="00DA1B10" w:rsidP="003216CC">
      <w:pPr>
        <w:jc w:val="center"/>
        <w:rPr>
          <w:szCs w:val="22"/>
        </w:rPr>
      </w:pPr>
      <w:r>
        <w:t>_____________</w:t>
      </w:r>
    </w:p>
    <w:sectPr w:rsidR="00DA1B10" w:rsidRPr="00BF727A" w:rsidSect="003216C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5E99" w14:textId="77777777" w:rsidR="00B8521B" w:rsidRDefault="00B8521B">
      <w:r>
        <w:separator/>
      </w:r>
    </w:p>
  </w:endnote>
  <w:endnote w:type="continuationSeparator" w:id="0">
    <w:p w14:paraId="4B054ED7" w14:textId="77777777" w:rsidR="00B8521B" w:rsidRDefault="00B8521B">
      <w:r>
        <w:continuationSeparator/>
      </w:r>
    </w:p>
  </w:endnote>
  <w:endnote w:type="continuationNotice" w:id="1">
    <w:p w14:paraId="3018721A" w14:textId="77777777" w:rsidR="00B8521B" w:rsidRDefault="00B852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BBAB" w14:textId="77777777" w:rsidR="00DC2FFE" w:rsidRPr="003216CC" w:rsidRDefault="00DC2FFE" w:rsidP="0032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1ABE" w14:textId="29154955" w:rsidR="00CB5F3C"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rsidR="00780EA2">
      <w:t>1</w:t>
    </w:r>
    <w:r>
      <w:fldChar w:fldCharType="end"/>
    </w:r>
    <w:r>
      <w:t>/</w:t>
    </w:r>
    <w:fldSimple w:instr=" NUMPAGES ">
      <w:r w:rsidR="00780EA2">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E4E7" w14:textId="77777777" w:rsidR="00DC2FFE" w:rsidRPr="003216CC" w:rsidRDefault="00DC2FFE" w:rsidP="003216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6A1F" w14:textId="77777777" w:rsidR="00B43AAA" w:rsidRPr="003216CC" w:rsidRDefault="00B43AAA" w:rsidP="003216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9064" w14:textId="547CFE60" w:rsidR="00646AC2"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t>2</w:t>
    </w:r>
    <w:r>
      <w:fldChar w:fldCharType="end"/>
    </w:r>
    <w:r>
      <w:t>/</w:t>
    </w:r>
    <w:fldSimple w:instr=" NUMPAGES ">
      <w:r>
        <w:t>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75EC" w14:textId="77777777" w:rsidR="00B43AAA" w:rsidRPr="003216CC" w:rsidRDefault="00B43AAA" w:rsidP="0032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6303" w14:textId="77777777" w:rsidR="00B8521B" w:rsidRDefault="00B8521B">
      <w:r>
        <w:separator/>
      </w:r>
    </w:p>
  </w:footnote>
  <w:footnote w:type="continuationSeparator" w:id="0">
    <w:p w14:paraId="39712C2B" w14:textId="77777777" w:rsidR="00B8521B" w:rsidRDefault="00B8521B">
      <w:r>
        <w:continuationSeparator/>
      </w:r>
    </w:p>
  </w:footnote>
  <w:footnote w:type="continuationNotice" w:id="1">
    <w:p w14:paraId="45EE55D4" w14:textId="77777777" w:rsidR="00B8521B" w:rsidRDefault="00B8521B">
      <w:pPr>
        <w:spacing w:line="240" w:lineRule="auto"/>
      </w:pPr>
    </w:p>
  </w:footnote>
  <w:footnote w:id="2">
    <w:p w14:paraId="38D6C46A" w14:textId="6F27751A" w:rsidR="00650F0F" w:rsidRPr="00930103" w:rsidRDefault="00650F0F" w:rsidP="00E540C5">
      <w:pPr>
        <w:pStyle w:val="FootnoteText"/>
        <w:ind w:left="567" w:hanging="567"/>
      </w:pPr>
      <w:r>
        <w:rPr>
          <w:rStyle w:val="FootnoteReference"/>
        </w:rPr>
        <w:footnoteRef/>
      </w:r>
      <w:r>
        <w:tab/>
      </w:r>
      <w:hyperlink r:id="rId1" w:history="1">
        <w:r>
          <w:rPr>
            <w:rStyle w:val="Hyperlink"/>
          </w:rPr>
          <w:t>Preporuke EGSO-a o prijedlozima za reforme i ulaganja iznesenima u okviru ciklusa europskog semestra 2025. – 2026.</w:t>
        </w:r>
      </w:hyperlink>
    </w:p>
  </w:footnote>
  <w:footnote w:id="3">
    <w:p w14:paraId="2239EF00" w14:textId="3111DD01" w:rsidR="00C30E75" w:rsidRPr="00DA02D5" w:rsidRDefault="00C30E75" w:rsidP="00E540C5">
      <w:pPr>
        <w:pStyle w:val="FootnoteText"/>
        <w:ind w:left="567" w:hanging="567"/>
      </w:pPr>
      <w:r>
        <w:rPr>
          <w:rStyle w:val="FootnoteReference"/>
        </w:rPr>
        <w:footnoteRef/>
      </w:r>
      <w:r>
        <w:tab/>
      </w:r>
      <w:r>
        <w:t>https://www.eesc.europa.eu/en/our-work/opinions-information-reports/information-reports/point-view-organised-civil-society-eu-member-states-national-reform-and-investment-proposals-and-their-implementation-0/annex.</w:t>
      </w:r>
    </w:p>
  </w:footnote>
  <w:footnote w:id="4">
    <w:p w14:paraId="23929A55" w14:textId="7AF847A8" w:rsidR="00650F0F" w:rsidRPr="00447ECF" w:rsidRDefault="00650F0F" w:rsidP="00E540C5">
      <w:pPr>
        <w:pStyle w:val="FootnoteText"/>
        <w:ind w:left="567" w:hanging="567"/>
      </w:pPr>
      <w:r>
        <w:rPr>
          <w:rStyle w:val="FootnoteReference"/>
        </w:rPr>
        <w:footnoteRef/>
      </w:r>
      <w:r>
        <w:tab/>
      </w:r>
      <w:hyperlink r:id="rId2" w:history="1">
        <w:r>
          <w:rPr>
            <w:rStyle w:val="Hyperlink"/>
          </w:rPr>
          <w:t>Preporuke za pojedine zemlje za 2025.</w:t>
        </w:r>
      </w:hyperlink>
    </w:p>
  </w:footnote>
  <w:footnote w:id="5">
    <w:p w14:paraId="4A3785B8" w14:textId="180D1491" w:rsidR="00650F0F" w:rsidRPr="00447ECF" w:rsidRDefault="00650F0F" w:rsidP="00E540C5">
      <w:pPr>
        <w:pStyle w:val="FootnoteText"/>
        <w:ind w:left="567" w:hanging="567"/>
      </w:pPr>
      <w:r>
        <w:rPr>
          <w:rStyle w:val="FootnoteReference"/>
        </w:rPr>
        <w:footnoteRef/>
      </w:r>
      <w:r>
        <w:tab/>
      </w:r>
      <w:hyperlink r:id="rId3" w:anchor="hungary" w:history="1">
        <w:r>
          <w:rPr>
            <w:rStyle w:val="Hyperlink"/>
          </w:rPr>
          <w:t>Nacionalni srednjoročni fiskalno-strukturni planovi – Europska komisija</w:t>
        </w:r>
      </w:hyperlink>
      <w:r>
        <w:t>.</w:t>
      </w:r>
    </w:p>
  </w:footnote>
  <w:footnote w:id="6">
    <w:p w14:paraId="4F11D1B0" w14:textId="7BAAAFCB" w:rsidR="00650F0F" w:rsidRPr="00447ECF" w:rsidRDefault="00650F0F" w:rsidP="00E540C5">
      <w:pPr>
        <w:pStyle w:val="FootnoteText"/>
        <w:ind w:left="567" w:hanging="567"/>
      </w:pPr>
      <w:r>
        <w:rPr>
          <w:rStyle w:val="FootnoteReference"/>
        </w:rPr>
        <w:footnoteRef/>
      </w:r>
      <w:r>
        <w:tab/>
      </w:r>
      <w:hyperlink r:id="rId4">
        <w:r>
          <w:rPr>
            <w:rStyle w:val="Hyperlink"/>
          </w:rPr>
          <w:t>Revizija okvira gospodarskog upravljanja</w:t>
        </w:r>
      </w:hyperlink>
      <w:r>
        <w:t>.</w:t>
      </w:r>
    </w:p>
  </w:footnote>
  <w:footnote w:id="7">
    <w:p w14:paraId="6F46A138" w14:textId="3BBEEEC8" w:rsidR="00F458A6" w:rsidRPr="00F458A6" w:rsidRDefault="00F458A6" w:rsidP="00D73098">
      <w:pPr>
        <w:pStyle w:val="FootnoteText"/>
        <w:ind w:left="567" w:hanging="567"/>
      </w:pPr>
      <w:r>
        <w:rPr>
          <w:rStyle w:val="FootnoteReference"/>
        </w:rPr>
        <w:footnoteRef/>
      </w:r>
      <w:r>
        <w:t xml:space="preserve"> </w:t>
      </w:r>
      <w:r>
        <w:tab/>
      </w:r>
      <w:r>
        <w:t>Detaljniji opis metodologije dostupan je u prilogu.</w:t>
      </w:r>
    </w:p>
  </w:footnote>
  <w:footnote w:id="8">
    <w:p w14:paraId="735CDF0D" w14:textId="46CF0CCD" w:rsidR="00005D99" w:rsidRPr="00005D99" w:rsidRDefault="00005D99" w:rsidP="00D73098">
      <w:pPr>
        <w:pStyle w:val="FootnoteText"/>
        <w:ind w:left="567" w:hanging="567"/>
      </w:pPr>
      <w:r>
        <w:rPr>
          <w:rStyle w:val="FootnoteReference"/>
        </w:rPr>
        <w:footnoteRef/>
      </w:r>
      <w:r>
        <w:t xml:space="preserve"> </w:t>
      </w:r>
      <w:r>
        <w:tab/>
      </w:r>
      <w:r>
        <w:t>Iz Belgije (BE), Bugarske (BG), Hrvatske (HR), Češke (CZ), Danske (DK), Finske (FI), Njemačke (DE), Grčke (EL), Mađarske (HU), Irske (IE), Italije (IT), Latvije (LV), Litve (LT), Luksemburga (LU), Malte (MT), Nizozemske (NL), Poljske (PL), Portugala (PT), Slovačke (SK), Slovenije (SL), Španjolske (ES) i Švedske (SE).</w:t>
      </w:r>
    </w:p>
  </w:footnote>
  <w:footnote w:id="9">
    <w:p w14:paraId="1CE9B185" w14:textId="5FBAF0EB" w:rsidR="00005D99" w:rsidRPr="00005D99" w:rsidRDefault="00005D99" w:rsidP="00D73098">
      <w:pPr>
        <w:pStyle w:val="FootnoteText"/>
        <w:ind w:left="567" w:hanging="567"/>
      </w:pPr>
      <w:r>
        <w:rPr>
          <w:rStyle w:val="FootnoteReference"/>
        </w:rPr>
        <w:footnoteRef/>
      </w:r>
      <w:r>
        <w:tab/>
      </w:r>
      <w:r>
        <w:t xml:space="preserve">U Rumunjskoj (RO) 3. veljače 2026. </w:t>
      </w:r>
      <w:hyperlink r:id="rId5" w:history="1">
        <w:r>
          <w:rPr>
            <w:rStyle w:val="Hyperlink"/>
          </w:rPr>
          <w:t>(izvješće)</w:t>
        </w:r>
      </w:hyperlink>
      <w:r>
        <w:t xml:space="preserve">, u Cipru (CY) 4. veljače 2026. </w:t>
      </w:r>
      <w:hyperlink r:id="rId6" w:history="1">
        <w:r>
          <w:rPr>
            <w:rStyle w:val="Hyperlink"/>
          </w:rPr>
          <w:t>(izvješće)</w:t>
        </w:r>
      </w:hyperlink>
      <w:r>
        <w:t xml:space="preserve">, u Estoniji (EE) 9. veljače 2026. </w:t>
      </w:r>
      <w:hyperlink r:id="rId7" w:history="1">
        <w:r>
          <w:rPr>
            <w:rStyle w:val="Hyperlink"/>
          </w:rPr>
          <w:t>(izvješće)</w:t>
        </w:r>
      </w:hyperlink>
      <w:r>
        <w:t xml:space="preserve">, u Austriji (AT) 24. veljače 2026. </w:t>
      </w:r>
      <w:hyperlink r:id="rId8" w:history="1">
        <w:r>
          <w:rPr>
            <w:rStyle w:val="Hyperlink"/>
          </w:rPr>
          <w:t>(izvješće)</w:t>
        </w:r>
      </w:hyperlink>
      <w:r>
        <w:t xml:space="preserve"> i u Francuskoj (FR) 2. ožujka 2026. </w:t>
      </w:r>
      <w:hyperlink r:id="rId9" w:history="1">
        <w:r>
          <w:rPr>
            <w:rStyle w:val="Hyperlink"/>
          </w:rPr>
          <w:t>(izvješće)</w:t>
        </w:r>
      </w:hyperlink>
      <w:r>
        <w:t>.</w:t>
      </w:r>
    </w:p>
  </w:footnote>
  <w:footnote w:id="10">
    <w:p w14:paraId="169977F2" w14:textId="11142B20" w:rsidR="00A46610" w:rsidRPr="00A46610" w:rsidRDefault="00A46610" w:rsidP="00D73098">
      <w:pPr>
        <w:pStyle w:val="FootnoteText"/>
        <w:ind w:left="567" w:hanging="567"/>
      </w:pPr>
      <w:r>
        <w:rPr>
          <w:rStyle w:val="FootnoteReference"/>
        </w:rPr>
        <w:footnoteRef/>
      </w:r>
      <w:r>
        <w:t xml:space="preserve"> </w:t>
      </w:r>
      <w:r>
        <w:tab/>
      </w:r>
      <w:r>
        <w:t>Sastav tih delegacija naveden je u Prilogu.</w:t>
      </w:r>
    </w:p>
  </w:footnote>
  <w:footnote w:id="11">
    <w:p w14:paraId="70C9FB0E" w14:textId="60C0EB71" w:rsidR="003808E2" w:rsidRPr="00761545" w:rsidRDefault="003808E2" w:rsidP="00D73098">
      <w:pPr>
        <w:pStyle w:val="FootnoteText"/>
        <w:ind w:left="567" w:hanging="567"/>
      </w:pPr>
      <w:r>
        <w:rPr>
          <w:rStyle w:val="FootnoteReference"/>
        </w:rPr>
        <w:footnoteRef/>
      </w:r>
      <w:r>
        <w:t xml:space="preserve"> </w:t>
      </w:r>
      <w:r>
        <w:tab/>
      </w:r>
      <w:hyperlink r:id="rId10" w:history="1">
        <w:r>
          <w:rPr>
            <w:rStyle w:val="Hyperlink"/>
          </w:rPr>
          <w:t>Skupina za vezu s europskim organizacijama i mrežama civilnog društva | EGSO</w:t>
        </w:r>
      </w:hyperlink>
      <w:r>
        <w:t>.</w:t>
      </w:r>
    </w:p>
  </w:footnote>
  <w:footnote w:id="12">
    <w:p w14:paraId="321B00E1" w14:textId="2085EC3F" w:rsidR="00F95C2C" w:rsidRPr="00F95C2C" w:rsidRDefault="00F95C2C" w:rsidP="007261A0">
      <w:pPr>
        <w:pStyle w:val="FootnoteText"/>
        <w:ind w:left="567" w:hanging="567"/>
      </w:pPr>
      <w:r>
        <w:rPr>
          <w:rStyle w:val="FootnoteReference"/>
        </w:rPr>
        <w:footnoteRef/>
      </w:r>
      <w:r>
        <w:tab/>
      </w:r>
      <w:r>
        <w:t>Skupina I.: poslodavci, Skupina II.: radnici i Skupina III.: organizacije civilnog društva.</w:t>
      </w:r>
    </w:p>
  </w:footnote>
  <w:footnote w:id="13">
    <w:p w14:paraId="7B08A840" w14:textId="4B3B591A" w:rsidR="006E32A2" w:rsidRPr="00954E59" w:rsidRDefault="006E32A2" w:rsidP="00D73098">
      <w:pPr>
        <w:pStyle w:val="FootnoteText"/>
        <w:ind w:left="567" w:hanging="567"/>
      </w:pPr>
      <w:r>
        <w:rPr>
          <w:rStyle w:val="FootnoteReference"/>
        </w:rPr>
        <w:footnoteRef/>
      </w:r>
      <w:r>
        <w:t xml:space="preserve"> </w:t>
      </w:r>
      <w:r>
        <w:tab/>
      </w:r>
      <w:r>
        <w:t>To stajalište dijele barem neki predstavnici Skupine I. u Hrvatskoj.</w:t>
      </w:r>
    </w:p>
  </w:footnote>
  <w:footnote w:id="14">
    <w:p w14:paraId="7F982073" w14:textId="36047405" w:rsidR="006E32A2" w:rsidRPr="00954E59" w:rsidRDefault="006E32A2" w:rsidP="00D73098">
      <w:pPr>
        <w:pStyle w:val="FootnoteText"/>
        <w:ind w:left="567" w:hanging="567"/>
      </w:pPr>
      <w:r>
        <w:rPr>
          <w:rStyle w:val="FootnoteReference"/>
        </w:rPr>
        <w:footnoteRef/>
      </w:r>
      <w:r>
        <w:t xml:space="preserve"> </w:t>
      </w:r>
      <w:r>
        <w:tab/>
      </w:r>
      <w:r>
        <w:t>To stajalište dijele ispitanici iz Skupina I. i II., kao i barem neki predstavnici Skupine III. u IT-ju.</w:t>
      </w:r>
    </w:p>
  </w:footnote>
  <w:footnote w:id="15">
    <w:p w14:paraId="40418DA7" w14:textId="63E3C273" w:rsidR="006E32A2" w:rsidRPr="00954E59" w:rsidRDefault="006E32A2" w:rsidP="00266D04">
      <w:pPr>
        <w:pStyle w:val="FootnoteText"/>
        <w:ind w:left="567" w:hanging="567"/>
      </w:pPr>
      <w:r>
        <w:rPr>
          <w:rStyle w:val="FootnoteReference"/>
        </w:rPr>
        <w:footnoteRef/>
      </w:r>
      <w:r>
        <w:t xml:space="preserve"> </w:t>
      </w:r>
      <w:r>
        <w:tab/>
      </w:r>
      <w:r>
        <w:t>To stajalište dijele barem neki predstavnici Skupine I. u Hrvatskoj.</w:t>
      </w:r>
    </w:p>
  </w:footnote>
  <w:footnote w:id="16">
    <w:p w14:paraId="58C52B36" w14:textId="33A79F6D" w:rsidR="006E32A2" w:rsidRPr="00954E59" w:rsidRDefault="006E32A2" w:rsidP="00266D04">
      <w:pPr>
        <w:pStyle w:val="FootnoteText"/>
        <w:ind w:left="567" w:hanging="567"/>
      </w:pPr>
      <w:r>
        <w:rPr>
          <w:rStyle w:val="FootnoteReference"/>
        </w:rPr>
        <w:footnoteRef/>
      </w:r>
      <w:r>
        <w:t xml:space="preserve"> </w:t>
      </w:r>
      <w:r>
        <w:tab/>
      </w:r>
      <w:r>
        <w:t>To stajalište dijele barem neki predstavnici Skupine III. u Italiji.</w:t>
      </w:r>
    </w:p>
  </w:footnote>
  <w:footnote w:id="17">
    <w:p w14:paraId="3C7EDE47" w14:textId="3A573CDC" w:rsidR="0048232D" w:rsidRPr="00954E59" w:rsidRDefault="0048232D" w:rsidP="00266D04">
      <w:pPr>
        <w:pStyle w:val="FootnoteText"/>
        <w:ind w:left="567" w:hanging="567"/>
      </w:pPr>
      <w:r>
        <w:rPr>
          <w:rStyle w:val="FootnoteReference"/>
        </w:rPr>
        <w:footnoteRef/>
      </w:r>
      <w:r>
        <w:t xml:space="preserve"> </w:t>
      </w:r>
      <w:r>
        <w:tab/>
      </w:r>
      <w:r>
        <w:t>To stajalište dijele ispitanici iz Skupina I. i III., kao i barem neki predstavnici Skupine II. u IT-ju.</w:t>
      </w:r>
    </w:p>
  </w:footnote>
  <w:footnote w:id="18">
    <w:p w14:paraId="4699D9C4" w14:textId="3FC69478" w:rsidR="0048232D" w:rsidRPr="00954E59" w:rsidRDefault="0048232D" w:rsidP="00266D04">
      <w:pPr>
        <w:pStyle w:val="FootnoteText"/>
        <w:ind w:left="567" w:hanging="567"/>
      </w:pPr>
      <w:r>
        <w:rPr>
          <w:rStyle w:val="FootnoteReference"/>
        </w:rPr>
        <w:footnoteRef/>
      </w:r>
      <w:r>
        <w:t xml:space="preserve"> </w:t>
      </w:r>
      <w:r>
        <w:tab/>
      </w:r>
      <w:r>
        <w:t>To stajalište dijele barem neki predstavnici Skupine II. u Italiji.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FD7F" w14:textId="77777777" w:rsidR="00DC2FFE" w:rsidRPr="003216CC" w:rsidRDefault="00DC2FFE" w:rsidP="0032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FC3" w14:textId="2E03FE7D" w:rsidR="00DC2FFE" w:rsidRPr="003216CC" w:rsidRDefault="00DC2FFE" w:rsidP="0032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57E4" w14:textId="77777777" w:rsidR="00DC2FFE" w:rsidRPr="003216CC" w:rsidRDefault="00DC2FFE" w:rsidP="003216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199D" w14:textId="77777777" w:rsidR="00B43AAA" w:rsidRPr="003216CC" w:rsidRDefault="00B43AAA" w:rsidP="00321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CC24" w14:textId="38AF9672" w:rsidR="00646AC2" w:rsidRPr="003216CC" w:rsidRDefault="00646AC2" w:rsidP="003216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0AEA" w14:textId="77777777" w:rsidR="00B43AAA" w:rsidRPr="003216CC" w:rsidRDefault="00B43AAA" w:rsidP="0032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E54A5F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bCs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D99"/>
    <w:rsid w:val="00005EB9"/>
    <w:rsid w:val="00006D38"/>
    <w:rsid w:val="00006E24"/>
    <w:rsid w:val="00007A40"/>
    <w:rsid w:val="00010DA9"/>
    <w:rsid w:val="0001319D"/>
    <w:rsid w:val="0001382C"/>
    <w:rsid w:val="0001708F"/>
    <w:rsid w:val="00017B45"/>
    <w:rsid w:val="000202E8"/>
    <w:rsid w:val="00020BE3"/>
    <w:rsid w:val="00020E6E"/>
    <w:rsid w:val="00022CF4"/>
    <w:rsid w:val="00023309"/>
    <w:rsid w:val="00031A4B"/>
    <w:rsid w:val="00033913"/>
    <w:rsid w:val="00033DB4"/>
    <w:rsid w:val="00033E5B"/>
    <w:rsid w:val="000357A8"/>
    <w:rsid w:val="00035F23"/>
    <w:rsid w:val="000430A6"/>
    <w:rsid w:val="00044923"/>
    <w:rsid w:val="00047710"/>
    <w:rsid w:val="0004778F"/>
    <w:rsid w:val="00051AA3"/>
    <w:rsid w:val="0005249C"/>
    <w:rsid w:val="000534A5"/>
    <w:rsid w:val="00053CC9"/>
    <w:rsid w:val="00056038"/>
    <w:rsid w:val="0005680D"/>
    <w:rsid w:val="00056DA8"/>
    <w:rsid w:val="0005716D"/>
    <w:rsid w:val="00061296"/>
    <w:rsid w:val="00063FB4"/>
    <w:rsid w:val="0006793E"/>
    <w:rsid w:val="00071008"/>
    <w:rsid w:val="00072E0F"/>
    <w:rsid w:val="000735E5"/>
    <w:rsid w:val="0007392F"/>
    <w:rsid w:val="0007395B"/>
    <w:rsid w:val="00077DE5"/>
    <w:rsid w:val="00087B39"/>
    <w:rsid w:val="00092469"/>
    <w:rsid w:val="00093DE0"/>
    <w:rsid w:val="0009514D"/>
    <w:rsid w:val="00096502"/>
    <w:rsid w:val="000972F0"/>
    <w:rsid w:val="000A49BB"/>
    <w:rsid w:val="000A5670"/>
    <w:rsid w:val="000B240B"/>
    <w:rsid w:val="000C04E4"/>
    <w:rsid w:val="000C2BC7"/>
    <w:rsid w:val="000C2D58"/>
    <w:rsid w:val="000C3441"/>
    <w:rsid w:val="000C4180"/>
    <w:rsid w:val="000C7F53"/>
    <w:rsid w:val="000D2F8E"/>
    <w:rsid w:val="000D34AF"/>
    <w:rsid w:val="000D640C"/>
    <w:rsid w:val="000D6C82"/>
    <w:rsid w:val="000E67B2"/>
    <w:rsid w:val="000E6FE5"/>
    <w:rsid w:val="000E7CF4"/>
    <w:rsid w:val="000F196B"/>
    <w:rsid w:val="00100275"/>
    <w:rsid w:val="00100B04"/>
    <w:rsid w:val="00101365"/>
    <w:rsid w:val="00104096"/>
    <w:rsid w:val="00105361"/>
    <w:rsid w:val="00106EBE"/>
    <w:rsid w:val="00107A3C"/>
    <w:rsid w:val="001101F8"/>
    <w:rsid w:val="0011206F"/>
    <w:rsid w:val="0011656A"/>
    <w:rsid w:val="0012220C"/>
    <w:rsid w:val="00135E10"/>
    <w:rsid w:val="00136EA3"/>
    <w:rsid w:val="00137575"/>
    <w:rsid w:val="001422A6"/>
    <w:rsid w:val="00143034"/>
    <w:rsid w:val="00144231"/>
    <w:rsid w:val="0014479E"/>
    <w:rsid w:val="00150434"/>
    <w:rsid w:val="001526A2"/>
    <w:rsid w:val="00154904"/>
    <w:rsid w:val="00155721"/>
    <w:rsid w:val="00157FB5"/>
    <w:rsid w:val="0016503F"/>
    <w:rsid w:val="0016674F"/>
    <w:rsid w:val="00167CA0"/>
    <w:rsid w:val="00167F6A"/>
    <w:rsid w:val="0017120D"/>
    <w:rsid w:val="001714F6"/>
    <w:rsid w:val="00176168"/>
    <w:rsid w:val="00177158"/>
    <w:rsid w:val="001806B0"/>
    <w:rsid w:val="001809D6"/>
    <w:rsid w:val="001814D7"/>
    <w:rsid w:val="00184FD4"/>
    <w:rsid w:val="00186B04"/>
    <w:rsid w:val="00186F1E"/>
    <w:rsid w:val="00190836"/>
    <w:rsid w:val="001924E4"/>
    <w:rsid w:val="00193930"/>
    <w:rsid w:val="00194B36"/>
    <w:rsid w:val="001960C6"/>
    <w:rsid w:val="001963A5"/>
    <w:rsid w:val="00196F1E"/>
    <w:rsid w:val="001971BE"/>
    <w:rsid w:val="00197FCA"/>
    <w:rsid w:val="001A145B"/>
    <w:rsid w:val="001A225A"/>
    <w:rsid w:val="001A27DB"/>
    <w:rsid w:val="001A6852"/>
    <w:rsid w:val="001A78FB"/>
    <w:rsid w:val="001B286A"/>
    <w:rsid w:val="001B2D02"/>
    <w:rsid w:val="001B3647"/>
    <w:rsid w:val="001B77FA"/>
    <w:rsid w:val="001C0ABE"/>
    <w:rsid w:val="001C4B19"/>
    <w:rsid w:val="001C5852"/>
    <w:rsid w:val="001C68BD"/>
    <w:rsid w:val="001D45F0"/>
    <w:rsid w:val="001E0A71"/>
    <w:rsid w:val="001E1335"/>
    <w:rsid w:val="001E4A33"/>
    <w:rsid w:val="001E4C23"/>
    <w:rsid w:val="001E5C27"/>
    <w:rsid w:val="001E73F4"/>
    <w:rsid w:val="001F479C"/>
    <w:rsid w:val="001F602B"/>
    <w:rsid w:val="001F69AD"/>
    <w:rsid w:val="001F6AC8"/>
    <w:rsid w:val="001F6C0F"/>
    <w:rsid w:val="00200CA5"/>
    <w:rsid w:val="002037D5"/>
    <w:rsid w:val="00206F90"/>
    <w:rsid w:val="00212B03"/>
    <w:rsid w:val="00215C10"/>
    <w:rsid w:val="00215C2D"/>
    <w:rsid w:val="00215EB6"/>
    <w:rsid w:val="002160F6"/>
    <w:rsid w:val="00216B2D"/>
    <w:rsid w:val="002212F9"/>
    <w:rsid w:val="002252C4"/>
    <w:rsid w:val="00226A10"/>
    <w:rsid w:val="0023140A"/>
    <w:rsid w:val="0023183E"/>
    <w:rsid w:val="00232131"/>
    <w:rsid w:val="00234EA9"/>
    <w:rsid w:val="00235138"/>
    <w:rsid w:val="00243E36"/>
    <w:rsid w:val="00244BD5"/>
    <w:rsid w:val="0024540B"/>
    <w:rsid w:val="00245EF4"/>
    <w:rsid w:val="0024659B"/>
    <w:rsid w:val="0024729D"/>
    <w:rsid w:val="00250E11"/>
    <w:rsid w:val="00251383"/>
    <w:rsid w:val="002522C9"/>
    <w:rsid w:val="00252A21"/>
    <w:rsid w:val="0025346D"/>
    <w:rsid w:val="00253E4F"/>
    <w:rsid w:val="00253FCA"/>
    <w:rsid w:val="002542E4"/>
    <w:rsid w:val="002544EB"/>
    <w:rsid w:val="00261053"/>
    <w:rsid w:val="00262FDE"/>
    <w:rsid w:val="00263224"/>
    <w:rsid w:val="00263629"/>
    <w:rsid w:val="00266D04"/>
    <w:rsid w:val="002707CB"/>
    <w:rsid w:val="00270EFA"/>
    <w:rsid w:val="00272D37"/>
    <w:rsid w:val="002742BC"/>
    <w:rsid w:val="0027566C"/>
    <w:rsid w:val="002769BD"/>
    <w:rsid w:val="002809EA"/>
    <w:rsid w:val="00284962"/>
    <w:rsid w:val="00287B0E"/>
    <w:rsid w:val="002902D2"/>
    <w:rsid w:val="00295491"/>
    <w:rsid w:val="0029549C"/>
    <w:rsid w:val="00296CC0"/>
    <w:rsid w:val="002A09EA"/>
    <w:rsid w:val="002A0B53"/>
    <w:rsid w:val="002A0EEF"/>
    <w:rsid w:val="002A7F38"/>
    <w:rsid w:val="002B2DF7"/>
    <w:rsid w:val="002B449C"/>
    <w:rsid w:val="002B4DE3"/>
    <w:rsid w:val="002B5BF1"/>
    <w:rsid w:val="002B69AC"/>
    <w:rsid w:val="002C1D46"/>
    <w:rsid w:val="002C29E6"/>
    <w:rsid w:val="002C3BF4"/>
    <w:rsid w:val="002C69EB"/>
    <w:rsid w:val="002C749F"/>
    <w:rsid w:val="002D4A8F"/>
    <w:rsid w:val="002D7F3B"/>
    <w:rsid w:val="002E381E"/>
    <w:rsid w:val="002F059B"/>
    <w:rsid w:val="002F5B0B"/>
    <w:rsid w:val="002F72AE"/>
    <w:rsid w:val="00300924"/>
    <w:rsid w:val="00301136"/>
    <w:rsid w:val="0030596E"/>
    <w:rsid w:val="00306551"/>
    <w:rsid w:val="003073C3"/>
    <w:rsid w:val="003101A4"/>
    <w:rsid w:val="00311AF5"/>
    <w:rsid w:val="003216CC"/>
    <w:rsid w:val="00323637"/>
    <w:rsid w:val="00323C9E"/>
    <w:rsid w:val="00324E8A"/>
    <w:rsid w:val="00331D87"/>
    <w:rsid w:val="00332850"/>
    <w:rsid w:val="00334478"/>
    <w:rsid w:val="003346B4"/>
    <w:rsid w:val="00334AE6"/>
    <w:rsid w:val="003365D0"/>
    <w:rsid w:val="003433F3"/>
    <w:rsid w:val="003439AB"/>
    <w:rsid w:val="00343EA7"/>
    <w:rsid w:val="0034454A"/>
    <w:rsid w:val="00354695"/>
    <w:rsid w:val="0035549B"/>
    <w:rsid w:val="00355563"/>
    <w:rsid w:val="00357217"/>
    <w:rsid w:val="0035764D"/>
    <w:rsid w:val="00361B68"/>
    <w:rsid w:val="00361F27"/>
    <w:rsid w:val="003720D5"/>
    <w:rsid w:val="003737EA"/>
    <w:rsid w:val="003750E8"/>
    <w:rsid w:val="003755C8"/>
    <w:rsid w:val="00375687"/>
    <w:rsid w:val="00375C20"/>
    <w:rsid w:val="003808E2"/>
    <w:rsid w:val="00380AE0"/>
    <w:rsid w:val="00381095"/>
    <w:rsid w:val="00383324"/>
    <w:rsid w:val="00386A37"/>
    <w:rsid w:val="00387A75"/>
    <w:rsid w:val="00387FB1"/>
    <w:rsid w:val="003904FD"/>
    <w:rsid w:val="00394254"/>
    <w:rsid w:val="0039528D"/>
    <w:rsid w:val="003A55EE"/>
    <w:rsid w:val="003A5C03"/>
    <w:rsid w:val="003B2831"/>
    <w:rsid w:val="003B363C"/>
    <w:rsid w:val="003B3C22"/>
    <w:rsid w:val="003B7642"/>
    <w:rsid w:val="003C2BFB"/>
    <w:rsid w:val="003C436B"/>
    <w:rsid w:val="003C48E4"/>
    <w:rsid w:val="003C5337"/>
    <w:rsid w:val="003C5F92"/>
    <w:rsid w:val="003C7171"/>
    <w:rsid w:val="003C7318"/>
    <w:rsid w:val="003D2C44"/>
    <w:rsid w:val="003D7A8C"/>
    <w:rsid w:val="003D7C00"/>
    <w:rsid w:val="003D7E0F"/>
    <w:rsid w:val="003E095E"/>
    <w:rsid w:val="003E0EB4"/>
    <w:rsid w:val="003E324F"/>
    <w:rsid w:val="003E4090"/>
    <w:rsid w:val="003E423D"/>
    <w:rsid w:val="003E53AA"/>
    <w:rsid w:val="003E56E5"/>
    <w:rsid w:val="003E7179"/>
    <w:rsid w:val="003E7E60"/>
    <w:rsid w:val="003F00D4"/>
    <w:rsid w:val="003F2209"/>
    <w:rsid w:val="003F3D39"/>
    <w:rsid w:val="003F646A"/>
    <w:rsid w:val="003F6761"/>
    <w:rsid w:val="003F6A0A"/>
    <w:rsid w:val="003F6FB1"/>
    <w:rsid w:val="0040105F"/>
    <w:rsid w:val="004024F5"/>
    <w:rsid w:val="00402DE1"/>
    <w:rsid w:val="0040328E"/>
    <w:rsid w:val="00403D8B"/>
    <w:rsid w:val="004058F1"/>
    <w:rsid w:val="004059E4"/>
    <w:rsid w:val="00407E7D"/>
    <w:rsid w:val="0041283D"/>
    <w:rsid w:val="00413AB4"/>
    <w:rsid w:val="00414F4A"/>
    <w:rsid w:val="0041595C"/>
    <w:rsid w:val="00420458"/>
    <w:rsid w:val="00421373"/>
    <w:rsid w:val="00421FB7"/>
    <w:rsid w:val="00424A07"/>
    <w:rsid w:val="0042763B"/>
    <w:rsid w:val="0043024C"/>
    <w:rsid w:val="00430910"/>
    <w:rsid w:val="00432B53"/>
    <w:rsid w:val="00435036"/>
    <w:rsid w:val="00435493"/>
    <w:rsid w:val="00436706"/>
    <w:rsid w:val="00443D38"/>
    <w:rsid w:val="00450E7A"/>
    <w:rsid w:val="00454ADE"/>
    <w:rsid w:val="00455DF2"/>
    <w:rsid w:val="00456658"/>
    <w:rsid w:val="00456AF8"/>
    <w:rsid w:val="004615A9"/>
    <w:rsid w:val="004651B8"/>
    <w:rsid w:val="00470B15"/>
    <w:rsid w:val="004718BA"/>
    <w:rsid w:val="00475869"/>
    <w:rsid w:val="00475A77"/>
    <w:rsid w:val="004765AC"/>
    <w:rsid w:val="00477243"/>
    <w:rsid w:val="004801EB"/>
    <w:rsid w:val="0048232D"/>
    <w:rsid w:val="00482A42"/>
    <w:rsid w:val="00482DDC"/>
    <w:rsid w:val="00483E6C"/>
    <w:rsid w:val="004862CA"/>
    <w:rsid w:val="004866A9"/>
    <w:rsid w:val="00492774"/>
    <w:rsid w:val="00496D7A"/>
    <w:rsid w:val="004A0BB1"/>
    <w:rsid w:val="004A1B4A"/>
    <w:rsid w:val="004A1E78"/>
    <w:rsid w:val="004A31BC"/>
    <w:rsid w:val="004A3F1A"/>
    <w:rsid w:val="004A3F45"/>
    <w:rsid w:val="004A585F"/>
    <w:rsid w:val="004B1AFA"/>
    <w:rsid w:val="004B6047"/>
    <w:rsid w:val="004B7088"/>
    <w:rsid w:val="004C0B16"/>
    <w:rsid w:val="004C39CD"/>
    <w:rsid w:val="004C5B76"/>
    <w:rsid w:val="004D02CD"/>
    <w:rsid w:val="004D0B24"/>
    <w:rsid w:val="004D0DB0"/>
    <w:rsid w:val="004D35B5"/>
    <w:rsid w:val="004D4B90"/>
    <w:rsid w:val="004D609A"/>
    <w:rsid w:val="004D6151"/>
    <w:rsid w:val="004D6B95"/>
    <w:rsid w:val="004D7F41"/>
    <w:rsid w:val="004E00C8"/>
    <w:rsid w:val="004E03A2"/>
    <w:rsid w:val="004E1F26"/>
    <w:rsid w:val="004E317E"/>
    <w:rsid w:val="004E3954"/>
    <w:rsid w:val="004E5856"/>
    <w:rsid w:val="004F06B0"/>
    <w:rsid w:val="004F0D80"/>
    <w:rsid w:val="004F2330"/>
    <w:rsid w:val="004F2C8A"/>
    <w:rsid w:val="004F53C6"/>
    <w:rsid w:val="004F69DB"/>
    <w:rsid w:val="004F6B87"/>
    <w:rsid w:val="005007BC"/>
    <w:rsid w:val="00501C2D"/>
    <w:rsid w:val="00502637"/>
    <w:rsid w:val="00511140"/>
    <w:rsid w:val="00513CFE"/>
    <w:rsid w:val="00523B6A"/>
    <w:rsid w:val="00525F6C"/>
    <w:rsid w:val="00527502"/>
    <w:rsid w:val="005426D1"/>
    <w:rsid w:val="00542C88"/>
    <w:rsid w:val="005436C6"/>
    <w:rsid w:val="00544B51"/>
    <w:rsid w:val="00546AB4"/>
    <w:rsid w:val="005514E5"/>
    <w:rsid w:val="005527BB"/>
    <w:rsid w:val="00553CB3"/>
    <w:rsid w:val="005562F7"/>
    <w:rsid w:val="00560486"/>
    <w:rsid w:val="00563C84"/>
    <w:rsid w:val="005762F6"/>
    <w:rsid w:val="0057637C"/>
    <w:rsid w:val="005766CA"/>
    <w:rsid w:val="00577FA1"/>
    <w:rsid w:val="00584FBE"/>
    <w:rsid w:val="00585483"/>
    <w:rsid w:val="005869D2"/>
    <w:rsid w:val="00587378"/>
    <w:rsid w:val="00587C05"/>
    <w:rsid w:val="00590AAB"/>
    <w:rsid w:val="005928E6"/>
    <w:rsid w:val="00592CFA"/>
    <w:rsid w:val="005938C3"/>
    <w:rsid w:val="0059459F"/>
    <w:rsid w:val="0059468C"/>
    <w:rsid w:val="00594E6E"/>
    <w:rsid w:val="00594FBC"/>
    <w:rsid w:val="00595125"/>
    <w:rsid w:val="005957EA"/>
    <w:rsid w:val="00596F21"/>
    <w:rsid w:val="005B1CDD"/>
    <w:rsid w:val="005B1E19"/>
    <w:rsid w:val="005B55FC"/>
    <w:rsid w:val="005C2D5E"/>
    <w:rsid w:val="005C3B81"/>
    <w:rsid w:val="005C5D79"/>
    <w:rsid w:val="005C650C"/>
    <w:rsid w:val="005D086C"/>
    <w:rsid w:val="005D11D3"/>
    <w:rsid w:val="005D4E1F"/>
    <w:rsid w:val="005D4FB3"/>
    <w:rsid w:val="005D51D1"/>
    <w:rsid w:val="005D52A1"/>
    <w:rsid w:val="005E13BB"/>
    <w:rsid w:val="005E2F07"/>
    <w:rsid w:val="005E2FEA"/>
    <w:rsid w:val="005E3A0B"/>
    <w:rsid w:val="005E536E"/>
    <w:rsid w:val="005F314B"/>
    <w:rsid w:val="005F5034"/>
    <w:rsid w:val="0060433C"/>
    <w:rsid w:val="00611AF2"/>
    <w:rsid w:val="0061212B"/>
    <w:rsid w:val="006127AF"/>
    <w:rsid w:val="00615FB2"/>
    <w:rsid w:val="00617BD1"/>
    <w:rsid w:val="00617CE8"/>
    <w:rsid w:val="00621D25"/>
    <w:rsid w:val="00622778"/>
    <w:rsid w:val="00624EAB"/>
    <w:rsid w:val="006278A0"/>
    <w:rsid w:val="00630074"/>
    <w:rsid w:val="0063095F"/>
    <w:rsid w:val="00634417"/>
    <w:rsid w:val="0064352D"/>
    <w:rsid w:val="00644904"/>
    <w:rsid w:val="00646AC2"/>
    <w:rsid w:val="00650390"/>
    <w:rsid w:val="00650F0F"/>
    <w:rsid w:val="00651F6A"/>
    <w:rsid w:val="00654DAB"/>
    <w:rsid w:val="0065577B"/>
    <w:rsid w:val="00656F0B"/>
    <w:rsid w:val="00657061"/>
    <w:rsid w:val="00657164"/>
    <w:rsid w:val="0066204A"/>
    <w:rsid w:val="00670E3C"/>
    <w:rsid w:val="0067591A"/>
    <w:rsid w:val="00675ED3"/>
    <w:rsid w:val="00676850"/>
    <w:rsid w:val="00677F57"/>
    <w:rsid w:val="00681088"/>
    <w:rsid w:val="00690BBC"/>
    <w:rsid w:val="0069577E"/>
    <w:rsid w:val="00696033"/>
    <w:rsid w:val="0069634B"/>
    <w:rsid w:val="00696623"/>
    <w:rsid w:val="006A04E9"/>
    <w:rsid w:val="006A46EF"/>
    <w:rsid w:val="006A4A03"/>
    <w:rsid w:val="006A7543"/>
    <w:rsid w:val="006B725C"/>
    <w:rsid w:val="006C173A"/>
    <w:rsid w:val="006C273D"/>
    <w:rsid w:val="006C45F0"/>
    <w:rsid w:val="006C56A7"/>
    <w:rsid w:val="006C5C4F"/>
    <w:rsid w:val="006C6282"/>
    <w:rsid w:val="006C762A"/>
    <w:rsid w:val="006D10CD"/>
    <w:rsid w:val="006D14DD"/>
    <w:rsid w:val="006D2736"/>
    <w:rsid w:val="006D5FF9"/>
    <w:rsid w:val="006D650D"/>
    <w:rsid w:val="006E0772"/>
    <w:rsid w:val="006E0D57"/>
    <w:rsid w:val="006E0F86"/>
    <w:rsid w:val="006E32A2"/>
    <w:rsid w:val="006E64DF"/>
    <w:rsid w:val="006F0B15"/>
    <w:rsid w:val="006F0DCC"/>
    <w:rsid w:val="006F1B6B"/>
    <w:rsid w:val="006F4074"/>
    <w:rsid w:val="006F4DFD"/>
    <w:rsid w:val="006F61DA"/>
    <w:rsid w:val="00701748"/>
    <w:rsid w:val="00701C9E"/>
    <w:rsid w:val="00703DF9"/>
    <w:rsid w:val="007048EB"/>
    <w:rsid w:val="00704FBB"/>
    <w:rsid w:val="00706EF4"/>
    <w:rsid w:val="0070709D"/>
    <w:rsid w:val="0070726A"/>
    <w:rsid w:val="0071226B"/>
    <w:rsid w:val="00714A5F"/>
    <w:rsid w:val="00716DCD"/>
    <w:rsid w:val="00717040"/>
    <w:rsid w:val="00717184"/>
    <w:rsid w:val="00717F9C"/>
    <w:rsid w:val="00723FC8"/>
    <w:rsid w:val="007261A0"/>
    <w:rsid w:val="00730921"/>
    <w:rsid w:val="00732A1D"/>
    <w:rsid w:val="0073318F"/>
    <w:rsid w:val="00742B67"/>
    <w:rsid w:val="00745E7E"/>
    <w:rsid w:val="00751501"/>
    <w:rsid w:val="00755426"/>
    <w:rsid w:val="00756EBF"/>
    <w:rsid w:val="00761545"/>
    <w:rsid w:val="00766CC0"/>
    <w:rsid w:val="00770974"/>
    <w:rsid w:val="007716C9"/>
    <w:rsid w:val="007718B5"/>
    <w:rsid w:val="00774946"/>
    <w:rsid w:val="007750A2"/>
    <w:rsid w:val="00780EA2"/>
    <w:rsid w:val="007817D6"/>
    <w:rsid w:val="00783D91"/>
    <w:rsid w:val="007874E2"/>
    <w:rsid w:val="00787912"/>
    <w:rsid w:val="0079177A"/>
    <w:rsid w:val="00794836"/>
    <w:rsid w:val="007948D5"/>
    <w:rsid w:val="00797B92"/>
    <w:rsid w:val="007A15C9"/>
    <w:rsid w:val="007A2263"/>
    <w:rsid w:val="007A5B12"/>
    <w:rsid w:val="007A6676"/>
    <w:rsid w:val="007B0446"/>
    <w:rsid w:val="007B061A"/>
    <w:rsid w:val="007B4D42"/>
    <w:rsid w:val="007B5D1B"/>
    <w:rsid w:val="007B7FF5"/>
    <w:rsid w:val="007C1891"/>
    <w:rsid w:val="007C3FC6"/>
    <w:rsid w:val="007C6A86"/>
    <w:rsid w:val="007D14EA"/>
    <w:rsid w:val="007D2CE9"/>
    <w:rsid w:val="007D4FED"/>
    <w:rsid w:val="007D53DC"/>
    <w:rsid w:val="007D69DA"/>
    <w:rsid w:val="007D70B1"/>
    <w:rsid w:val="007D7140"/>
    <w:rsid w:val="007E1C73"/>
    <w:rsid w:val="007E1CDB"/>
    <w:rsid w:val="007E408C"/>
    <w:rsid w:val="007E7706"/>
    <w:rsid w:val="007E7E21"/>
    <w:rsid w:val="007F0460"/>
    <w:rsid w:val="007F0DA2"/>
    <w:rsid w:val="007F39CE"/>
    <w:rsid w:val="007F427F"/>
    <w:rsid w:val="007F5E0D"/>
    <w:rsid w:val="007F7B77"/>
    <w:rsid w:val="0080082D"/>
    <w:rsid w:val="00801085"/>
    <w:rsid w:val="00801A89"/>
    <w:rsid w:val="00805D32"/>
    <w:rsid w:val="00812138"/>
    <w:rsid w:val="008151F2"/>
    <w:rsid w:val="0081777A"/>
    <w:rsid w:val="008210E0"/>
    <w:rsid w:val="00824079"/>
    <w:rsid w:val="008276F6"/>
    <w:rsid w:val="00831F0A"/>
    <w:rsid w:val="00832896"/>
    <w:rsid w:val="00833A78"/>
    <w:rsid w:val="00835C6C"/>
    <w:rsid w:val="008362E2"/>
    <w:rsid w:val="008366D5"/>
    <w:rsid w:val="0084374E"/>
    <w:rsid w:val="0084585F"/>
    <w:rsid w:val="00846A4B"/>
    <w:rsid w:val="00853C90"/>
    <w:rsid w:val="00853E53"/>
    <w:rsid w:val="00854ED3"/>
    <w:rsid w:val="00855108"/>
    <w:rsid w:val="00855B02"/>
    <w:rsid w:val="00864D76"/>
    <w:rsid w:val="008656C9"/>
    <w:rsid w:val="0086711C"/>
    <w:rsid w:val="00867535"/>
    <w:rsid w:val="0087052A"/>
    <w:rsid w:val="008709FB"/>
    <w:rsid w:val="00872D5B"/>
    <w:rsid w:val="00875C5B"/>
    <w:rsid w:val="008767B8"/>
    <w:rsid w:val="008825BC"/>
    <w:rsid w:val="008832B8"/>
    <w:rsid w:val="00883C5F"/>
    <w:rsid w:val="00886C92"/>
    <w:rsid w:val="00891C7D"/>
    <w:rsid w:val="00892FA7"/>
    <w:rsid w:val="008A1B77"/>
    <w:rsid w:val="008A3301"/>
    <w:rsid w:val="008A3988"/>
    <w:rsid w:val="008A4135"/>
    <w:rsid w:val="008A4DF1"/>
    <w:rsid w:val="008A5636"/>
    <w:rsid w:val="008B125E"/>
    <w:rsid w:val="008B241C"/>
    <w:rsid w:val="008B408B"/>
    <w:rsid w:val="008B4F11"/>
    <w:rsid w:val="008C0533"/>
    <w:rsid w:val="008C2362"/>
    <w:rsid w:val="008C3049"/>
    <w:rsid w:val="008C5EBB"/>
    <w:rsid w:val="008C6CF8"/>
    <w:rsid w:val="008C726C"/>
    <w:rsid w:val="008D086B"/>
    <w:rsid w:val="008D3370"/>
    <w:rsid w:val="008D4AE9"/>
    <w:rsid w:val="008D4C51"/>
    <w:rsid w:val="008D5CF3"/>
    <w:rsid w:val="008D62AF"/>
    <w:rsid w:val="008D7D39"/>
    <w:rsid w:val="008E3CFD"/>
    <w:rsid w:val="008E438E"/>
    <w:rsid w:val="008E4574"/>
    <w:rsid w:val="008E6025"/>
    <w:rsid w:val="008E6F7D"/>
    <w:rsid w:val="008E73C6"/>
    <w:rsid w:val="008F4016"/>
    <w:rsid w:val="008F42FE"/>
    <w:rsid w:val="008F4A00"/>
    <w:rsid w:val="008F5402"/>
    <w:rsid w:val="008F6963"/>
    <w:rsid w:val="0090053A"/>
    <w:rsid w:val="00901C2A"/>
    <w:rsid w:val="00904269"/>
    <w:rsid w:val="00904F39"/>
    <w:rsid w:val="009076F9"/>
    <w:rsid w:val="009109EC"/>
    <w:rsid w:val="009118C7"/>
    <w:rsid w:val="00913DAB"/>
    <w:rsid w:val="00915040"/>
    <w:rsid w:val="0091517D"/>
    <w:rsid w:val="009201A0"/>
    <w:rsid w:val="009225B6"/>
    <w:rsid w:val="00925397"/>
    <w:rsid w:val="00926C67"/>
    <w:rsid w:val="00930103"/>
    <w:rsid w:val="00933A21"/>
    <w:rsid w:val="00934C10"/>
    <w:rsid w:val="00935FF2"/>
    <w:rsid w:val="0093662A"/>
    <w:rsid w:val="009403B3"/>
    <w:rsid w:val="0094060C"/>
    <w:rsid w:val="009441A3"/>
    <w:rsid w:val="009536D7"/>
    <w:rsid w:val="00954E59"/>
    <w:rsid w:val="00955A4A"/>
    <w:rsid w:val="009606A5"/>
    <w:rsid w:val="00962F1F"/>
    <w:rsid w:val="00965229"/>
    <w:rsid w:val="00965304"/>
    <w:rsid w:val="00965D22"/>
    <w:rsid w:val="00966989"/>
    <w:rsid w:val="009676B6"/>
    <w:rsid w:val="009706DE"/>
    <w:rsid w:val="00971293"/>
    <w:rsid w:val="00973A3B"/>
    <w:rsid w:val="00976333"/>
    <w:rsid w:val="00980F1E"/>
    <w:rsid w:val="00983EAE"/>
    <w:rsid w:val="0098585B"/>
    <w:rsid w:val="009858B0"/>
    <w:rsid w:val="0098760B"/>
    <w:rsid w:val="00993448"/>
    <w:rsid w:val="00994C65"/>
    <w:rsid w:val="00996AE2"/>
    <w:rsid w:val="009A11DD"/>
    <w:rsid w:val="009A2CB0"/>
    <w:rsid w:val="009A6C6C"/>
    <w:rsid w:val="009B30AA"/>
    <w:rsid w:val="009B34A8"/>
    <w:rsid w:val="009B3AEF"/>
    <w:rsid w:val="009B4749"/>
    <w:rsid w:val="009B5217"/>
    <w:rsid w:val="009B6118"/>
    <w:rsid w:val="009C4798"/>
    <w:rsid w:val="009C48DE"/>
    <w:rsid w:val="009D17EF"/>
    <w:rsid w:val="009D75D1"/>
    <w:rsid w:val="009E1E1E"/>
    <w:rsid w:val="009E31AA"/>
    <w:rsid w:val="009E33E3"/>
    <w:rsid w:val="009E6FB7"/>
    <w:rsid w:val="009E70F0"/>
    <w:rsid w:val="009E7F16"/>
    <w:rsid w:val="009F266F"/>
    <w:rsid w:val="009F2F82"/>
    <w:rsid w:val="009F5052"/>
    <w:rsid w:val="00A01F06"/>
    <w:rsid w:val="00A02DC0"/>
    <w:rsid w:val="00A04C85"/>
    <w:rsid w:val="00A05D86"/>
    <w:rsid w:val="00A100F0"/>
    <w:rsid w:val="00A14AFE"/>
    <w:rsid w:val="00A15145"/>
    <w:rsid w:val="00A156E6"/>
    <w:rsid w:val="00A27D86"/>
    <w:rsid w:val="00A316C0"/>
    <w:rsid w:val="00A33151"/>
    <w:rsid w:val="00A36970"/>
    <w:rsid w:val="00A41EB4"/>
    <w:rsid w:val="00A44BFF"/>
    <w:rsid w:val="00A46347"/>
    <w:rsid w:val="00A46610"/>
    <w:rsid w:val="00A501E3"/>
    <w:rsid w:val="00A50F0C"/>
    <w:rsid w:val="00A51541"/>
    <w:rsid w:val="00A52C04"/>
    <w:rsid w:val="00A5410F"/>
    <w:rsid w:val="00A5484C"/>
    <w:rsid w:val="00A56441"/>
    <w:rsid w:val="00A60A07"/>
    <w:rsid w:val="00A640A3"/>
    <w:rsid w:val="00A661D9"/>
    <w:rsid w:val="00A67A0B"/>
    <w:rsid w:val="00A736DD"/>
    <w:rsid w:val="00A74EAF"/>
    <w:rsid w:val="00A80316"/>
    <w:rsid w:val="00A81FA0"/>
    <w:rsid w:val="00A82869"/>
    <w:rsid w:val="00A86BA8"/>
    <w:rsid w:val="00A8758C"/>
    <w:rsid w:val="00A878CC"/>
    <w:rsid w:val="00A87CF0"/>
    <w:rsid w:val="00A947A8"/>
    <w:rsid w:val="00A9598A"/>
    <w:rsid w:val="00AA127E"/>
    <w:rsid w:val="00AA19AE"/>
    <w:rsid w:val="00AA423D"/>
    <w:rsid w:val="00AA5873"/>
    <w:rsid w:val="00AA6A95"/>
    <w:rsid w:val="00AB10DE"/>
    <w:rsid w:val="00AB3668"/>
    <w:rsid w:val="00AB4C8E"/>
    <w:rsid w:val="00AB5338"/>
    <w:rsid w:val="00AB5ED7"/>
    <w:rsid w:val="00AB64CE"/>
    <w:rsid w:val="00AC0B4C"/>
    <w:rsid w:val="00AC47CF"/>
    <w:rsid w:val="00AC56B1"/>
    <w:rsid w:val="00AC58A6"/>
    <w:rsid w:val="00AD0AEE"/>
    <w:rsid w:val="00AD0BFF"/>
    <w:rsid w:val="00AD49E3"/>
    <w:rsid w:val="00AD4B4F"/>
    <w:rsid w:val="00AE111A"/>
    <w:rsid w:val="00AE69FC"/>
    <w:rsid w:val="00AF0616"/>
    <w:rsid w:val="00AF0E28"/>
    <w:rsid w:val="00AF4B79"/>
    <w:rsid w:val="00AF5948"/>
    <w:rsid w:val="00AF5EC9"/>
    <w:rsid w:val="00AF6F9B"/>
    <w:rsid w:val="00B01409"/>
    <w:rsid w:val="00B055A9"/>
    <w:rsid w:val="00B10A3D"/>
    <w:rsid w:val="00B10DBD"/>
    <w:rsid w:val="00B15629"/>
    <w:rsid w:val="00B22ED8"/>
    <w:rsid w:val="00B2372C"/>
    <w:rsid w:val="00B25334"/>
    <w:rsid w:val="00B2680E"/>
    <w:rsid w:val="00B32F70"/>
    <w:rsid w:val="00B35784"/>
    <w:rsid w:val="00B373D0"/>
    <w:rsid w:val="00B4035E"/>
    <w:rsid w:val="00B43AAA"/>
    <w:rsid w:val="00B43AF7"/>
    <w:rsid w:val="00B53139"/>
    <w:rsid w:val="00B562CE"/>
    <w:rsid w:val="00B60B84"/>
    <w:rsid w:val="00B62DE2"/>
    <w:rsid w:val="00B6623A"/>
    <w:rsid w:val="00B74417"/>
    <w:rsid w:val="00B757BD"/>
    <w:rsid w:val="00B758A0"/>
    <w:rsid w:val="00B770CC"/>
    <w:rsid w:val="00B77246"/>
    <w:rsid w:val="00B8521B"/>
    <w:rsid w:val="00B866CD"/>
    <w:rsid w:val="00B92AF0"/>
    <w:rsid w:val="00B93034"/>
    <w:rsid w:val="00B93345"/>
    <w:rsid w:val="00B94B2F"/>
    <w:rsid w:val="00B95EC8"/>
    <w:rsid w:val="00B97C5D"/>
    <w:rsid w:val="00BA0074"/>
    <w:rsid w:val="00BA1290"/>
    <w:rsid w:val="00BA1ABF"/>
    <w:rsid w:val="00BA3101"/>
    <w:rsid w:val="00BA4F49"/>
    <w:rsid w:val="00BA54C7"/>
    <w:rsid w:val="00BA5583"/>
    <w:rsid w:val="00BA5CD1"/>
    <w:rsid w:val="00BB1A7C"/>
    <w:rsid w:val="00BB2792"/>
    <w:rsid w:val="00BB4A54"/>
    <w:rsid w:val="00BB51E4"/>
    <w:rsid w:val="00BB5614"/>
    <w:rsid w:val="00BB5FCD"/>
    <w:rsid w:val="00BB76BF"/>
    <w:rsid w:val="00BC0A73"/>
    <w:rsid w:val="00BC1679"/>
    <w:rsid w:val="00BC1AD1"/>
    <w:rsid w:val="00BC4A58"/>
    <w:rsid w:val="00BC613B"/>
    <w:rsid w:val="00BD51D9"/>
    <w:rsid w:val="00BD5C76"/>
    <w:rsid w:val="00BD64E2"/>
    <w:rsid w:val="00BE4995"/>
    <w:rsid w:val="00BF429A"/>
    <w:rsid w:val="00BF4EAC"/>
    <w:rsid w:val="00BF53B8"/>
    <w:rsid w:val="00BF53F1"/>
    <w:rsid w:val="00BF62BE"/>
    <w:rsid w:val="00BF727A"/>
    <w:rsid w:val="00C01B5A"/>
    <w:rsid w:val="00C07126"/>
    <w:rsid w:val="00C1492B"/>
    <w:rsid w:val="00C15A1E"/>
    <w:rsid w:val="00C1603C"/>
    <w:rsid w:val="00C16853"/>
    <w:rsid w:val="00C17873"/>
    <w:rsid w:val="00C263F0"/>
    <w:rsid w:val="00C26851"/>
    <w:rsid w:val="00C30E75"/>
    <w:rsid w:val="00C33D23"/>
    <w:rsid w:val="00C33D41"/>
    <w:rsid w:val="00C344BC"/>
    <w:rsid w:val="00C35BE1"/>
    <w:rsid w:val="00C40106"/>
    <w:rsid w:val="00C40AFD"/>
    <w:rsid w:val="00C418E8"/>
    <w:rsid w:val="00C41E20"/>
    <w:rsid w:val="00C42E3E"/>
    <w:rsid w:val="00C51C13"/>
    <w:rsid w:val="00C525A5"/>
    <w:rsid w:val="00C5300F"/>
    <w:rsid w:val="00C55574"/>
    <w:rsid w:val="00C56D26"/>
    <w:rsid w:val="00C57A28"/>
    <w:rsid w:val="00C64703"/>
    <w:rsid w:val="00C65686"/>
    <w:rsid w:val="00C66167"/>
    <w:rsid w:val="00C66CE0"/>
    <w:rsid w:val="00C67AEB"/>
    <w:rsid w:val="00C70041"/>
    <w:rsid w:val="00C71BED"/>
    <w:rsid w:val="00C72A0D"/>
    <w:rsid w:val="00C73F2D"/>
    <w:rsid w:val="00C747C0"/>
    <w:rsid w:val="00C74E73"/>
    <w:rsid w:val="00C76E5D"/>
    <w:rsid w:val="00C81B53"/>
    <w:rsid w:val="00C82AD2"/>
    <w:rsid w:val="00C82CB6"/>
    <w:rsid w:val="00C84726"/>
    <w:rsid w:val="00C90FB6"/>
    <w:rsid w:val="00C91D9C"/>
    <w:rsid w:val="00C9220E"/>
    <w:rsid w:val="00C92AB0"/>
    <w:rsid w:val="00C932BD"/>
    <w:rsid w:val="00C93429"/>
    <w:rsid w:val="00CA16C5"/>
    <w:rsid w:val="00CA415A"/>
    <w:rsid w:val="00CA4DCC"/>
    <w:rsid w:val="00CA504F"/>
    <w:rsid w:val="00CA7A35"/>
    <w:rsid w:val="00CB0192"/>
    <w:rsid w:val="00CB0783"/>
    <w:rsid w:val="00CB1536"/>
    <w:rsid w:val="00CB167D"/>
    <w:rsid w:val="00CB3CE4"/>
    <w:rsid w:val="00CB5880"/>
    <w:rsid w:val="00CB5F3C"/>
    <w:rsid w:val="00CB6CD2"/>
    <w:rsid w:val="00CB73E2"/>
    <w:rsid w:val="00CB7FB8"/>
    <w:rsid w:val="00CC1F71"/>
    <w:rsid w:val="00CC5EB3"/>
    <w:rsid w:val="00CD07D5"/>
    <w:rsid w:val="00CD0E7B"/>
    <w:rsid w:val="00CD2ABD"/>
    <w:rsid w:val="00CD4024"/>
    <w:rsid w:val="00CD4617"/>
    <w:rsid w:val="00CD4855"/>
    <w:rsid w:val="00CE6D43"/>
    <w:rsid w:val="00CE7888"/>
    <w:rsid w:val="00CF43E1"/>
    <w:rsid w:val="00D03363"/>
    <w:rsid w:val="00D03AD8"/>
    <w:rsid w:val="00D03FF4"/>
    <w:rsid w:val="00D0710B"/>
    <w:rsid w:val="00D10E1C"/>
    <w:rsid w:val="00D11278"/>
    <w:rsid w:val="00D12B37"/>
    <w:rsid w:val="00D12EFA"/>
    <w:rsid w:val="00D1404B"/>
    <w:rsid w:val="00D14774"/>
    <w:rsid w:val="00D153EE"/>
    <w:rsid w:val="00D15BF1"/>
    <w:rsid w:val="00D161A3"/>
    <w:rsid w:val="00D17FD6"/>
    <w:rsid w:val="00D22E49"/>
    <w:rsid w:val="00D234D6"/>
    <w:rsid w:val="00D23716"/>
    <w:rsid w:val="00D25ED8"/>
    <w:rsid w:val="00D278F7"/>
    <w:rsid w:val="00D27F8F"/>
    <w:rsid w:val="00D316B8"/>
    <w:rsid w:val="00D31CFC"/>
    <w:rsid w:val="00D3255D"/>
    <w:rsid w:val="00D340C3"/>
    <w:rsid w:val="00D355AB"/>
    <w:rsid w:val="00D409CD"/>
    <w:rsid w:val="00D40B9B"/>
    <w:rsid w:val="00D423D4"/>
    <w:rsid w:val="00D42CAF"/>
    <w:rsid w:val="00D44B2B"/>
    <w:rsid w:val="00D4763B"/>
    <w:rsid w:val="00D527A6"/>
    <w:rsid w:val="00D53136"/>
    <w:rsid w:val="00D56C6D"/>
    <w:rsid w:val="00D57DC2"/>
    <w:rsid w:val="00D601EF"/>
    <w:rsid w:val="00D61533"/>
    <w:rsid w:val="00D63B2F"/>
    <w:rsid w:val="00D6640B"/>
    <w:rsid w:val="00D70747"/>
    <w:rsid w:val="00D70CB3"/>
    <w:rsid w:val="00D7261D"/>
    <w:rsid w:val="00D73098"/>
    <w:rsid w:val="00D73F71"/>
    <w:rsid w:val="00D74962"/>
    <w:rsid w:val="00D7506D"/>
    <w:rsid w:val="00D755FC"/>
    <w:rsid w:val="00D76B6D"/>
    <w:rsid w:val="00D77C40"/>
    <w:rsid w:val="00D80FA1"/>
    <w:rsid w:val="00D820DA"/>
    <w:rsid w:val="00D821CA"/>
    <w:rsid w:val="00D82495"/>
    <w:rsid w:val="00D84D07"/>
    <w:rsid w:val="00D8526A"/>
    <w:rsid w:val="00D86899"/>
    <w:rsid w:val="00D90E91"/>
    <w:rsid w:val="00D93790"/>
    <w:rsid w:val="00D97257"/>
    <w:rsid w:val="00DA02D5"/>
    <w:rsid w:val="00DA1B10"/>
    <w:rsid w:val="00DA43E9"/>
    <w:rsid w:val="00DA5C3C"/>
    <w:rsid w:val="00DA5C55"/>
    <w:rsid w:val="00DB53C1"/>
    <w:rsid w:val="00DC1347"/>
    <w:rsid w:val="00DC2FFE"/>
    <w:rsid w:val="00DC39F1"/>
    <w:rsid w:val="00DC59E4"/>
    <w:rsid w:val="00DD08CC"/>
    <w:rsid w:val="00DD1D78"/>
    <w:rsid w:val="00DD6F39"/>
    <w:rsid w:val="00DE4B35"/>
    <w:rsid w:val="00DE5F04"/>
    <w:rsid w:val="00DE6DAE"/>
    <w:rsid w:val="00DF0478"/>
    <w:rsid w:val="00DF19C1"/>
    <w:rsid w:val="00DF1D62"/>
    <w:rsid w:val="00DF54CA"/>
    <w:rsid w:val="00DF5B64"/>
    <w:rsid w:val="00E02794"/>
    <w:rsid w:val="00E03E3D"/>
    <w:rsid w:val="00E043E3"/>
    <w:rsid w:val="00E0505B"/>
    <w:rsid w:val="00E0560C"/>
    <w:rsid w:val="00E11280"/>
    <w:rsid w:val="00E1151D"/>
    <w:rsid w:val="00E12359"/>
    <w:rsid w:val="00E152FF"/>
    <w:rsid w:val="00E170E7"/>
    <w:rsid w:val="00E2461B"/>
    <w:rsid w:val="00E24886"/>
    <w:rsid w:val="00E251CA"/>
    <w:rsid w:val="00E26F83"/>
    <w:rsid w:val="00E276FB"/>
    <w:rsid w:val="00E30B81"/>
    <w:rsid w:val="00E32595"/>
    <w:rsid w:val="00E325F7"/>
    <w:rsid w:val="00E33A74"/>
    <w:rsid w:val="00E35AE1"/>
    <w:rsid w:val="00E4030B"/>
    <w:rsid w:val="00E41D56"/>
    <w:rsid w:val="00E44623"/>
    <w:rsid w:val="00E457DF"/>
    <w:rsid w:val="00E46642"/>
    <w:rsid w:val="00E5139A"/>
    <w:rsid w:val="00E540C5"/>
    <w:rsid w:val="00E5413D"/>
    <w:rsid w:val="00E55674"/>
    <w:rsid w:val="00E57977"/>
    <w:rsid w:val="00E629F0"/>
    <w:rsid w:val="00E635D7"/>
    <w:rsid w:val="00E63638"/>
    <w:rsid w:val="00E66C2D"/>
    <w:rsid w:val="00E70576"/>
    <w:rsid w:val="00E83954"/>
    <w:rsid w:val="00E86D8D"/>
    <w:rsid w:val="00E87767"/>
    <w:rsid w:val="00E9044E"/>
    <w:rsid w:val="00E91730"/>
    <w:rsid w:val="00E96F04"/>
    <w:rsid w:val="00E97AEC"/>
    <w:rsid w:val="00EA20FE"/>
    <w:rsid w:val="00EA290C"/>
    <w:rsid w:val="00EA2A01"/>
    <w:rsid w:val="00EA520C"/>
    <w:rsid w:val="00EB40E0"/>
    <w:rsid w:val="00EB417A"/>
    <w:rsid w:val="00EB491E"/>
    <w:rsid w:val="00EB681B"/>
    <w:rsid w:val="00EC28CF"/>
    <w:rsid w:val="00EC4FAD"/>
    <w:rsid w:val="00EC7DC5"/>
    <w:rsid w:val="00ED3BEB"/>
    <w:rsid w:val="00ED3D70"/>
    <w:rsid w:val="00ED4F24"/>
    <w:rsid w:val="00ED71E3"/>
    <w:rsid w:val="00EE18EC"/>
    <w:rsid w:val="00EE3CFA"/>
    <w:rsid w:val="00EE69E4"/>
    <w:rsid w:val="00EF2A7F"/>
    <w:rsid w:val="00EF3E11"/>
    <w:rsid w:val="00EF7E90"/>
    <w:rsid w:val="00F002B6"/>
    <w:rsid w:val="00F009AC"/>
    <w:rsid w:val="00F034D8"/>
    <w:rsid w:val="00F07435"/>
    <w:rsid w:val="00F10AFE"/>
    <w:rsid w:val="00F15C6C"/>
    <w:rsid w:val="00F17173"/>
    <w:rsid w:val="00F2001C"/>
    <w:rsid w:val="00F224DC"/>
    <w:rsid w:val="00F25383"/>
    <w:rsid w:val="00F26000"/>
    <w:rsid w:val="00F2687F"/>
    <w:rsid w:val="00F27F29"/>
    <w:rsid w:val="00F32D54"/>
    <w:rsid w:val="00F32F49"/>
    <w:rsid w:val="00F36C54"/>
    <w:rsid w:val="00F4189B"/>
    <w:rsid w:val="00F418EA"/>
    <w:rsid w:val="00F41A29"/>
    <w:rsid w:val="00F438C5"/>
    <w:rsid w:val="00F44C1C"/>
    <w:rsid w:val="00F44E5C"/>
    <w:rsid w:val="00F458A6"/>
    <w:rsid w:val="00F518DF"/>
    <w:rsid w:val="00F544DB"/>
    <w:rsid w:val="00F6502E"/>
    <w:rsid w:val="00F65663"/>
    <w:rsid w:val="00F6672F"/>
    <w:rsid w:val="00F66BED"/>
    <w:rsid w:val="00F7506E"/>
    <w:rsid w:val="00F756C0"/>
    <w:rsid w:val="00F75A40"/>
    <w:rsid w:val="00F77637"/>
    <w:rsid w:val="00F829DB"/>
    <w:rsid w:val="00F82C87"/>
    <w:rsid w:val="00F8435D"/>
    <w:rsid w:val="00F85DB5"/>
    <w:rsid w:val="00F86734"/>
    <w:rsid w:val="00F87DD0"/>
    <w:rsid w:val="00F92540"/>
    <w:rsid w:val="00F93360"/>
    <w:rsid w:val="00F93FE4"/>
    <w:rsid w:val="00F95C2C"/>
    <w:rsid w:val="00F9667D"/>
    <w:rsid w:val="00F969AD"/>
    <w:rsid w:val="00F97E4E"/>
    <w:rsid w:val="00FA0D4A"/>
    <w:rsid w:val="00FA217B"/>
    <w:rsid w:val="00FA59C6"/>
    <w:rsid w:val="00FB0BC5"/>
    <w:rsid w:val="00FB0BCC"/>
    <w:rsid w:val="00FC0FE5"/>
    <w:rsid w:val="00FC4442"/>
    <w:rsid w:val="00FC48B9"/>
    <w:rsid w:val="00FC4C1D"/>
    <w:rsid w:val="00FD15D3"/>
    <w:rsid w:val="00FD1ABC"/>
    <w:rsid w:val="00FD298F"/>
    <w:rsid w:val="00FD5ABB"/>
    <w:rsid w:val="00FD7DDF"/>
    <w:rsid w:val="00FE00BA"/>
    <w:rsid w:val="00FE2EB5"/>
    <w:rsid w:val="00FE4C92"/>
    <w:rsid w:val="00FF0FAA"/>
    <w:rsid w:val="00FF193E"/>
    <w:rsid w:val="00FF218A"/>
    <w:rsid w:val="00FF4396"/>
    <w:rsid w:val="00FF51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3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0C"/>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ind w:left="720" w:hanging="720"/>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CB1536"/>
    <w:rPr>
      <w:sz w:val="16"/>
      <w:szCs w:val="20"/>
      <w:lang w:eastAsia="en-US" w:bidi="ar-SA"/>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iPriority w:val="99"/>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uiPriority w:val="99"/>
    <w:semiHidden/>
    <w:unhideWhenUsed/>
    <w:rsid w:val="003101A4"/>
    <w:rPr>
      <w:sz w:val="16"/>
      <w:szCs w:val="16"/>
    </w:rPr>
  </w:style>
  <w:style w:type="paragraph" w:styleId="CommentText">
    <w:name w:val="annotation text"/>
    <w:basedOn w:val="Normal"/>
    <w:link w:val="CommentTextChar"/>
    <w:uiPriority w:val="99"/>
    <w:unhideWhenUsed/>
    <w:rsid w:val="003101A4"/>
    <w:pPr>
      <w:spacing w:line="240" w:lineRule="auto"/>
    </w:pPr>
    <w:rPr>
      <w:sz w:val="20"/>
    </w:rPr>
  </w:style>
  <w:style w:type="character" w:customStyle="1" w:styleId="CommentTextChar">
    <w:name w:val="Comment Text Char"/>
    <w:basedOn w:val="DefaultParagraphFont"/>
    <w:link w:val="CommentText"/>
    <w:uiPriority w:val="99"/>
    <w:rsid w:val="003101A4"/>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3101A4"/>
    <w:rPr>
      <w:b/>
      <w:bCs/>
    </w:rPr>
  </w:style>
  <w:style w:type="character" w:customStyle="1" w:styleId="CommentSubjectChar">
    <w:name w:val="Comment Subject Char"/>
    <w:basedOn w:val="CommentTextChar"/>
    <w:link w:val="CommentSubject"/>
    <w:uiPriority w:val="99"/>
    <w:semiHidden/>
    <w:rsid w:val="003101A4"/>
    <w:rPr>
      <w:b/>
      <w:bCs/>
      <w:sz w:val="20"/>
      <w:szCs w:val="20"/>
      <w:lang w:eastAsia="en-US" w:bidi="ar-SA"/>
    </w:rPr>
  </w:style>
  <w:style w:type="character" w:customStyle="1" w:styleId="UnresolvedMention1">
    <w:name w:val="Unresolved Mention1"/>
    <w:basedOn w:val="DefaultParagraphFont"/>
    <w:uiPriority w:val="99"/>
    <w:semiHidden/>
    <w:unhideWhenUsed/>
    <w:rsid w:val="00306551"/>
    <w:rPr>
      <w:color w:val="605E5C"/>
      <w:shd w:val="clear" w:color="auto" w:fill="E1DFDD"/>
    </w:rPr>
  </w:style>
  <w:style w:type="paragraph" w:styleId="ListParagraph">
    <w:name w:val="List Paragraph"/>
    <w:basedOn w:val="Normal"/>
    <w:link w:val="ListParagraphChar"/>
    <w:uiPriority w:val="34"/>
    <w:qFormat/>
    <w:rsid w:val="00544B51"/>
    <w:pPr>
      <w:overflowPunct/>
      <w:autoSpaceDE/>
      <w:autoSpaceDN/>
      <w:adjustRightInd/>
      <w:spacing w:line="240" w:lineRule="auto"/>
      <w:ind w:left="720"/>
      <w:contextualSpacing/>
      <w:jc w:val="left"/>
      <w:textAlignment w:val="auto"/>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544B51"/>
    <w:rPr>
      <w:rFonts w:asciiTheme="minorHAnsi" w:eastAsiaTheme="minorHAnsi" w:hAnsiTheme="minorHAnsi" w:cstheme="minorBidi"/>
      <w:noProof/>
      <w:sz w:val="24"/>
      <w:szCs w:val="24"/>
      <w:lang w:eastAsia="en-US" w:bidi="ar-SA"/>
    </w:rPr>
  </w:style>
  <w:style w:type="paragraph" w:styleId="NormalWeb">
    <w:name w:val="Normal (Web)"/>
    <w:basedOn w:val="Normal"/>
    <w:uiPriority w:val="99"/>
    <w:unhideWhenUsed/>
    <w:rsid w:val="00656F0B"/>
    <w:pPr>
      <w:overflowPunct/>
      <w:autoSpaceDE/>
      <w:autoSpaceDN/>
      <w:adjustRightInd/>
      <w:spacing w:line="240" w:lineRule="auto"/>
      <w:jc w:val="left"/>
      <w:textAlignment w:val="auto"/>
    </w:pPr>
    <w:rPr>
      <w:rFonts w:eastAsiaTheme="minorHAnsi"/>
      <w:noProof/>
      <w:sz w:val="24"/>
      <w:szCs w:val="24"/>
    </w:rPr>
  </w:style>
  <w:style w:type="character" w:customStyle="1" w:styleId="UnresolvedMention2">
    <w:name w:val="Unresolved Mention2"/>
    <w:basedOn w:val="DefaultParagraphFont"/>
    <w:uiPriority w:val="99"/>
    <w:semiHidden/>
    <w:unhideWhenUsed/>
    <w:rsid w:val="00FA0D4A"/>
    <w:rPr>
      <w:color w:val="605E5C"/>
      <w:shd w:val="clear" w:color="auto" w:fill="E1DFDD"/>
    </w:rPr>
  </w:style>
  <w:style w:type="character" w:customStyle="1" w:styleId="UnresolvedMention3">
    <w:name w:val="Unresolved Mention3"/>
    <w:basedOn w:val="DefaultParagraphFont"/>
    <w:uiPriority w:val="99"/>
    <w:semiHidden/>
    <w:unhideWhenUsed/>
    <w:rsid w:val="00774946"/>
    <w:rPr>
      <w:color w:val="605E5C"/>
      <w:shd w:val="clear" w:color="auto" w:fill="E1DFDD"/>
    </w:rPr>
  </w:style>
  <w:style w:type="character" w:customStyle="1" w:styleId="UnresolvedMention4">
    <w:name w:val="Unresolved Mention4"/>
    <w:basedOn w:val="DefaultParagraphFont"/>
    <w:uiPriority w:val="99"/>
    <w:semiHidden/>
    <w:unhideWhenUsed/>
    <w:rsid w:val="00F95C2C"/>
    <w:rPr>
      <w:color w:val="605E5C"/>
      <w:shd w:val="clear" w:color="auto" w:fill="E1DFDD"/>
    </w:rPr>
  </w:style>
  <w:style w:type="character" w:customStyle="1" w:styleId="UnresolvedMention5">
    <w:name w:val="Unresolved Mention5"/>
    <w:basedOn w:val="DefaultParagraphFont"/>
    <w:uiPriority w:val="99"/>
    <w:semiHidden/>
    <w:unhideWhenUsed/>
    <w:rsid w:val="0099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9626">
      <w:bodyDiv w:val="1"/>
      <w:marLeft w:val="0"/>
      <w:marRight w:val="0"/>
      <w:marTop w:val="0"/>
      <w:marBottom w:val="0"/>
      <w:divBdr>
        <w:top w:val="none" w:sz="0" w:space="0" w:color="auto"/>
        <w:left w:val="none" w:sz="0" w:space="0" w:color="auto"/>
        <w:bottom w:val="none" w:sz="0" w:space="0" w:color="auto"/>
        <w:right w:val="none" w:sz="0" w:space="0" w:color="auto"/>
      </w:divBdr>
    </w:div>
    <w:div w:id="371537588">
      <w:bodyDiv w:val="1"/>
      <w:marLeft w:val="0"/>
      <w:marRight w:val="0"/>
      <w:marTop w:val="0"/>
      <w:marBottom w:val="0"/>
      <w:divBdr>
        <w:top w:val="none" w:sz="0" w:space="0" w:color="auto"/>
        <w:left w:val="none" w:sz="0" w:space="0" w:color="auto"/>
        <w:bottom w:val="none" w:sz="0" w:space="0" w:color="auto"/>
        <w:right w:val="none" w:sz="0" w:space="0" w:color="auto"/>
      </w:divBdr>
    </w:div>
    <w:div w:id="385883061">
      <w:bodyDiv w:val="1"/>
      <w:marLeft w:val="0"/>
      <w:marRight w:val="0"/>
      <w:marTop w:val="0"/>
      <w:marBottom w:val="0"/>
      <w:divBdr>
        <w:top w:val="none" w:sz="0" w:space="0" w:color="auto"/>
        <w:left w:val="none" w:sz="0" w:space="0" w:color="auto"/>
        <w:bottom w:val="none" w:sz="0" w:space="0" w:color="auto"/>
        <w:right w:val="none" w:sz="0" w:space="0" w:color="auto"/>
      </w:divBdr>
    </w:div>
    <w:div w:id="49284250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45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n/documents/report/national-european-semester-days-austria-24-02-2026" TargetMode="External"/><Relationship Id="rId3" Type="http://schemas.openxmlformats.org/officeDocument/2006/relationships/hyperlink" Target="https://economy-finance.ec.europa.eu/economic-and-fiscal-governance/stability-and-growth-pact/preventive-arm/national-medium-term-fiscal-structural-plans_en" TargetMode="External"/><Relationship Id="rId7" Type="http://schemas.openxmlformats.org/officeDocument/2006/relationships/hyperlink" Target="https://www.eesc.europa.eu/en/documents/report/national-european-semester-days-estonia-09-02-2026" TargetMode="External"/><Relationship Id="rId2" Type="http://schemas.openxmlformats.org/officeDocument/2006/relationships/hyperlink" Target="https://commission.europa.eu/publications/2025-european-semester-country-specific-recommendations-commission-recommendations_en" TargetMode="External"/><Relationship Id="rId1" Type="http://schemas.openxmlformats.org/officeDocument/2006/relationships/hyperlink" Target="https://www.eesc.europa.eu/en/our-work/opinions-information-reports/opinions/eescs-recommendations-reform-and-investment-proposals-formulated-part-2025-2026-european-semester-cycle" TargetMode="External"/><Relationship Id="rId6" Type="http://schemas.openxmlformats.org/officeDocument/2006/relationships/hyperlink" Target="https://www.eesc.europa.eu/en/documents/report/national-european-semester-days-cyprus-04-02-2026" TargetMode="External"/><Relationship Id="rId5" Type="http://schemas.openxmlformats.org/officeDocument/2006/relationships/hyperlink" Target="https://www.eesc.europa.eu/en/documents/report/national-european-semester-days-romania-03-02-2026" TargetMode="External"/><Relationship Id="rId10" Type="http://schemas.openxmlformats.org/officeDocument/2006/relationships/hyperlink" Target="https://www.eesc.europa.eu/en/sections-other-bodies/other/liaison-group-european-civil-society-organisations-and-networks" TargetMode="External"/><Relationship Id="rId4" Type="http://schemas.openxmlformats.org/officeDocument/2006/relationships/hyperlink" Target="https://economy-finance.ec.europa.eu/economic-and-fiscal-governance/new-economic-governance-framework_en" TargetMode="External"/><Relationship Id="rId9" Type="http://schemas.openxmlformats.org/officeDocument/2006/relationships/hyperlink" Target="https://www.eesc.europa.eu/en/documents/report/national-european-semester-days-france-02-0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A6WAAD5KZT2Q-1415362569-8710</_dlc_DocId>
    <_dlc_DocIdUrl xmlns="1a33af13-4045-4f88-9d7b-618e30f79918">
      <Url>http://dm/eesc/2025/_layouts/15/DocIdRedir.aspx?ID=A6WAAD5KZT2Q-1415362569-8710</Url>
      <Description>A6WAAD5KZT2Q-1415362569-8710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RISE</TermName>
          <TermId xmlns="http://schemas.microsoft.com/office/infopath/2007/PartnerControls">e90d3dc9-efa2-4aa3-a057-89e12bda16a3</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2026-06-05T12:00:00+00:00</ProductionDate>
    <DocumentNumber xmlns="03db1768-8e83-4c4e-a8fb-1eb1d05ab6cf">4323</DocumentNumber>
    <FicheYear xmlns="1a33af13-4045-4f88-9d7b-618e30f79918" xsi:nil="true"/>
    <DossierNumber xmlns="1a33af13-4045-4f88-9d7b-618e30f79918">691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2026-06-17T12:00:00+00:00</MeetingDate>
    <TaxCatchAll xmlns="1a33af13-4045-4f88-9d7b-618e30f79918">
      <Value>67</Value>
      <Value>23</Value>
      <Value>50</Value>
      <Value>47</Value>
      <Value>46</Value>
      <Value>43</Value>
      <Value>42</Value>
      <Value>41</Value>
      <Value>40</Value>
      <Value>39</Value>
      <Value>37</Value>
      <Value>36</Value>
      <Value>35</Value>
      <Value>34</Value>
      <Value>33</Value>
      <Value>32</Value>
      <Value>31</Value>
      <Value>30</Value>
      <Value>29</Value>
      <Value>28</Value>
      <Value>27</Value>
      <Value>24</Value>
      <Value>201</Value>
      <Value>16</Value>
      <Value>15</Value>
      <Value>103</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Rapporteur xmlns="1a33af13-4045-4f88-9d7b-618e30f79918">LOBO XAVIER &amp; MONE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297887</FicheNumber>
    <OriginalSender xmlns="1a33af13-4045-4f88-9d7b-618e30f79918">
      <UserInfo>
        <DisplayName>Bojanic Mario</DisplayName>
        <AccountId>1522</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566486-10CB-4F11-A1ED-70D6F7043EBA}"/>
</file>

<file path=customXml/itemProps2.xml><?xml version="1.0" encoding="utf-8"?>
<ds:datastoreItem xmlns:ds="http://schemas.openxmlformats.org/officeDocument/2006/customXml" ds:itemID="{AA17207E-FDCB-45A4-9568-582E795A2FA4}">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03db1768-8e83-4c4e-a8fb-1eb1d05ab6cf"/>
  </ds:schemaRefs>
</ds:datastoreItem>
</file>

<file path=customXml/itemProps3.xml><?xml version="1.0" encoding="utf-8"?>
<ds:datastoreItem xmlns:ds="http://schemas.openxmlformats.org/officeDocument/2006/customXml" ds:itemID="{1124949D-427A-4A78-B7BF-91CF29FCE200}">
  <ds:schemaRefs>
    <ds:schemaRef ds:uri="http://schemas.microsoft.com/sharepoint/v3/contenttype/forms"/>
  </ds:schemaRefs>
</ds:datastoreItem>
</file>

<file path=customXml/itemProps4.xml><?xml version="1.0" encoding="utf-8"?>
<ds:datastoreItem xmlns:ds="http://schemas.openxmlformats.org/officeDocument/2006/customXml" ds:itemID="{B7F538FD-8495-43C3-A451-5DB46B6A71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5329</Words>
  <Characters>30380</Characters>
  <Application>Microsoft Office Word</Application>
  <DocSecurity>0</DocSecurity>
  <Lines>253</Lines>
  <Paragraphs>71</Paragraphs>
  <ScaleCrop>false</ScaleCrop>
  <HeadingPairs>
    <vt:vector size="8" baseType="variant">
      <vt:variant>
        <vt:lpstr>Title</vt:lpstr>
      </vt:variant>
      <vt:variant>
        <vt:i4>1</vt:i4>
      </vt:variant>
      <vt:variant>
        <vt:lpstr>Título</vt:lpstr>
      </vt:variant>
      <vt:variant>
        <vt:i4>1</vt:i4>
      </vt:variant>
      <vt:variant>
        <vt:lpstr>Titolo</vt:lpstr>
      </vt:variant>
      <vt:variant>
        <vt:i4>1</vt:i4>
      </vt:variant>
      <vt:variant>
        <vt:lpstr>Titlu</vt:lpstr>
      </vt:variant>
      <vt:variant>
        <vt:i4>1</vt:i4>
      </vt:variant>
    </vt:vector>
  </HeadingPairs>
  <TitlesOfParts>
    <vt:vector size="4" baseType="lpstr">
      <vt:lpstr>National reform and investment proposals and their implementation: 2025-2026 European Semester cycle</vt:lpstr>
      <vt:lpstr>EESC APRI - Model</vt:lpstr>
      <vt:lpstr>EESC APRI - Model</vt:lpstr>
      <vt:lpstr>European Agenda on Migration: Second implementation package - A permanent crisis relocation mechanism under the Dublin system</vt:lpstr>
    </vt:vector>
  </TitlesOfParts>
  <Manager/>
  <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Prijedlozi za nacionalne reforme i ulaganja i njihova provedba u okviru ciklusa europskog semestra 2025. - 2026.</dc:title>
  <dc:subject>Draft information report</dc:subject>
  <dc:creator/>
  <cp:keywords>EESC-2025-04323-00-00-PRI-TRA-EN</cp:keywords>
  <dc:description>Rapporteur: - LOBO XAVIER &amp; MONE &amp; JAHIER Original language: - EN Date of document: - 19/05/2026 Date of meeting: - 04/06/2026 External documents: -  Administrator responsible: -  GREGOIRE COLOMBE</dc:description>
  <cp:lastModifiedBy/>
  <cp:revision>13</cp:revision>
  <cp:lastPrinted>2016-01-26T08:31:00Z</cp:lastPrinted>
  <dcterms:created xsi:type="dcterms:W3CDTF">2026-06-05T09:46:00Z</dcterms:created>
  <dcterms:modified xsi:type="dcterms:W3CDTF">2026-06-05T13:24:00Z</dcterms:modified>
  <cp:category>ECO/691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05/06/2026, 19/05/2026, 22/04/2026, 26/02/2025, 12/04/2024, 17/05/2022, 04/11/2015, 27/10/2015, 19/10/2015, 09/10/2015, 05/10/2015, 05/10/2015, 26/08/2015, 26/08/2015, 25/08/2015</vt:lpwstr>
  </property>
  <property fmtid="{D5CDD505-2E9C-101B-9397-08002B2CF9AE}" pid="4" name="Pref_Time">
    <vt:lpwstr>11:46:56, 13:42:21, 09:24:14, 11:27:19, 12:09:36, 12:15:48, 12:10:07, 14:44:02, 16:04:16, 14:09:30, 16:24:55, 16:04:02, 08:56:14, 07:27:56, 17:31:53</vt:lpwstr>
  </property>
  <property fmtid="{D5CDD505-2E9C-101B-9397-08002B2CF9AE}" pid="5" name="Pref_User">
    <vt:lpwstr>amett, jhvi, pacup, enied, enied, enied, ssex, enied, amett, tvoc, mreg, mreg, amett, enied, ssex</vt:lpwstr>
  </property>
  <property fmtid="{D5CDD505-2E9C-101B-9397-08002B2CF9AE}" pid="6" name="Pref_FileName">
    <vt:lpwstr>EESC-2025-04323-00-00-RISE-TRA-EN-CRR.docx, EESC-2025-04323-00-00-PRI-ORI.docx, EESC-2025-04323-00-00-APRI-ORI.docx, EESC-2024-03288-00-00-APRI-ORI.docx, COR-EESC-2024-01326-24-00-ADMIN-ORI.docx, COR-EESC-2022-02575-00-00-ADMIN-ORI.docx, EESC-2015-05408-0</vt:lpwstr>
  </property>
  <property fmtid="{D5CDD505-2E9C-101B-9397-08002B2CF9AE}" pid="7" name="ContentTypeId">
    <vt:lpwstr>0x010100EA97B91038054C99906057A708A1480A007FAFB00F4882C04A82CD69E07FC3C83E</vt:lpwstr>
  </property>
  <property fmtid="{D5CDD505-2E9C-101B-9397-08002B2CF9AE}" pid="8" name="_dlc_DocIdItemGuid">
    <vt:lpwstr>7f9cf38e-88c6-442b-a594-05806fc43673</vt:lpwstr>
  </property>
  <property fmtid="{D5CDD505-2E9C-101B-9397-08002B2CF9AE}" pid="9" name="AvailableTranslations">
    <vt:lpwstr>50;#HR|2f555653-ed1a-4fe6-8362-9082d95989e5;#31;#SL|98a412ae-eb01-49e9-ae3d-585a81724cfc;#41;#ET|ff6c3f4c-b02c-4c3c-ab07-2c37995a7a0a;#16;#ES|e7a6b05b-ae16-40c8-add9-68b64b03aeba;#24;#PL|1e03da61-4678-4e07-b136-b5024ca9197b;#39;#LV|46f7e311-5d9f-4663-b433-18aeccb7ace7;#40;#DA|5d49c027-8956-412b-aa16-e85a0f96ad0e;#32;#MT|7df99101-6854-4a26-b53a-b88c0da02c26;#46;#SK|46d9fce0-ef79-4f71-b89b-cd6aa82426b8;#12;#FR|d2afafd3-4c81-4f60-8f52-ee33f2f54ff3;#42;#EL|6d4f4d51-af9b-4650-94b4-4276bee85c91;#37;#HU|6b229040-c589-4408-b4c1-4285663d20a8;#27;#NL|55c6556c-b4f4-441d-9acf-c498d4f838bd;#5;#EN|f2175f21-25d7-44a3-96da-d6a61b075e1b;#43;#GA|762d2456-c427-4ecb-b312-af3dad8e258c;#30;#LT|a7ff5ce7-6123-4f68-865a-a57c31810414;#34;#IT|0774613c-01ed-4e5d-a25d-11d2388de825;#33;#PT|50ccc04a-eadd-42ae-a0cb-acaf45f812ba;#47;#BG|1a1b3951-7821-4e6a-85f5-5673fc08bd2c;#29;#CS|72f9705b-0217-4fd3-bea2-cbc7ed80e26e;#23;#DE|f6b31e5a-26fa-4935-b661-318e46daf27e;#28;#SV|c2ed69e7-a339-43d7-8f22-d93680a92aa0;#36;#RO|feb747a2-64cd-4299-af12-4833ddc30497;#35;#FI|87606a43-d45f-42d6-b8c9-e1a3457db5b7</vt:lpwstr>
  </property>
  <property fmtid="{D5CDD505-2E9C-101B-9397-08002B2CF9AE}" pid="10" name="DocumentType_0">
    <vt:lpwstr>RISE|e90d3dc9-efa2-4aa3-a057-89e12bda16a3</vt:lpwstr>
  </property>
  <property fmtid="{D5CDD505-2E9C-101B-9397-08002B2CF9AE}" pid="11" name="MeetingNumber">
    <vt:i4>606</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4323</vt:i4>
  </property>
  <property fmtid="{D5CDD505-2E9C-101B-9397-08002B2CF9AE}" pid="15" name="FicheYear">
    <vt:i4>2025</vt:i4>
  </property>
  <property fmtid="{D5CDD505-2E9C-101B-9397-08002B2CF9AE}" pid="16" name="DocumentVersion">
    <vt:i4>0</vt:i4>
  </property>
  <property fmtid="{D5CDD505-2E9C-101B-9397-08002B2CF9AE}" pid="17" name="DossierNumber">
    <vt:i4>691</vt:i4>
  </property>
  <property fmtid="{D5CDD505-2E9C-101B-9397-08002B2CF9AE}" pid="18" name="DocumentStatus">
    <vt:lpwstr>13;#TRA|150d2a88-1431-44e6-a8ca-0bb753ab8672</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2026-06-17T12:00:00Z</vt:filetime>
  </property>
  <property fmtid="{D5CDD505-2E9C-101B-9397-08002B2CF9AE}" pid="27" name="AvailableTranslations_0">
    <vt:lpwstr>ES|e7a6b05b-ae16-40c8-add9-68b64b03aeba;EN|f2175f21-25d7-44a3-96da-d6a61b075e1b;CS|72f9705b-0217-4fd3-bea2-cbc7ed80e26e;FI|87606a43-d45f-42d6-b8c9-e1a3457db5b7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67;#SPL-CES|32d8cb1f-c9ec-4365-95c7-8385a18618ac;#5;#EN|f2175f21-25d7-44a3-96da-d6a61b075e1b;#201;#RISE|e90d3dc9-efa2-4aa3-a057-89e12bda16a3;#13;#TRA|150d2a88-1431-44e6-a8ca-0bb753ab8672;#29;#CS|72f9705b-0217-4fd3-bea2-cbc7ed80e26e;#35;#FI|87606a43-d45f-42d6-b8c9-e1a3457db5b7;#15;#Unrestricted|826e22d7-d029-4ec0-a450-0c28ff673572;#8;#Final|ea5e6674-7b27-4bac-b091-73adbb394efe;#103;#ECO|8df351f5-c957-404c-8cf3-8ffb22c9cba2;#1;#EESC|422833ec-8d7e-4e65-8e4e-8bed07ffb729;#16;#ES|e7a6b05b-ae16-40c8-add9-68b64b03aeba</vt:lpwstr>
  </property>
  <property fmtid="{D5CDD505-2E9C-101B-9397-08002B2CF9AE}" pid="31" name="Rapporteur">
    <vt:lpwstr>LOBO XAVIER &amp; MONE &amp; JAHIER</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297887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201;#RISE|e90d3dc9-efa2-4aa3-a057-89e12bda16a3</vt:lpwstr>
  </property>
  <property fmtid="{D5CDD505-2E9C-101B-9397-08002B2CF9AE}" pid="39" name="DocumentLanguage">
    <vt:lpwstr>50;#HR|2f555653-ed1a-4fe6-8362-9082d95989e5</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