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29C9" w14:textId="0A89BCA8" w:rsidR="00646AC2" w:rsidRPr="00F37C6A" w:rsidRDefault="006D654A" w:rsidP="00A055D1">
      <w:pPr>
        <w:overflowPunct/>
        <w:adjustRightInd/>
        <w:jc w:val="center"/>
        <w:textAlignment w:val="auto"/>
      </w:pPr>
      <w:r>
        <w:rPr>
          <w:noProof/>
        </w:rPr>
        <w:drawing>
          <wp:inline distT="0" distB="0" distL="0" distR="0" wp14:anchorId="13CC7545" wp14:editId="469CDAFB">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2"/>
                    <a:stretch>
                      <a:fillRect/>
                    </a:stretch>
                  </pic:blipFill>
                  <pic:spPr>
                    <a:xfrm>
                      <a:off x="0" y="0"/>
                      <a:ext cx="1792605" cy="1239520"/>
                    </a:xfrm>
                    <a:prstGeom prst="rect">
                      <a:avLst/>
                    </a:prstGeom>
                  </pic:spPr>
                </pic:pic>
              </a:graphicData>
            </a:graphic>
          </wp:inline>
        </w:drawing>
      </w:r>
      <w:r w:rsidR="003E0EB4">
        <w:rPr>
          <w:noProof/>
          <w:sz w:val="20"/>
        </w:rPr>
        <mc:AlternateContent>
          <mc:Choice Requires="wps">
            <w:drawing>
              <wp:anchor distT="0" distB="0" distL="114300" distR="114300" simplePos="0" relativeHeight="251659264" behindDoc="1" locked="0" layoutInCell="0" allowOverlap="1" wp14:anchorId="572791BF" wp14:editId="61173AF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7E995" w14:textId="77777777" w:rsidR="00CC0EA0" w:rsidRPr="00F37C6A" w:rsidRDefault="00CC0EA0">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791B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F07E995" w14:textId="77777777" w:rsidR="00CC0EA0" w:rsidRPr="00F37C6A" w:rsidRDefault="00CC0EA0">
                      <w:pPr>
                        <w:jc w:val="center"/>
                        <w:rPr>
                          <w:rFonts w:ascii="Arial" w:hAnsi="Arial" w:cs="Arial"/>
                          <w:b/>
                          <w:bCs/>
                          <w:sz w:val="48"/>
                        </w:rPr>
                      </w:pPr>
                      <w:r>
                        <w:rPr>
                          <w:rFonts w:ascii="Arial" w:hAnsi="Arial"/>
                          <w:b/>
                          <w:sz w:val="48"/>
                        </w:rPr>
                        <w:t>LT</w:t>
                      </w:r>
                    </w:p>
                  </w:txbxContent>
                </v:textbox>
                <w10:wrap anchorx="page" anchory="page"/>
              </v:shape>
            </w:pict>
          </mc:Fallback>
        </mc:AlternateContent>
      </w:r>
    </w:p>
    <w:p w14:paraId="058B9A77" w14:textId="77777777" w:rsidR="003E0EB4" w:rsidRPr="00F37C6A" w:rsidRDefault="003E0EB4" w:rsidP="00A055D1">
      <w:pPr>
        <w:overflowPunct/>
        <w:adjustRightInd/>
        <w:jc w:val="left"/>
        <w:textAlignment w:val="auto"/>
      </w:pPr>
    </w:p>
    <w:p w14:paraId="6E5229CA" w14:textId="2D79FE63" w:rsidR="00646AC2" w:rsidRPr="00F37C6A" w:rsidRDefault="00F7767C" w:rsidP="00A055D1">
      <w:pPr>
        <w:overflowPunct/>
        <w:adjustRightInd/>
        <w:jc w:val="right"/>
        <w:textAlignment w:val="auto"/>
        <w:rPr>
          <w:b/>
          <w:bCs/>
        </w:rPr>
      </w:pPr>
      <w:r>
        <w:rPr>
          <w:b/>
        </w:rPr>
        <w:t>SOC/847</w:t>
      </w:r>
    </w:p>
    <w:p w14:paraId="09BFAD4C" w14:textId="5FCBF5B7" w:rsidR="001960C6" w:rsidRPr="00F37C6A" w:rsidRDefault="00F7767C" w:rsidP="00A055D1">
      <w:pPr>
        <w:overflowPunct/>
        <w:adjustRightInd/>
        <w:jc w:val="right"/>
        <w:textAlignment w:val="auto"/>
      </w:pPr>
      <w:r>
        <w:rPr>
          <w:b/>
        </w:rPr>
        <w:t>Pranešėjų apsaugos direktyva</w:t>
      </w:r>
    </w:p>
    <w:p w14:paraId="6E5229CC" w14:textId="77777777" w:rsidR="009B30AA" w:rsidRPr="00F37C6A" w:rsidRDefault="009B30AA" w:rsidP="00A055D1">
      <w:pPr>
        <w:overflowPunct/>
        <w:adjustRightInd/>
        <w:textAlignment w:val="auto"/>
      </w:pPr>
    </w:p>
    <w:p w14:paraId="6E5229CD" w14:textId="77777777" w:rsidR="009B30AA" w:rsidRPr="00F37C6A" w:rsidRDefault="009B30AA" w:rsidP="00A055D1">
      <w:pPr>
        <w:overflowPunct/>
        <w:adjustRightInd/>
        <w:textAlignment w:val="auto"/>
      </w:pPr>
    </w:p>
    <w:p w14:paraId="222005A0" w14:textId="7AF3DD6A" w:rsidR="00AA2096" w:rsidRPr="00F37C6A" w:rsidRDefault="003168B9" w:rsidP="00A055D1">
      <w:pPr>
        <w:overflowPunct/>
        <w:adjustRightInd/>
        <w:jc w:val="center"/>
        <w:textAlignment w:val="auto"/>
        <w:rPr>
          <w:b/>
          <w:bCs/>
          <w:sz w:val="28"/>
          <w:szCs w:val="28"/>
        </w:rPr>
      </w:pPr>
      <w:r>
        <w:rPr>
          <w:b/>
          <w:sz w:val="28"/>
        </w:rPr>
        <w:t>VERTINIMO PRANEŠIMAS</w:t>
      </w:r>
    </w:p>
    <w:p w14:paraId="1C4BB2B5" w14:textId="77777777" w:rsidR="00AA2096" w:rsidRPr="00F37C6A" w:rsidRDefault="00AA2096" w:rsidP="00A055D1">
      <w:pPr>
        <w:overflowPunct/>
        <w:adjustRightInd/>
        <w:jc w:val="center"/>
        <w:textAlignment w:val="auto"/>
      </w:pPr>
    </w:p>
    <w:p w14:paraId="05A62E27" w14:textId="4437B2A5" w:rsidR="00AA2096" w:rsidRPr="00F37C6A" w:rsidRDefault="00702139" w:rsidP="00A055D1">
      <w:pPr>
        <w:overflowPunct/>
        <w:adjustRightInd/>
        <w:jc w:val="center"/>
        <w:textAlignment w:val="auto"/>
      </w:pPr>
      <w:r>
        <w:t>Užimtumo, socialinių reikalų ir pilietybės skyrius</w:t>
      </w:r>
    </w:p>
    <w:p w14:paraId="6BAF680E" w14:textId="77777777" w:rsidR="00AA2096" w:rsidRPr="00F37C6A" w:rsidRDefault="00AA2096" w:rsidP="00A055D1">
      <w:pPr>
        <w:overflowPunct/>
        <w:adjustRightInd/>
        <w:jc w:val="center"/>
        <w:textAlignment w:val="auto"/>
      </w:pPr>
    </w:p>
    <w:p w14:paraId="1C089295" w14:textId="25A25823" w:rsidR="00AA2096" w:rsidRPr="00F37C6A" w:rsidRDefault="00F7767C" w:rsidP="00A055D1">
      <w:pPr>
        <w:overflowPunct/>
        <w:adjustRightInd/>
        <w:jc w:val="center"/>
        <w:textAlignment w:val="auto"/>
        <w:rPr>
          <w:b/>
          <w:bCs/>
        </w:rPr>
      </w:pPr>
      <w:r>
        <w:rPr>
          <w:b/>
        </w:rPr>
        <w:t>Pranešėjų apsaugos direktyva</w:t>
      </w:r>
    </w:p>
    <w:p w14:paraId="6E5229CF" w14:textId="59C73453" w:rsidR="009B30AA" w:rsidRPr="00F37C6A" w:rsidRDefault="009B30AA" w:rsidP="00A055D1">
      <w:pPr>
        <w:overflowPunct/>
        <w:adjustRightInd/>
        <w:jc w:val="center"/>
        <w:textAlignment w:val="auto"/>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7F5E0D" w:rsidRPr="00F37C6A" w14:paraId="6E5229D9" w14:textId="77777777" w:rsidTr="3E1CF757">
        <w:tc>
          <w:tcPr>
            <w:tcW w:w="3085" w:type="dxa"/>
          </w:tcPr>
          <w:p w14:paraId="6E5229D7" w14:textId="77777777" w:rsidR="007F5E0D" w:rsidRPr="00F37C6A" w:rsidRDefault="3E1CF757" w:rsidP="00A055D1">
            <w:pPr>
              <w:overflowPunct/>
              <w:adjustRightInd/>
              <w:jc w:val="left"/>
              <w:textAlignment w:val="auto"/>
              <w:rPr>
                <w:szCs w:val="22"/>
              </w:rPr>
            </w:pPr>
            <w:r>
              <w:t>Kontaktinis adresas</w:t>
            </w:r>
          </w:p>
        </w:tc>
        <w:tc>
          <w:tcPr>
            <w:tcW w:w="6204" w:type="dxa"/>
          </w:tcPr>
          <w:p w14:paraId="6E5229D8" w14:textId="6EF50896" w:rsidR="00A92608" w:rsidRPr="00F37C6A" w:rsidRDefault="004B5CEE" w:rsidP="00A055D1">
            <w:pPr>
              <w:overflowPunct/>
              <w:adjustRightInd/>
              <w:jc w:val="left"/>
              <w:textAlignment w:val="auto"/>
              <w:rPr>
                <w:szCs w:val="22"/>
              </w:rPr>
            </w:pPr>
            <w:hyperlink r:id="rId13" w:history="1">
              <w:r w:rsidR="006D654A">
                <w:rPr>
                  <w:rStyle w:val="Hyperlink"/>
                </w:rPr>
                <w:t>SOC@eesc.europa.eu</w:t>
              </w:r>
            </w:hyperlink>
          </w:p>
        </w:tc>
      </w:tr>
      <w:tr w:rsidR="007F5E0D" w:rsidRPr="00F37C6A" w14:paraId="6E5229DC" w14:textId="77777777" w:rsidTr="00152BBC">
        <w:tc>
          <w:tcPr>
            <w:tcW w:w="3085" w:type="dxa"/>
          </w:tcPr>
          <w:p w14:paraId="6E5229DA" w14:textId="77777777" w:rsidR="007F5E0D" w:rsidRPr="00F37C6A" w:rsidRDefault="3E1CF757" w:rsidP="00A055D1">
            <w:pPr>
              <w:overflowPunct/>
              <w:adjustRightInd/>
              <w:jc w:val="left"/>
              <w:textAlignment w:val="auto"/>
              <w:rPr>
                <w:szCs w:val="22"/>
              </w:rPr>
            </w:pPr>
            <w:r>
              <w:t>Administratorė</w:t>
            </w:r>
          </w:p>
        </w:tc>
        <w:tc>
          <w:tcPr>
            <w:tcW w:w="6204" w:type="dxa"/>
          </w:tcPr>
          <w:p w14:paraId="6E5229DB" w14:textId="5EDD5BA6" w:rsidR="007F5E0D" w:rsidRPr="00F37C6A" w:rsidRDefault="00F7767C" w:rsidP="00A055D1">
            <w:pPr>
              <w:overflowPunct/>
              <w:adjustRightInd/>
              <w:jc w:val="left"/>
              <w:textAlignment w:val="auto"/>
              <w:rPr>
                <w:szCs w:val="22"/>
              </w:rPr>
            </w:pPr>
            <w:r>
              <w:t xml:space="preserve">June </w:t>
            </w:r>
            <w:proofErr w:type="spellStart"/>
            <w:r>
              <w:t>Bedaton</w:t>
            </w:r>
            <w:proofErr w:type="spellEnd"/>
          </w:p>
        </w:tc>
      </w:tr>
      <w:tr w:rsidR="007F5E0D" w:rsidRPr="00F37C6A" w14:paraId="6E5229DF" w14:textId="77777777" w:rsidTr="3E1CF757">
        <w:tc>
          <w:tcPr>
            <w:tcW w:w="3085" w:type="dxa"/>
          </w:tcPr>
          <w:p w14:paraId="6E5229DD" w14:textId="77777777" w:rsidR="007F5E0D" w:rsidRPr="00F37C6A" w:rsidRDefault="3E1CF757" w:rsidP="00A055D1">
            <w:pPr>
              <w:overflowPunct/>
              <w:adjustRightInd/>
              <w:jc w:val="left"/>
              <w:textAlignment w:val="auto"/>
              <w:rPr>
                <w:szCs w:val="22"/>
              </w:rPr>
            </w:pPr>
            <w:r>
              <w:t>Dokumento data</w:t>
            </w:r>
          </w:p>
        </w:tc>
        <w:tc>
          <w:tcPr>
            <w:tcW w:w="6204" w:type="dxa"/>
          </w:tcPr>
          <w:p w14:paraId="6E5229DE" w14:textId="694C5C99" w:rsidR="007F5E0D" w:rsidRPr="00F37C6A" w:rsidRDefault="00A055D1" w:rsidP="00A055D1">
            <w:pPr>
              <w:overflowPunct/>
              <w:adjustRightInd/>
              <w:jc w:val="left"/>
              <w:textAlignment w:val="auto"/>
              <w:rPr>
                <w:szCs w:val="22"/>
              </w:rPr>
            </w:pPr>
            <w:r>
              <w:t>1/6/2025</w:t>
            </w:r>
          </w:p>
        </w:tc>
      </w:tr>
    </w:tbl>
    <w:p w14:paraId="19E9ECD5" w14:textId="23301FBC" w:rsidR="00A81D58" w:rsidRPr="00F37C6A" w:rsidRDefault="3E1CF757" w:rsidP="00A055D1">
      <w:pPr>
        <w:overflowPunct/>
        <w:adjustRightInd/>
        <w:jc w:val="center"/>
        <w:textAlignment w:val="auto"/>
        <w:rPr>
          <w:bCs/>
        </w:rPr>
      </w:pPr>
      <w:r>
        <w:t xml:space="preserve">Pranešėja </w:t>
      </w:r>
      <w:proofErr w:type="spellStart"/>
      <w:r>
        <w:rPr>
          <w:b/>
        </w:rPr>
        <w:t>Giulia</w:t>
      </w:r>
      <w:proofErr w:type="spellEnd"/>
      <w:r>
        <w:rPr>
          <w:b/>
        </w:rPr>
        <w:t xml:space="preserve"> BARBUCCI</w:t>
      </w:r>
    </w:p>
    <w:p w14:paraId="6E5229E1" w14:textId="77777777" w:rsidR="00704FBB" w:rsidRPr="00F37C6A" w:rsidRDefault="00704FBB" w:rsidP="00A055D1">
      <w:pPr>
        <w:overflowPunct/>
        <w:adjustRightInd/>
        <w:jc w:val="left"/>
        <w:textAlignment w:val="auto"/>
      </w:pPr>
    </w:p>
    <w:p w14:paraId="6E5229E2" w14:textId="77777777" w:rsidR="00646AC2" w:rsidRPr="00F37C6A" w:rsidRDefault="00646AC2" w:rsidP="00A055D1">
      <w:pPr>
        <w:overflowPunct/>
        <w:adjustRightInd/>
        <w:textAlignment w:val="auto"/>
      </w:pPr>
    </w:p>
    <w:p w14:paraId="6E5229E3" w14:textId="77777777" w:rsidR="00646AC2" w:rsidRPr="00F37C6A" w:rsidRDefault="00646AC2" w:rsidP="00A055D1">
      <w:pPr>
        <w:overflowPunct/>
        <w:adjustRightInd/>
        <w:textAlignment w:val="auto"/>
        <w:sectPr w:rsidR="00646AC2" w:rsidRPr="00F37C6A" w:rsidSect="00A055D1">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p w14:paraId="6E522A00" w14:textId="77777777" w:rsidR="0012220C" w:rsidRPr="00F37C6A" w:rsidRDefault="0012220C" w:rsidP="00A055D1">
      <w:pPr>
        <w:overflowPunct/>
        <w:adjustRightInd/>
        <w:textAlignment w:val="auto"/>
      </w:pPr>
    </w:p>
    <w:tbl>
      <w:tblPr>
        <w:tblW w:w="0" w:type="auto"/>
        <w:tblLook w:val="04A0" w:firstRow="1" w:lastRow="0" w:firstColumn="1" w:lastColumn="0" w:noHBand="0" w:noVBand="1"/>
      </w:tblPr>
      <w:tblGrid>
        <w:gridCol w:w="3119"/>
        <w:gridCol w:w="5954"/>
      </w:tblGrid>
      <w:tr w:rsidR="00A74A00" w:rsidRPr="00F37C6A" w14:paraId="6C065D6F" w14:textId="77777777" w:rsidTr="00152BBC">
        <w:tc>
          <w:tcPr>
            <w:tcW w:w="3119" w:type="dxa"/>
          </w:tcPr>
          <w:p w14:paraId="6C29A550" w14:textId="14D173AE" w:rsidR="00A74A00" w:rsidRPr="00F37C6A" w:rsidRDefault="00A74A00" w:rsidP="00A055D1">
            <w:pPr>
              <w:overflowPunct/>
              <w:adjustRightInd/>
              <w:jc w:val="left"/>
              <w:textAlignment w:val="auto"/>
            </w:pPr>
            <w:r>
              <w:t>Patarėja</w:t>
            </w:r>
          </w:p>
        </w:tc>
        <w:tc>
          <w:tcPr>
            <w:tcW w:w="5954" w:type="dxa"/>
          </w:tcPr>
          <w:p w14:paraId="14B7D8D7" w14:textId="3518B3C3" w:rsidR="00A74A00" w:rsidRPr="00F37C6A" w:rsidRDefault="00BE73FA" w:rsidP="00A055D1">
            <w:pPr>
              <w:overflowPunct/>
              <w:adjustRightInd/>
              <w:jc w:val="left"/>
              <w:textAlignment w:val="auto"/>
            </w:pPr>
            <w:proofErr w:type="spellStart"/>
            <w:r>
              <w:t>Silvia</w:t>
            </w:r>
            <w:proofErr w:type="spellEnd"/>
            <w:r>
              <w:t xml:space="preserve"> BORELLI (pranešėjos, II grupė)</w:t>
            </w:r>
          </w:p>
        </w:tc>
      </w:tr>
      <w:tr w:rsidR="00A74A00" w:rsidRPr="00F37C6A" w14:paraId="54FA11D0" w14:textId="77777777" w:rsidTr="00152BBC">
        <w:tc>
          <w:tcPr>
            <w:tcW w:w="3119" w:type="dxa"/>
          </w:tcPr>
          <w:p w14:paraId="1136704E" w14:textId="77777777" w:rsidR="00A74A00" w:rsidRPr="00F37C6A" w:rsidRDefault="00A74A00" w:rsidP="00A055D1">
            <w:pPr>
              <w:overflowPunct/>
              <w:adjustRightInd/>
              <w:jc w:val="left"/>
              <w:textAlignment w:val="auto"/>
            </w:pPr>
          </w:p>
        </w:tc>
        <w:tc>
          <w:tcPr>
            <w:tcW w:w="5954" w:type="dxa"/>
          </w:tcPr>
          <w:p w14:paraId="707F0BF1" w14:textId="77777777" w:rsidR="00A74A00" w:rsidRPr="00F37C6A" w:rsidRDefault="00A74A00" w:rsidP="00A055D1">
            <w:pPr>
              <w:overflowPunct/>
              <w:adjustRightInd/>
              <w:jc w:val="left"/>
              <w:textAlignment w:val="auto"/>
            </w:pPr>
          </w:p>
        </w:tc>
      </w:tr>
      <w:tr w:rsidR="0011656A" w:rsidRPr="00F37C6A" w14:paraId="6E522A03" w14:textId="77777777" w:rsidTr="00152BBC">
        <w:tc>
          <w:tcPr>
            <w:tcW w:w="3119" w:type="dxa"/>
          </w:tcPr>
          <w:p w14:paraId="6E522A01" w14:textId="5C011C6A" w:rsidR="0011656A" w:rsidRPr="00F37C6A" w:rsidRDefault="3E1CF757" w:rsidP="00A055D1">
            <w:pPr>
              <w:overflowPunct/>
              <w:adjustRightInd/>
              <w:jc w:val="left"/>
              <w:textAlignment w:val="auto"/>
              <w:rPr>
                <w:szCs w:val="22"/>
              </w:rPr>
            </w:pPr>
            <w:r>
              <w:t>Teisinis pagrindas</w:t>
            </w:r>
          </w:p>
        </w:tc>
        <w:tc>
          <w:tcPr>
            <w:tcW w:w="5954" w:type="dxa"/>
          </w:tcPr>
          <w:p w14:paraId="6E522A02" w14:textId="489E91E5" w:rsidR="0011656A" w:rsidRPr="00F37C6A" w:rsidRDefault="008F56F8" w:rsidP="00A055D1">
            <w:pPr>
              <w:overflowPunct/>
              <w:adjustRightInd/>
              <w:jc w:val="left"/>
              <w:textAlignment w:val="auto"/>
              <w:rPr>
                <w:szCs w:val="22"/>
              </w:rPr>
            </w:pPr>
            <w:r>
              <w:t>Europos Komisija, 2025 m. rugsėjo 10 d.</w:t>
            </w:r>
          </w:p>
        </w:tc>
      </w:tr>
      <w:tr w:rsidR="0016503F" w:rsidRPr="00F37C6A" w14:paraId="6E522A06" w14:textId="77777777" w:rsidTr="00152BBC">
        <w:trPr>
          <w:trHeight w:val="251"/>
        </w:trPr>
        <w:tc>
          <w:tcPr>
            <w:tcW w:w="3119" w:type="dxa"/>
          </w:tcPr>
          <w:p w14:paraId="6E522A04" w14:textId="77777777" w:rsidR="0016503F" w:rsidRPr="00F37C6A" w:rsidRDefault="3E1CF757" w:rsidP="00A055D1">
            <w:pPr>
              <w:overflowPunct/>
              <w:adjustRightInd/>
              <w:jc w:val="left"/>
              <w:textAlignment w:val="auto"/>
              <w:rPr>
                <w:szCs w:val="22"/>
              </w:rPr>
            </w:pPr>
            <w:r>
              <w:t>Teisinis pagrindas</w:t>
            </w:r>
          </w:p>
        </w:tc>
        <w:tc>
          <w:tcPr>
            <w:tcW w:w="5954" w:type="dxa"/>
          </w:tcPr>
          <w:p w14:paraId="6E522A05" w14:textId="73553BB9" w:rsidR="0016503F" w:rsidRPr="00F37C6A" w:rsidRDefault="0016503F" w:rsidP="00A055D1">
            <w:pPr>
              <w:overflowPunct/>
              <w:adjustRightInd/>
              <w:jc w:val="left"/>
              <w:textAlignment w:val="auto"/>
              <w:rPr>
                <w:szCs w:val="22"/>
              </w:rPr>
            </w:pPr>
            <w:r>
              <w:t>Sutarties dėl Europos Sąjungos veikimo 304 straipsnis</w:t>
            </w:r>
          </w:p>
        </w:tc>
      </w:tr>
      <w:tr w:rsidR="00DF5B64" w:rsidRPr="00F37C6A" w14:paraId="6E522A21" w14:textId="77777777" w:rsidTr="00152BBC">
        <w:tc>
          <w:tcPr>
            <w:tcW w:w="3119" w:type="dxa"/>
          </w:tcPr>
          <w:p w14:paraId="6E522A1F" w14:textId="77777777" w:rsidR="00DF5B64" w:rsidRPr="00F37C6A" w:rsidRDefault="3E1CF757" w:rsidP="00A055D1">
            <w:pPr>
              <w:overflowPunct/>
              <w:adjustRightInd/>
              <w:jc w:val="left"/>
              <w:textAlignment w:val="auto"/>
              <w:rPr>
                <w:szCs w:val="22"/>
              </w:rPr>
            </w:pPr>
            <w:r>
              <w:t>Atsakingas skyrius</w:t>
            </w:r>
          </w:p>
        </w:tc>
        <w:tc>
          <w:tcPr>
            <w:tcW w:w="5954" w:type="dxa"/>
          </w:tcPr>
          <w:p w14:paraId="6E522A20" w14:textId="762B3A97" w:rsidR="00DF5B64" w:rsidRPr="00F37C6A" w:rsidRDefault="00987356" w:rsidP="00A055D1">
            <w:pPr>
              <w:overflowPunct/>
              <w:adjustRightInd/>
              <w:jc w:val="left"/>
              <w:textAlignment w:val="auto"/>
              <w:rPr>
                <w:szCs w:val="22"/>
              </w:rPr>
            </w:pPr>
            <w:r>
              <w:t>Užimtumo, socialinių reikalų ir pilietybės skyrius</w:t>
            </w:r>
          </w:p>
        </w:tc>
      </w:tr>
      <w:tr w:rsidR="0086017F" w:rsidRPr="00F37C6A" w14:paraId="2F32FC09" w14:textId="77777777" w:rsidTr="00152BBC">
        <w:tc>
          <w:tcPr>
            <w:tcW w:w="3119" w:type="dxa"/>
          </w:tcPr>
          <w:p w14:paraId="4C378323" w14:textId="43F34661" w:rsidR="0086017F" w:rsidRPr="00F37C6A" w:rsidRDefault="009F4A92" w:rsidP="00A055D1">
            <w:pPr>
              <w:overflowPunct/>
              <w:adjustRightInd/>
              <w:jc w:val="left"/>
              <w:textAlignment w:val="auto"/>
            </w:pPr>
            <w:r>
              <w:t>Priimta skyriuje</w:t>
            </w:r>
          </w:p>
        </w:tc>
        <w:tc>
          <w:tcPr>
            <w:tcW w:w="5954" w:type="dxa"/>
          </w:tcPr>
          <w:p w14:paraId="08AEA66B" w14:textId="5497233B" w:rsidR="0086017F" w:rsidRPr="00F37C6A" w:rsidRDefault="00920574" w:rsidP="00A055D1">
            <w:pPr>
              <w:overflowPunct/>
              <w:adjustRightInd/>
              <w:jc w:val="left"/>
              <w:textAlignment w:val="auto"/>
            </w:pPr>
            <w:r>
              <w:t>27/5/2026</w:t>
            </w:r>
          </w:p>
        </w:tc>
      </w:tr>
      <w:tr w:rsidR="00211D82" w:rsidRPr="00F37C6A" w14:paraId="60147C16" w14:textId="77777777" w:rsidTr="00152BBC">
        <w:tc>
          <w:tcPr>
            <w:tcW w:w="3119" w:type="dxa"/>
          </w:tcPr>
          <w:p w14:paraId="59B8F6B2" w14:textId="67495895" w:rsidR="00211D82" w:rsidRPr="00F37C6A" w:rsidRDefault="00211D82" w:rsidP="00A055D1">
            <w:pPr>
              <w:overflowPunct/>
              <w:adjustRightInd/>
              <w:jc w:val="left"/>
            </w:pPr>
            <w:r>
              <w:t>Balsavimo rezultatai</w:t>
            </w:r>
            <w:r>
              <w:br/>
              <w:t>(už / prieš / susilaikė)</w:t>
            </w:r>
          </w:p>
        </w:tc>
        <w:tc>
          <w:tcPr>
            <w:tcW w:w="5954" w:type="dxa"/>
            <w:vAlign w:val="bottom"/>
          </w:tcPr>
          <w:p w14:paraId="27DCE39B" w14:textId="452F81D3" w:rsidR="00211D82" w:rsidRPr="00F37C6A" w:rsidRDefault="00920574" w:rsidP="00A055D1">
            <w:pPr>
              <w:overflowPunct/>
              <w:adjustRightInd/>
              <w:jc w:val="left"/>
              <w:textAlignment w:val="auto"/>
            </w:pPr>
            <w:r>
              <w:t>92/3/7</w:t>
            </w:r>
          </w:p>
        </w:tc>
      </w:tr>
      <w:tr w:rsidR="006E64DF" w:rsidRPr="00F37C6A" w14:paraId="6FE48FAF" w14:textId="77777777" w:rsidTr="00152BBC">
        <w:tc>
          <w:tcPr>
            <w:tcW w:w="3119" w:type="dxa"/>
          </w:tcPr>
          <w:p w14:paraId="7C747425" w14:textId="558752F7" w:rsidR="006E64DF" w:rsidRPr="00F37C6A" w:rsidRDefault="3E1CF757" w:rsidP="00A055D1">
            <w:pPr>
              <w:overflowPunct/>
              <w:adjustRightInd/>
              <w:jc w:val="left"/>
            </w:pPr>
            <w:r>
              <w:t>Priimta plenarinėje sesijoje</w:t>
            </w:r>
          </w:p>
        </w:tc>
        <w:tc>
          <w:tcPr>
            <w:tcW w:w="5954" w:type="dxa"/>
            <w:vAlign w:val="bottom"/>
          </w:tcPr>
          <w:p w14:paraId="1A98B857" w14:textId="6B54BEA7" w:rsidR="006E64DF" w:rsidRPr="00F37C6A" w:rsidRDefault="3E1CF757" w:rsidP="00A055D1">
            <w:pPr>
              <w:overflowPunct/>
              <w:adjustRightInd/>
              <w:jc w:val="left"/>
              <w:textAlignment w:val="auto"/>
            </w:pPr>
            <w:r>
              <w:t>.../.../...</w:t>
            </w:r>
          </w:p>
        </w:tc>
      </w:tr>
      <w:tr w:rsidR="00541739" w:rsidRPr="00F37C6A" w14:paraId="63CB7FCF" w14:textId="77777777" w:rsidTr="00152BBC">
        <w:tc>
          <w:tcPr>
            <w:tcW w:w="3119" w:type="dxa"/>
          </w:tcPr>
          <w:p w14:paraId="51AB2A36" w14:textId="77A1534F" w:rsidR="00541739" w:rsidRPr="00F37C6A" w:rsidRDefault="3E1CF757" w:rsidP="00A055D1">
            <w:pPr>
              <w:overflowPunct/>
              <w:adjustRightInd/>
              <w:jc w:val="left"/>
            </w:pPr>
            <w:r>
              <w:t>Plenarinė sesija Nr.</w:t>
            </w:r>
          </w:p>
        </w:tc>
        <w:tc>
          <w:tcPr>
            <w:tcW w:w="5954" w:type="dxa"/>
            <w:vAlign w:val="bottom"/>
          </w:tcPr>
          <w:p w14:paraId="2E7F46CA" w14:textId="6E41F70E" w:rsidR="00541739" w:rsidRPr="00F37C6A" w:rsidRDefault="3E1CF757" w:rsidP="00A055D1">
            <w:pPr>
              <w:overflowPunct/>
              <w:adjustRightInd/>
              <w:jc w:val="left"/>
              <w:textAlignment w:val="auto"/>
            </w:pPr>
            <w:r>
              <w:t>…</w:t>
            </w:r>
          </w:p>
        </w:tc>
      </w:tr>
      <w:tr w:rsidR="009F4A92" w:rsidRPr="00F37C6A" w14:paraId="22774BDF" w14:textId="77777777" w:rsidTr="00152BBC">
        <w:tc>
          <w:tcPr>
            <w:tcW w:w="3119" w:type="dxa"/>
          </w:tcPr>
          <w:p w14:paraId="0A1E68AA" w14:textId="0C26AB04" w:rsidR="009F4A92" w:rsidRPr="00F37C6A" w:rsidRDefault="3E1CF757" w:rsidP="00A055D1">
            <w:pPr>
              <w:overflowPunct/>
              <w:adjustRightInd/>
              <w:jc w:val="left"/>
            </w:pPr>
            <w:r>
              <w:t>Balsavimo rezultatai</w:t>
            </w:r>
            <w:r>
              <w:br/>
              <w:t>(už / prieš / susilaikė)</w:t>
            </w:r>
          </w:p>
        </w:tc>
        <w:tc>
          <w:tcPr>
            <w:tcW w:w="5954" w:type="dxa"/>
            <w:vAlign w:val="bottom"/>
          </w:tcPr>
          <w:p w14:paraId="4BA20A70" w14:textId="71EBCBD1" w:rsidR="009F4A92" w:rsidRPr="00F37C6A" w:rsidRDefault="3E1CF757" w:rsidP="00A055D1">
            <w:pPr>
              <w:overflowPunct/>
              <w:adjustRightInd/>
              <w:jc w:val="left"/>
              <w:textAlignment w:val="auto"/>
            </w:pPr>
            <w:r>
              <w:t>… / … / …</w:t>
            </w:r>
          </w:p>
        </w:tc>
      </w:tr>
    </w:tbl>
    <w:p w14:paraId="6E522A2E" w14:textId="77777777" w:rsidR="0090053A" w:rsidRPr="00F37C6A" w:rsidRDefault="0090053A" w:rsidP="00A055D1">
      <w:pPr>
        <w:overflowPunct/>
        <w:adjustRightInd/>
        <w:textAlignment w:val="auto"/>
      </w:pPr>
    </w:p>
    <w:p w14:paraId="6E522A2F" w14:textId="77777777" w:rsidR="00646AC2" w:rsidRPr="00F37C6A" w:rsidRDefault="00646AC2" w:rsidP="00A055D1">
      <w:pPr>
        <w:overflowPunct/>
        <w:adjustRightInd/>
        <w:textAlignment w:val="auto"/>
      </w:pPr>
      <w:r>
        <w:br w:type="page"/>
      </w:r>
    </w:p>
    <w:p w14:paraId="0502A017" w14:textId="53261019" w:rsidR="00A86BA8" w:rsidRPr="00F37C6A" w:rsidRDefault="3E1CF757" w:rsidP="00A055D1">
      <w:pPr>
        <w:pStyle w:val="Heading1"/>
        <w:ind w:left="567" w:hanging="567"/>
        <w:rPr>
          <w:b/>
          <w:bCs/>
        </w:rPr>
      </w:pPr>
      <w:r>
        <w:rPr>
          <w:b/>
        </w:rPr>
        <w:lastRenderedPageBreak/>
        <w:t>Įžanga ir metodika</w:t>
      </w:r>
    </w:p>
    <w:p w14:paraId="53615C5A" w14:textId="6C7409A6" w:rsidR="005419CF" w:rsidRPr="00F37C6A" w:rsidRDefault="005419CF" w:rsidP="00A055D1">
      <w:pPr>
        <w:pStyle w:val="Heading2"/>
        <w:numPr>
          <w:ilvl w:val="0"/>
          <w:numId w:val="0"/>
        </w:numPr>
        <w:ind w:left="567"/>
        <w:rPr>
          <w:lang w:eastAsia="fr-FR"/>
        </w:rPr>
      </w:pPr>
    </w:p>
    <w:p w14:paraId="6C94DAC1" w14:textId="6D52BEDD" w:rsidR="00642E5F" w:rsidRPr="00F37C6A" w:rsidRDefault="005419CF" w:rsidP="00A055D1">
      <w:pPr>
        <w:pStyle w:val="Heading2"/>
        <w:ind w:left="567" w:hanging="567"/>
      </w:pPr>
      <w:r>
        <w:t>Šiame vertinimo pranešime nagrinėjamas Direktyvos (ES) 2019/1937 – pirmosios ES lygmens teisės aktų sistemos, kuria nustatomi bendri minimalūs pranešėjų apsaugos standartai, – įgyvendinimas. Pagal direktyvos 27 straipsnio 3 dalį Europos Komisija turi pateikti Europos Parlamentui ir Tarybai ataskaitą apie tai, kaip direktyva buvo taikoma, ir apsvarstyti, ar reikia papildomų priemonių, įskaitant, kai tinkama, pakeitimus.</w:t>
      </w:r>
    </w:p>
    <w:p w14:paraId="5FB090E3" w14:textId="77777777" w:rsidR="000552D1" w:rsidRPr="00F37C6A" w:rsidRDefault="000552D1" w:rsidP="00A055D1">
      <w:pPr>
        <w:rPr>
          <w:lang w:eastAsia="fr-FR"/>
        </w:rPr>
      </w:pPr>
    </w:p>
    <w:p w14:paraId="2EE6FDEC" w14:textId="509E04E8" w:rsidR="00624432" w:rsidRPr="00F37C6A" w:rsidRDefault="00AD5CD2" w:rsidP="00A055D1">
      <w:pPr>
        <w:pStyle w:val="Heading2"/>
        <w:ind w:left="567" w:hanging="567"/>
      </w:pPr>
      <w:r>
        <w:t>Savo vertinimo ataskaitoje EESRK išnagrinės, ar, kaip ir kokiu mastu Direktyva 2019/1937 sustiprino ES teisės ir politikos vykdymo užtikrinimą, kartu gerbiant pagrindines teises, įtvirtintas Europos Sąjungos pagrindinių teisių chartijoje. Pagrindinės teisės, viena vertus, yra viena iš pagrindinių ES teisės sudedamųjų dalių; kita vertus, jų pažeidimas gali daryti poveikį viešajam interesui, todėl joms turi būti taikoma šioje direktyvoje numatyta apsauga. Taip pat svarbu nepamiršti, kad Chartija neišplečia ES teisės už esamų Sąjungos įgaliojimų ribų, nesukuria Sąjungai naujų įgaliojimų ar užduočių ir nepakeičia Sutartyse jau apibrėžtųjų.</w:t>
      </w:r>
    </w:p>
    <w:p w14:paraId="6A48985A" w14:textId="77777777" w:rsidR="000552D1" w:rsidRPr="00F37C6A" w:rsidRDefault="000552D1" w:rsidP="00A055D1">
      <w:pPr>
        <w:rPr>
          <w:lang w:eastAsia="fr-FR"/>
        </w:rPr>
      </w:pPr>
    </w:p>
    <w:p w14:paraId="7C698F8C" w14:textId="1B5F19FB" w:rsidR="00642E5F" w:rsidRPr="00F37C6A" w:rsidRDefault="00642E5F" w:rsidP="00A055D1">
      <w:pPr>
        <w:pStyle w:val="Heading2"/>
        <w:ind w:left="567" w:hanging="567"/>
      </w:pPr>
      <w:r>
        <w:t>Vertinimas atliekamas vadovaujantis 2022 m. gruodžio 13 d. EESRK biuro sprendimu nustatytomis praktinėmis vertinimo metodikos gairėmis. Gairės grindžiamos Komisijos geresnio reglamentavimo sistema ir jose siūloma taikyti tris kriterijus: veiksmingumo, aktualumo ir pridėtinės vertės, kurią suteikia pilietinės visuomenės dalyvavimas. Penkios valstybės narės – Danija, Italija, Latvija, Prancūzija ir Rumunija – buvo atrinktos atsižvelgiant į ES geografinę, politinę ir administracinę įvairovę. Dvylika EESRK narių, padedant sekretoriatui, šiose šalyse surengė suinteresuotųjų subjektų susitikimus, kuriuos papildė internetinis klausimynas, skirtas atrinktoms nacionalinėms organizacijoms.</w:t>
      </w:r>
    </w:p>
    <w:p w14:paraId="403335E1" w14:textId="77777777" w:rsidR="000552D1" w:rsidRPr="00F37C6A" w:rsidRDefault="000552D1" w:rsidP="00A055D1">
      <w:pPr>
        <w:rPr>
          <w:lang w:eastAsia="fr-FR"/>
        </w:rPr>
      </w:pPr>
    </w:p>
    <w:p w14:paraId="0AEA96D0" w14:textId="026967FC" w:rsidR="00A757FF" w:rsidRPr="00F37C6A" w:rsidRDefault="00642E5F" w:rsidP="00A055D1">
      <w:pPr>
        <w:pStyle w:val="Heading2"/>
        <w:ind w:left="567" w:hanging="567"/>
      </w:pPr>
      <w:r>
        <w:t>Prie pranešimo pridedamas techninis priedas, kuriame pateikiami išsamūs faktai, surinkti lankantis šalyse, kuriose buvo bendraujama su 67 organizacijomis, ir gauti 40 respondentų užpildžius internetinį klausimyną. Maždaug du trečdaliai iš 84 organizacijų, su kuriomis konsultuotasi, pranešė apie tiesioginę patirtį, susijusią su informavimo apie pažeidimus atvejais. Suinteresuotieji subjektai atstovavo įvairioms grupėms, įskaitant valdžios institucijas, darbdavių organizacijas, profesines sąjungas, profesines įstaigas ir pilietinės visuomenės organizacijas, o kai kurie iš jų specializavosi pranešėjų apsaugos srityje.</w:t>
      </w:r>
    </w:p>
    <w:p w14:paraId="6C1C2C4E" w14:textId="77777777" w:rsidR="003168B9" w:rsidRPr="00F37C6A" w:rsidRDefault="003168B9" w:rsidP="00A055D1">
      <w:pPr>
        <w:rPr>
          <w:lang w:eastAsia="fr-FR"/>
        </w:rPr>
      </w:pPr>
    </w:p>
    <w:p w14:paraId="220FEE74" w14:textId="2A746549" w:rsidR="00A757FF" w:rsidRPr="00F37C6A" w:rsidRDefault="00A757FF" w:rsidP="00A055D1">
      <w:pPr>
        <w:pStyle w:val="Heading2"/>
        <w:ind w:left="567" w:hanging="567"/>
      </w:pPr>
      <w:r>
        <w:t xml:space="preserve">Misijų metu įvairiose šalyse surinkti faktai skiriasi ir skaitant pranešimą į šiuos skirtumus reikėtų atsižvelgti. Todėl pranešime siekiama pateikti tikslų padėties penkiose į tyrimą įtrauktose šalyse vaizdą. </w:t>
      </w:r>
    </w:p>
    <w:p w14:paraId="09EC03B3" w14:textId="77777777" w:rsidR="000552D1" w:rsidRPr="00F37C6A" w:rsidRDefault="000552D1" w:rsidP="00A055D1">
      <w:pPr>
        <w:rPr>
          <w:lang w:eastAsia="fr-FR"/>
        </w:rPr>
      </w:pPr>
    </w:p>
    <w:p w14:paraId="4B579F6C" w14:textId="598608A3" w:rsidR="00A86BA8" w:rsidRPr="00F37C6A" w:rsidRDefault="005419CF" w:rsidP="00A055D1">
      <w:pPr>
        <w:pStyle w:val="Heading2"/>
        <w:ind w:left="567" w:hanging="567"/>
      </w:pPr>
      <w:r>
        <w:t xml:space="preserve">Šio pranešimo išvados ir rekomendacijos tvirtai pagrįstos faktais, pateiktais techniniame priede, kuriame </w:t>
      </w:r>
      <w:proofErr w:type="spellStart"/>
      <w:r>
        <w:t>trianguliuojama</w:t>
      </w:r>
      <w:proofErr w:type="spellEnd"/>
      <w:r>
        <w:t xml:space="preserve"> penkiose šalyse, naudojant du konsultacijų kanalus ir iš įvairių suinteresuotųjų subjektų surinkta informacija.</w:t>
      </w:r>
    </w:p>
    <w:p w14:paraId="556F48EB" w14:textId="77777777" w:rsidR="00A86BA8" w:rsidRPr="00F37C6A" w:rsidRDefault="00A86BA8" w:rsidP="00A055D1"/>
    <w:p w14:paraId="17E3ADB4" w14:textId="6C10B8FB" w:rsidR="00642E5F" w:rsidRPr="00F37C6A" w:rsidRDefault="00642E5F" w:rsidP="00A055D1">
      <w:pPr>
        <w:pStyle w:val="Heading1"/>
        <w:keepNext/>
        <w:keepLines/>
        <w:ind w:left="567" w:hanging="567"/>
        <w:rPr>
          <w:b/>
          <w:bCs/>
        </w:rPr>
      </w:pPr>
      <w:r>
        <w:rPr>
          <w:b/>
        </w:rPr>
        <w:t>Išvados dėl veiksmingumo</w:t>
      </w:r>
    </w:p>
    <w:p w14:paraId="148BA364" w14:textId="77777777" w:rsidR="00642E5F" w:rsidRPr="00F37C6A" w:rsidRDefault="00642E5F" w:rsidP="00A055D1">
      <w:pPr>
        <w:keepNext/>
        <w:keepLines/>
        <w:overflowPunct/>
        <w:adjustRightInd/>
        <w:ind w:left="142" w:hanging="142"/>
        <w:jc w:val="left"/>
        <w:textAlignment w:val="auto"/>
      </w:pPr>
    </w:p>
    <w:p w14:paraId="46A76CA7" w14:textId="255C48A9" w:rsidR="009C0A46" w:rsidRPr="00F37C6A" w:rsidRDefault="00920574" w:rsidP="00A055D1">
      <w:pPr>
        <w:pStyle w:val="Heading2"/>
        <w:ind w:left="567" w:hanging="567"/>
      </w:pPr>
      <w:r>
        <w:t xml:space="preserve">Veiksmingumas parodo, kokiu mastu buvo arba gali būti pasiekti direktyvoje nustatyti tikslai. Todėl vertinant Pranešėjų apsaugos direktyvos veiksmingumą reikia apsvarstyti, ar ir kokiu </w:t>
      </w:r>
      <w:r>
        <w:lastRenderedPageBreak/>
        <w:t>mastu ji praktiškai padėjo sustiprinti ES teisės vykdymo užtikrinimą ir apsaugoti pranešimų teikėjus, kartu gerbiant pagrindines teises.</w:t>
      </w:r>
    </w:p>
    <w:p w14:paraId="214C4C9E" w14:textId="77777777" w:rsidR="000552D1" w:rsidRPr="00F37C6A" w:rsidRDefault="000552D1" w:rsidP="00A055D1"/>
    <w:p w14:paraId="4AFD31F8" w14:textId="4D8CB00A" w:rsidR="009C0A46" w:rsidRPr="00F37C6A" w:rsidRDefault="00377F66" w:rsidP="00A055D1">
      <w:pPr>
        <w:pStyle w:val="Heading2"/>
        <w:ind w:left="567" w:hanging="567"/>
      </w:pPr>
      <w:r>
        <w:t>Vertinimui pasirinktose šalyse direktyvos perkėlimas į nacionalinę teisę iš esmės buvo didelis žingsnis į priekį patikslinant teisines sistemas, nustatant įvairius pranešimų teikimo kanalus, stiprinant apsaugos mechanizmus, didinant informuotumą apie pranešimus apie pažeidimus ir stiprinant kompetentingų institucijų vaidmenį bei institucinį bendradarbiavimą</w:t>
      </w:r>
      <w:r w:rsidR="00D5291F" w:rsidRPr="00F37C6A">
        <w:rPr>
          <w:rStyle w:val="FootnoteReference"/>
        </w:rPr>
        <w:footnoteReference w:id="1"/>
      </w:r>
      <w:r>
        <w:t>.</w:t>
      </w:r>
    </w:p>
    <w:p w14:paraId="49742C40" w14:textId="77777777" w:rsidR="000552D1" w:rsidRPr="00F37C6A" w:rsidRDefault="000552D1" w:rsidP="00A055D1"/>
    <w:p w14:paraId="3C1C14E3" w14:textId="3F7033AC" w:rsidR="00BC1130" w:rsidRPr="00F37C6A" w:rsidRDefault="00377F66" w:rsidP="00A055D1">
      <w:pPr>
        <w:pStyle w:val="Heading2"/>
        <w:ind w:left="567" w:hanging="567"/>
      </w:pPr>
      <w:r>
        <w:t>Viena iš pagrindinių EESRK vertinimo išvadų yra ta, kad išplečiant direktyvos materialinę taikymo sritį, gali sustiprėti teisinis tikrumas, prieinamumas ir konkreti apsauga.</w:t>
      </w:r>
      <w:r w:rsidR="009C0A46" w:rsidRPr="00F37C6A">
        <w:rPr>
          <w:rStyle w:val="FootnoteReference"/>
        </w:rPr>
        <w:footnoteReference w:id="2"/>
      </w:r>
      <w:r>
        <w:t>. Visos atrinktos šalys išplėtė materialinę taikymo sritį, kad ji apimtų ne tik direktyvoje aiškiai išvardytas sritis, tuo sumažindamos netikrumą dėl to, ar informacijos atskleidimui taikoma apsauga</w:t>
      </w:r>
      <w:r w:rsidR="009C0A46" w:rsidRPr="00F37C6A">
        <w:rPr>
          <w:rStyle w:val="FootnoteReference"/>
        </w:rPr>
        <w:footnoteReference w:id="3"/>
      </w:r>
      <w:r>
        <w:t>. Tačiau Rumunijoje pilietinės visuomenės organizacijos manė, kad sudėtinga termino „pažeidimas“ apibrėžtis kartu su ribotu teisės aktų, patenkančių į Pranešėjų apsaugos direktyvos taikymo sritį, sąrašu ir toliau atgraso nuo pranešimų</w:t>
      </w:r>
      <w:r w:rsidR="00263D8C" w:rsidRPr="00F37C6A">
        <w:rPr>
          <w:rStyle w:val="FootnoteReference"/>
        </w:rPr>
        <w:footnoteReference w:id="4"/>
      </w:r>
      <w:r>
        <w:t>, teikimo, tuo tarpu darbdavių atstovai įspėjo, kad dėl labai plačios materialinės taikymo srities gali būti sunku praktiškai ją įgyvendinti, kilti neaiškumų bylų tvarkytojams ir pavojus, kad pranešimų apie pažeidimus sistemų tikslas bus išskaidytas</w:t>
      </w:r>
      <w:r w:rsidR="009E533D">
        <w:rPr>
          <w:rStyle w:val="FootnoteReference"/>
        </w:rPr>
        <w:footnoteReference w:id="5"/>
      </w:r>
      <w:r>
        <w:t>.</w:t>
      </w:r>
    </w:p>
    <w:p w14:paraId="7BFB57C7" w14:textId="77777777" w:rsidR="000552D1" w:rsidRPr="00F37C6A" w:rsidRDefault="000552D1" w:rsidP="00A055D1"/>
    <w:p w14:paraId="3F9A5D4F" w14:textId="3D9298E2" w:rsidR="00D279F0" w:rsidRPr="00F37C6A" w:rsidRDefault="001818D9" w:rsidP="00A055D1">
      <w:pPr>
        <w:pStyle w:val="Heading2"/>
        <w:ind w:left="567" w:hanging="567"/>
      </w:pPr>
      <w:r>
        <w:t>Daugumoje vertinamų šalių išimtys, susijusios su valstybės paslaptimis, nacionaliniu saugumu, konfidencialumo tvarka ir duomenų apsauga, taip pat gali atgrasyti nuo informacijos atskleidimo, nes asmenims, pranešantiems apie pažeidimus saugumo požiūriu jautriose srityse, gali kilti baudžiamosios atsakomybės pavojus</w:t>
      </w:r>
      <w:r w:rsidR="00ED7418" w:rsidRPr="00F37C6A">
        <w:rPr>
          <w:rStyle w:val="FootnoteReference"/>
        </w:rPr>
        <w:footnoteReference w:id="6"/>
      </w:r>
      <w:r>
        <w:t>.</w:t>
      </w:r>
    </w:p>
    <w:p w14:paraId="27C4A8AC" w14:textId="77777777" w:rsidR="000552D1" w:rsidRPr="00F37C6A" w:rsidRDefault="000552D1" w:rsidP="00A055D1"/>
    <w:p w14:paraId="4F72A492" w14:textId="0D86890D" w:rsidR="00D279F0" w:rsidRPr="00F37C6A" w:rsidRDefault="00377F66" w:rsidP="00A055D1">
      <w:pPr>
        <w:pStyle w:val="Heading2"/>
        <w:ind w:left="567" w:hanging="567"/>
      </w:pPr>
      <w:r>
        <w:t>Veiksmingumas taip pat glaudžiai susijęs su direktyvos subjektine taikymo sritimi. Apsauga turėtų būti taikoma kuo platesniam asmenų, kurie informaciją apie pažeidimus gauna su darbu susijusiomis aplinkybėmis ir veikia viešojo intereso labui, ratui</w:t>
      </w:r>
      <w:r w:rsidR="00D279F0" w:rsidRPr="00F37C6A">
        <w:rPr>
          <w:rStyle w:val="FootnoteReference"/>
        </w:rPr>
        <w:footnoteReference w:id="7"/>
      </w:r>
      <w:r>
        <w:t>.</w:t>
      </w:r>
    </w:p>
    <w:p w14:paraId="3F3B802E" w14:textId="77777777" w:rsidR="000552D1" w:rsidRPr="00F37C6A" w:rsidRDefault="000552D1" w:rsidP="00A055D1"/>
    <w:p w14:paraId="1EBFC566" w14:textId="2B82D352" w:rsidR="00D279F0" w:rsidRPr="00F37C6A" w:rsidRDefault="00377F66" w:rsidP="00A055D1">
      <w:pPr>
        <w:pStyle w:val="Heading2"/>
        <w:ind w:left="567" w:hanging="567"/>
      </w:pPr>
      <w:r>
        <w:t>Keletas numatytų pranešimų teikimo kanalų, kuriais pranešėjams suteikiama galimybė pasirinkti jų aplinkybėms tinkamiausią variantą, labai prisideda prie veiksmingumo. Visos atrinktos šalys sukūrė vidaus ir išorės pranešimų teikimo kanalus ir kai kuriais atvejais leidžia informaciją atskleisti viešai.</w:t>
      </w:r>
    </w:p>
    <w:p w14:paraId="237DED61" w14:textId="77777777" w:rsidR="000552D1" w:rsidRPr="00F37C6A" w:rsidRDefault="000552D1" w:rsidP="00A055D1"/>
    <w:p w14:paraId="632DBE1A" w14:textId="7D446E31" w:rsidR="00D279F0" w:rsidRPr="00CC0E8F" w:rsidRDefault="00377F66" w:rsidP="00A055D1">
      <w:pPr>
        <w:pStyle w:val="Heading2"/>
        <w:ind w:left="567" w:hanging="567"/>
      </w:pPr>
      <w:r>
        <w:t xml:space="preserve">Daugiakanalės sistemos, galinčios priimti pranešimus telefonu, e. paštu, paštu, per saugias interneto platformas ir asmeninius susitikimus, daro teigiamą poveikį informavimo apie </w:t>
      </w:r>
      <w:r>
        <w:lastRenderedPageBreak/>
        <w:t>pažeidimus galimybėms daugumoje apžvelgiamų šalių</w:t>
      </w:r>
      <w:r w:rsidR="00D279F0" w:rsidRPr="00F37C6A">
        <w:rPr>
          <w:rStyle w:val="FootnoteReference"/>
        </w:rPr>
        <w:footnoteReference w:id="8"/>
      </w:r>
      <w:r>
        <w:t>. Galimybė pranešti anonimiškai gali dar labiau palengvinti informacijos atskleidimą</w:t>
      </w:r>
      <w:r w:rsidR="00D279F0" w:rsidRPr="00F37C6A">
        <w:rPr>
          <w:rStyle w:val="FootnoteReference"/>
        </w:rPr>
        <w:footnoteReference w:id="9"/>
      </w:r>
      <w:r>
        <w:t>; ribotas tokių galimybių prieinamumas, kaip pastebėta Latvijoje, tebėra trūkumas, ypač, kaip profesinių sąjungų ir pilietinės visuomenės organizacijų teigimu</w:t>
      </w:r>
      <w:r w:rsidR="00D279F0" w:rsidRPr="00F37C6A">
        <w:rPr>
          <w:rStyle w:val="FootnoteReference"/>
        </w:rPr>
        <w:footnoteReference w:id="10"/>
      </w:r>
      <w:r>
        <w:t>.</w:t>
      </w:r>
    </w:p>
    <w:p w14:paraId="5B13540A" w14:textId="77777777" w:rsidR="000552D1" w:rsidRPr="00F37C6A" w:rsidRDefault="000552D1" w:rsidP="00A055D1"/>
    <w:p w14:paraId="3780C9F8" w14:textId="30CFCC79" w:rsidR="00A0499A" w:rsidRPr="00F37C6A" w:rsidRDefault="00377F66" w:rsidP="00A055D1">
      <w:pPr>
        <w:pStyle w:val="Heading2"/>
        <w:ind w:left="567" w:hanging="567"/>
      </w:pPr>
      <w:r>
        <w:t>Labai svarbu užtikrinti pranešėjo ir pranešimuose nurodytų trečiųjų šalių tapatybės konfidencialumą</w:t>
      </w:r>
      <w:r w:rsidR="00D279F0" w:rsidRPr="00F37C6A">
        <w:rPr>
          <w:rStyle w:val="FootnoteReference"/>
        </w:rPr>
        <w:footnoteReference w:id="11"/>
      </w:r>
      <w:r>
        <w:t>, tačiau tai ypač sudėtinga mažosiose įmonėse</w:t>
      </w:r>
      <w:r w:rsidR="00D279F0" w:rsidRPr="00F37C6A">
        <w:rPr>
          <w:rStyle w:val="FootnoteReference"/>
        </w:rPr>
        <w:footnoteReference w:id="12"/>
      </w:r>
      <w:r>
        <w:t xml:space="preserve"> arba artimais ryšiais pasižyminčiose bendruomenėse</w:t>
      </w:r>
      <w:r w:rsidR="00A0499A" w:rsidRPr="00F37C6A">
        <w:rPr>
          <w:rStyle w:val="FootnoteReference"/>
        </w:rPr>
        <w:footnoteReference w:id="13"/>
      </w:r>
      <w:r>
        <w:t>. Rumunijoje pilietinės visuomenės ir profesinių sąjungų atstovai teigė, kad vidaus kanalus dažnai sudaro bendrieji e. pašto adresai, kuriuos praktiškai stebi vadovybė arba glaudžiai susiję asmenys</w:t>
      </w:r>
      <w:r w:rsidR="00A0499A" w:rsidRPr="00F37C6A">
        <w:rPr>
          <w:rStyle w:val="FootnoteReference"/>
        </w:rPr>
        <w:footnoteReference w:id="14"/>
      </w:r>
      <w:r>
        <w:t>.</w:t>
      </w:r>
    </w:p>
    <w:p w14:paraId="6FFBBF10" w14:textId="77777777" w:rsidR="000552D1" w:rsidRPr="00F37C6A" w:rsidRDefault="000552D1" w:rsidP="00A055D1"/>
    <w:p w14:paraId="131BB88B" w14:textId="782825A7" w:rsidR="00A0499A" w:rsidRPr="00F37C6A" w:rsidRDefault="006B2364" w:rsidP="00A055D1">
      <w:pPr>
        <w:pStyle w:val="Heading2"/>
        <w:ind w:left="567" w:hanging="567"/>
      </w:pPr>
      <w:r>
        <w:t>Prancūzijoje ir Rumunijoje keletas asmenų sakė, kad vidaus pranešimų teikimo mechanizmai gali būti laikomi neprieinamais arba nepakankamai nepriklausomais, ypač tais atvejais, kai atskleidžiama informacija yra susijusi su vyresniąja vadovybe</w:t>
      </w:r>
      <w:r w:rsidR="00A0499A" w:rsidRPr="00F37C6A">
        <w:rPr>
          <w:rStyle w:val="FootnoteReference"/>
        </w:rPr>
        <w:footnoteReference w:id="15"/>
      </w:r>
      <w:r>
        <w:t>. Tokiais atvejais tiesioginė prieiga prie išorės kanalų suteikia tvirtesnes konfidencialumo ir nešališkumo garantijas ir apie šią galimybę turėtų būti aiškiai informuojama ir ji turėtų būti realiai prieinama</w:t>
      </w:r>
      <w:r w:rsidR="006158DF" w:rsidRPr="00F37C6A">
        <w:rPr>
          <w:rStyle w:val="FootnoteReference"/>
        </w:rPr>
        <w:footnoteReference w:id="16"/>
      </w:r>
      <w:r>
        <w:t>.</w:t>
      </w:r>
    </w:p>
    <w:p w14:paraId="63F2D81A" w14:textId="77777777" w:rsidR="000552D1" w:rsidRPr="00F37C6A" w:rsidRDefault="000552D1" w:rsidP="00A055D1"/>
    <w:p w14:paraId="0A652FE5" w14:textId="08F00905" w:rsidR="00BA10CC" w:rsidRPr="00F37C6A" w:rsidRDefault="00377F66" w:rsidP="00A055D1">
      <w:pPr>
        <w:pStyle w:val="Heading2"/>
        <w:ind w:left="567" w:hanging="567"/>
      </w:pPr>
      <w:r>
        <w:t>Išorės pranešimų teikimo kanalų veiksmingumą kartais mažina sudėtingi instituciniai susitarimai, dėl kurių kyla netikrumas dėl kompetentingos institucijos. Be to, kaip teigė Prancūzijos valdžios institucijos ir pilietinės visuomenės organizacijos, dėl ribotų tyrimo įgaliojimų ir ribotų pajėgumų dažnai vėluojama imtis tolesnių veiksmų arba jie yra fragmentiški</w:t>
      </w:r>
      <w:r w:rsidR="00A0499A" w:rsidRPr="00F37C6A">
        <w:rPr>
          <w:rStyle w:val="FootnoteReference"/>
        </w:rPr>
        <w:footnoteReference w:id="17"/>
      </w:r>
      <w:r>
        <w:t>. Rumunijoje pilietinės visuomenės organizacijos pabrėžė, kad į prašymus pripažinti pranešėjo statusą arba pateikti apsaugos rekomendacijas nebuvo atsakyta arba į juos buvo atsakyta labai vėluojant</w:t>
      </w:r>
      <w:r w:rsidR="00A0499A" w:rsidRPr="00F37C6A">
        <w:rPr>
          <w:rStyle w:val="FootnoteReference"/>
        </w:rPr>
        <w:footnoteReference w:id="18"/>
      </w:r>
      <w:r>
        <w:t>.</w:t>
      </w:r>
    </w:p>
    <w:p w14:paraId="5F4B17F2" w14:textId="77777777" w:rsidR="000552D1" w:rsidRPr="00F37C6A" w:rsidRDefault="000552D1" w:rsidP="00A055D1"/>
    <w:p w14:paraId="2295C786" w14:textId="7B96A8DB" w:rsidR="00BA10CC" w:rsidRPr="00F37C6A" w:rsidRDefault="00683277" w:rsidP="00A055D1">
      <w:pPr>
        <w:pStyle w:val="Heading2"/>
        <w:ind w:left="567" w:hanging="567"/>
      </w:pPr>
      <w:r>
        <w:t>Prancūzijoje žurnalistai ir pilietinės visuomenės subjektai pažymėjo, kad viešo informacijos atskleidimo sąlygos, įskaitant reikalavimus išnaudoti vidaus ar išorės kanalus ir laikytis griežtų terminų, gali atrodyti pernelyg sudėtingos ir trukdyti žurnalistams pranešti apie viešojo intereso klausimus</w:t>
      </w:r>
      <w:r w:rsidR="00AC231D" w:rsidRPr="00F37C6A">
        <w:rPr>
          <w:rStyle w:val="FootnoteReference"/>
        </w:rPr>
        <w:footnoteReference w:id="19"/>
      </w:r>
      <w:r>
        <w:t>.</w:t>
      </w:r>
    </w:p>
    <w:p w14:paraId="6108D72E" w14:textId="77777777" w:rsidR="000552D1" w:rsidRPr="00F37C6A" w:rsidRDefault="000552D1" w:rsidP="00A055D1"/>
    <w:p w14:paraId="48F9D516" w14:textId="0370B457" w:rsidR="0016504B" w:rsidRPr="00F37C6A" w:rsidRDefault="00F52EA5" w:rsidP="00A055D1">
      <w:pPr>
        <w:pStyle w:val="Heading2"/>
        <w:ind w:left="567" w:hanging="567"/>
      </w:pPr>
      <w:r>
        <w:lastRenderedPageBreak/>
        <w:t>Veiksmingumas pirmiausia remiasi tvirta apsauga nuo atsakomųjų veiksmų</w:t>
      </w:r>
      <w:r w:rsidR="009D5908" w:rsidRPr="00F37C6A">
        <w:rPr>
          <w:rStyle w:val="FootnoteReference"/>
        </w:rPr>
        <w:footnoteReference w:id="20"/>
      </w:r>
      <w:r>
        <w:t>. Visose nagrinėtose šalyse, beveik visų suinteresuotųjų subjektų nuomone, įskaitant valdžios institucijas, atsakomųjų veiksmų baimė ir toliau atgraso nuo pranešimų teikimo</w:t>
      </w:r>
      <w:r w:rsidR="00BA10CC" w:rsidRPr="00F37C6A">
        <w:rPr>
          <w:rStyle w:val="FootnoteReference"/>
        </w:rPr>
        <w:footnoteReference w:id="21"/>
      </w:r>
      <w:r>
        <w:t>. Keletas suinteresuotųjų subjektų pabrėžė, kad šią baimę gali sustiprinti siauros atsakomųjų veiksmų apibrėžtys, teisinis netikrumas, pranešimo teikėjui taikomų laikinųjų apsaugos priemonių nebuvimas, ribotos galimybės naudotis tokia apsauga sąlygos, pavėluotas apsaugos statuso pripažinimas</w:t>
      </w:r>
      <w:r w:rsidR="00D33764" w:rsidRPr="00F37C6A">
        <w:rPr>
          <w:rStyle w:val="FootnoteReference"/>
        </w:rPr>
        <w:footnoteReference w:id="22"/>
      </w:r>
      <w:r>
        <w:t>, grąžinimo į darbą nebuvimas atleidimo iš darbo atveju</w:t>
      </w:r>
      <w:r w:rsidR="004705C7" w:rsidRPr="00F37C6A">
        <w:rPr>
          <w:rStyle w:val="FootnoteReference"/>
        </w:rPr>
        <w:footnoteReference w:id="23"/>
      </w:r>
      <w:r>
        <w:t>, ilgas ir sudėtingas darbo ginčų teismo procesas</w:t>
      </w:r>
      <w:r w:rsidR="00D33764" w:rsidRPr="00F37C6A">
        <w:rPr>
          <w:rStyle w:val="FootnoteReference"/>
        </w:rPr>
        <w:footnoteReference w:id="24"/>
      </w:r>
      <w:r>
        <w:t xml:space="preserve"> ir piktnaudžiavimas bylinėjimusi, nukreiptu prieš pranešėjus, aktyvistus ir žiniasklaidos subjektus</w:t>
      </w:r>
      <w:r w:rsidR="00D33764" w:rsidRPr="00F37C6A">
        <w:rPr>
          <w:rStyle w:val="FootnoteReference"/>
        </w:rPr>
        <w:footnoteReference w:id="25"/>
      </w:r>
      <w:r>
        <w:t>.</w:t>
      </w:r>
    </w:p>
    <w:p w14:paraId="588025D0" w14:textId="77777777" w:rsidR="002143A2" w:rsidRPr="00F37C6A" w:rsidRDefault="002143A2" w:rsidP="00A055D1"/>
    <w:p w14:paraId="086D3C07" w14:textId="420F4A67" w:rsidR="00641492" w:rsidRPr="00F37C6A" w:rsidRDefault="009B24DA" w:rsidP="00A055D1">
      <w:pPr>
        <w:pStyle w:val="Heading2"/>
        <w:ind w:left="567" w:hanging="567"/>
      </w:pPr>
      <w:r>
        <w:t>Trijų vizitų į šalis metu nustatyta, kad didžiausią susirūpinimą kelia tai, kad nėra visapusiškų paramos priemonių, įskaitant prieinamas nepriklausomas konsultacijas, teisinę pagalbą, tarpinę finansinę pagalbą ir specializuotų įstaigų gaires</w:t>
      </w:r>
      <w:r w:rsidR="00641492" w:rsidRPr="00F37C6A">
        <w:rPr>
          <w:rStyle w:val="FootnoteReference"/>
        </w:rPr>
        <w:footnoteReference w:id="26"/>
      </w:r>
      <w:r>
        <w:t>. Tačiau Danijoje taip būna tik retais atvejais, kai asmenys nusprendžia nedalyvauti profesinėje sąjungoje.</w:t>
      </w:r>
    </w:p>
    <w:p w14:paraId="4C306948" w14:textId="77777777" w:rsidR="000552D1" w:rsidRPr="00F37C6A" w:rsidRDefault="000552D1" w:rsidP="00A055D1"/>
    <w:p w14:paraId="5C6B1E93" w14:textId="0B03E203" w:rsidR="00641492" w:rsidRPr="00F37C6A" w:rsidRDefault="00CE2569" w:rsidP="00A055D1">
      <w:pPr>
        <w:pStyle w:val="Heading2"/>
        <w:ind w:left="567" w:hanging="567"/>
      </w:pPr>
      <w:r>
        <w:t>Visose šalyse, kai kurių suinteresuotųjų subjektų nuomone, veiksmingumą dar labiau mažina netinkama teisinės gynybos ir sankcijų tvarka</w:t>
      </w:r>
      <w:r w:rsidR="002D6819" w:rsidRPr="00F37C6A">
        <w:rPr>
          <w:rStyle w:val="FootnoteReference"/>
        </w:rPr>
        <w:footnoteReference w:id="27"/>
      </w:r>
      <w:r>
        <w:t>. Rumunijoje pilietinės visuomenės organizacijos pranešė apie atvejus, kai valdžios institucijos netaikė sankcijų institucijoms, kurios tinkamai neįdiegė vidaus pranešimų teikimo kanalų</w:t>
      </w:r>
      <w:r w:rsidR="00641492" w:rsidRPr="00F37C6A">
        <w:rPr>
          <w:rStyle w:val="FootnoteReference"/>
        </w:rPr>
        <w:footnoteReference w:id="28"/>
      </w:r>
      <w:r>
        <w:t>. Danijoje sankcijų dydis buvo aptartas atsižvelgiant į labai ribotą teismų praktiką, tačiau profesinės sąjungos mano, kad būtų naudinga derėtis dėl kompensacijos savo narių vardu.</w:t>
      </w:r>
    </w:p>
    <w:p w14:paraId="6B47221C" w14:textId="77777777" w:rsidR="000552D1" w:rsidRPr="00F37C6A" w:rsidRDefault="000552D1" w:rsidP="00A055D1"/>
    <w:p w14:paraId="719F638F" w14:textId="60CB9615" w:rsidR="00641492" w:rsidRPr="00F37C6A" w:rsidRDefault="00F52EA5" w:rsidP="00A055D1">
      <w:pPr>
        <w:pStyle w:val="Heading2"/>
        <w:ind w:left="567" w:hanging="567"/>
      </w:pPr>
      <w:r>
        <w:t>Dar vienas trūkumas yra tai, kad trūksta prasmingų tolesnių veiksmų. Pranešimų teikėjai dažnai neinformuojami apie veiksmus, kurių imtasi arba kurių numatoma imtis reaguojant į jų pranešimus. Latvijos profesinių sąjungų ir pilietinės visuomenės organizacijų teigimu, valdžios institucijos ir teismai taisykles gali taikyti formaliai, nepripažindami viešojo intereso aspekto</w:t>
      </w:r>
      <w:r w:rsidR="00D74814" w:rsidRPr="00F37C6A">
        <w:rPr>
          <w:rStyle w:val="FootnoteReference"/>
        </w:rPr>
        <w:footnoteReference w:id="29"/>
      </w:r>
      <w:r>
        <w:t>. Nenuoseklus bylų nagrinėjimas ir savalaikių bei matomų rezultatų nebuvimas gali pakenkti reglamento tikslams</w:t>
      </w:r>
      <w:r w:rsidR="00641492" w:rsidRPr="00F37C6A">
        <w:rPr>
          <w:rStyle w:val="FootnoteReference"/>
        </w:rPr>
        <w:footnoteReference w:id="30"/>
      </w:r>
      <w:r>
        <w:t>.</w:t>
      </w:r>
    </w:p>
    <w:p w14:paraId="23D880B4" w14:textId="77777777" w:rsidR="000552D1" w:rsidRPr="00F37C6A" w:rsidRDefault="000552D1" w:rsidP="00A055D1"/>
    <w:p w14:paraId="368E44E0" w14:textId="29038792" w:rsidR="00641492" w:rsidRPr="00F37C6A" w:rsidRDefault="00F20A3E" w:rsidP="00A055D1">
      <w:pPr>
        <w:pStyle w:val="Heading2"/>
        <w:ind w:left="567" w:hanging="567"/>
      </w:pPr>
      <w:r>
        <w:lastRenderedPageBreak/>
        <w:t>Trijų šalių misijose keletas dalyvių taip pat atkreipė dėmesį į nepakankamus institucijų, atsakingų už pranešėjų apsaugą, išteklius, nes jos dažnai susiduria su didėjančiu darbo krūviu, atitinkamai nedidinant darbuotojų skaičiaus ar finansavimo</w:t>
      </w:r>
      <w:r w:rsidR="00641492" w:rsidRPr="00F37C6A">
        <w:rPr>
          <w:rStyle w:val="FootnoteReference"/>
        </w:rPr>
        <w:footnoteReference w:id="31"/>
      </w:r>
      <w:r>
        <w:t>.</w:t>
      </w:r>
    </w:p>
    <w:p w14:paraId="575627EB" w14:textId="77777777" w:rsidR="000552D1" w:rsidRPr="00F37C6A" w:rsidRDefault="000552D1" w:rsidP="00A055D1"/>
    <w:p w14:paraId="1DF1626D" w14:textId="260C998E" w:rsidR="00641492" w:rsidRPr="00F37C6A" w:rsidRDefault="009B24DA" w:rsidP="00A055D1">
      <w:pPr>
        <w:pStyle w:val="Heading2"/>
        <w:ind w:left="567" w:hanging="567"/>
      </w:pPr>
      <w:r>
        <w:t>Dėl nepakankamo specialistų, nagrinėjančių pranešimų apie pažeidimus atvejus, pasirengimo dar labiau mažėja veiksmingumas, todėl priimami nenuoseklūs sprendimai ir vėluojama pripažinti apsaugos statusą. Todėl suinteresuotieji subjektai paragino rengti specializuotus mokymus teisėjams, teisininkams, darbo inspektoriams ir administracijos pareigūnams</w:t>
      </w:r>
      <w:r w:rsidR="00641492" w:rsidRPr="00F37C6A">
        <w:rPr>
          <w:rStyle w:val="FootnoteReference"/>
        </w:rPr>
        <w:footnoteReference w:id="32"/>
      </w:r>
      <w:r>
        <w:t>.</w:t>
      </w:r>
    </w:p>
    <w:p w14:paraId="0F36D115" w14:textId="77777777" w:rsidR="000552D1" w:rsidRPr="00F37C6A" w:rsidRDefault="000552D1" w:rsidP="00A055D1"/>
    <w:p w14:paraId="7ED03CFA" w14:textId="4C6B9F7F" w:rsidR="00641492" w:rsidRPr="00F37C6A" w:rsidRDefault="00F52EA5" w:rsidP="00A055D1">
      <w:pPr>
        <w:pStyle w:val="Heading2"/>
        <w:ind w:left="567" w:hanging="567"/>
      </w:pPr>
      <w:r>
        <w:t>Vertinime taip pat nustatyta, kad reikia platesnio viešojo švietimo, kad būtų kovojama su nuolatiniu klaidingu supratimu apie informavimą apie pažeidimus. Nepakankamas darbuotojų ir darbdavių informuotumas apie teises ir procedūras ir toliau silpnina įgyvendinimą, todėl nacionalinės ir ES institucijos raginamos internete teikti aiškesnę informaciją ir gaires</w:t>
      </w:r>
      <w:r w:rsidR="005D4403" w:rsidRPr="00F37C6A">
        <w:rPr>
          <w:rStyle w:val="FootnoteReference"/>
        </w:rPr>
        <w:footnoteReference w:id="33"/>
      </w:r>
      <w:r>
        <w:t>.</w:t>
      </w:r>
    </w:p>
    <w:p w14:paraId="706A5D18" w14:textId="77777777" w:rsidR="000552D1" w:rsidRPr="00F37C6A" w:rsidRDefault="000552D1" w:rsidP="00A055D1"/>
    <w:p w14:paraId="75FA9D77" w14:textId="483DAEEA" w:rsidR="00641492" w:rsidRPr="00F37C6A" w:rsidRDefault="009B24DA" w:rsidP="00A055D1">
      <w:pPr>
        <w:pStyle w:val="Heading2"/>
        <w:ind w:left="567" w:hanging="567"/>
      </w:pPr>
      <w:r>
        <w:t>Galiausiai dalyviai pabrėžė, kad trūksta patikimų ir prieinamų viešųjų duomenų apie pranešimų teikimą ir tolesnius susijusius veiksmus</w:t>
      </w:r>
      <w:r w:rsidR="00641492" w:rsidRPr="00F37C6A">
        <w:rPr>
          <w:rStyle w:val="FootnoteReference"/>
        </w:rPr>
        <w:footnoteReference w:id="34"/>
      </w:r>
      <w:r>
        <w:t>. Danijoje pilietinės visuomenės organizacijos kritikavo ribotą prieigą prie Komisijai pateiktų statistinių duomenų ir pažymėjo, kad šis skaidrumo trūkumas kenkia informacija pagrįstoms viešoms diskusijoms ir pasitikėjimui priežiūros įstaigomis</w:t>
      </w:r>
      <w:r w:rsidR="00641492" w:rsidRPr="00F37C6A">
        <w:rPr>
          <w:rStyle w:val="FootnoteReference"/>
        </w:rPr>
        <w:footnoteReference w:id="35"/>
      </w:r>
      <w:r>
        <w:t>.</w:t>
      </w:r>
    </w:p>
    <w:p w14:paraId="47A3AD9C" w14:textId="77777777" w:rsidR="00061265" w:rsidRPr="00F37C6A" w:rsidRDefault="00061265" w:rsidP="00A055D1"/>
    <w:p w14:paraId="0EE9B8D4" w14:textId="085815E2" w:rsidR="00642E5F" w:rsidRPr="00F37C6A" w:rsidRDefault="00642E5F" w:rsidP="00A055D1">
      <w:pPr>
        <w:pStyle w:val="Heading1"/>
        <w:keepNext/>
        <w:keepLines/>
        <w:ind w:left="567" w:hanging="567"/>
        <w:rPr>
          <w:b/>
        </w:rPr>
      </w:pPr>
      <w:r>
        <w:rPr>
          <w:b/>
        </w:rPr>
        <w:t>Išvados dėl aktualumo</w:t>
      </w:r>
    </w:p>
    <w:p w14:paraId="37646253" w14:textId="77777777" w:rsidR="00642E5F" w:rsidRPr="00F37C6A" w:rsidRDefault="00642E5F" w:rsidP="00A055D1">
      <w:pPr>
        <w:keepNext/>
        <w:keepLines/>
        <w:overflowPunct/>
        <w:adjustRightInd/>
        <w:ind w:left="142" w:hanging="142"/>
        <w:jc w:val="left"/>
        <w:textAlignment w:val="auto"/>
      </w:pPr>
    </w:p>
    <w:p w14:paraId="21F19FB2" w14:textId="2B4B914E" w:rsidR="00002AB8" w:rsidRPr="00F37C6A" w:rsidRDefault="009B24DA" w:rsidP="00A055D1">
      <w:pPr>
        <w:pStyle w:val="Heading2"/>
        <w:ind w:left="567" w:hanging="567"/>
      </w:pPr>
      <w:r>
        <w:t>Aktualumas susijęs su tuo, kiek intervencinės priemonės tikslai atitinka visuomenės poreikius ir platesnius ES politikos prioritetus. Todėl EESRK vertinime nagrinėjamas direktyvos vaidmuo apsaugant asmenis, pranešančius apie viešajam interesui kenkiančius ES teisės pažeidimus, ir sprendžiant dėl tokių pažeidimų kylančias problemas.</w:t>
      </w:r>
    </w:p>
    <w:p w14:paraId="68CF0048" w14:textId="77777777" w:rsidR="000552D1" w:rsidRPr="00F37C6A" w:rsidRDefault="000552D1" w:rsidP="00A055D1"/>
    <w:p w14:paraId="40C8A671" w14:textId="37397540" w:rsidR="00BC1130" w:rsidRPr="00F37C6A" w:rsidRDefault="00C86001" w:rsidP="00A055D1">
      <w:pPr>
        <w:pStyle w:val="Heading2"/>
        <w:ind w:left="567" w:hanging="567"/>
      </w:pPr>
      <w:r>
        <w:t>Visose apžvelgiamose šalyse suinteresuotieji subjektai laikėsi nuomonės, kad direktyvos aktualumas padidėja, kai jos materialinė ir subjektinė taikymo sritys išplečiamos, kad apimtų įgyvendinimą nacionaliniu lygmeniu</w:t>
      </w:r>
      <w:r w:rsidR="00CC3E29" w:rsidRPr="00B75E34">
        <w:rPr>
          <w:rStyle w:val="FootnoteReference"/>
        </w:rPr>
        <w:footnoteReference w:id="36"/>
      </w:r>
      <w:r>
        <w:t>. Tačiau Rumunijoje pilietinės visuomenės organizacijos manė, kad sudėtinga termino „pažeidimas“ apibrėžtis kartu su ribotu teisės aktų, patenkančių į Pranešėjų apsaugos direktyvos taikymo sritį, sąrašu ir toliau atgraso nuo pranešimų teikimo</w:t>
      </w:r>
      <w:r w:rsidR="00263D8C" w:rsidRPr="00F37C6A">
        <w:rPr>
          <w:rStyle w:val="FootnoteReference"/>
        </w:rPr>
        <w:footnoteReference w:id="37"/>
      </w:r>
      <w:r>
        <w:t>, tuo tarpu Rumunijos darbdavių atstovai įspėjo, kad dėl labai plačios materialinės taikymo srities gali būti sunku praktiškai ją įgyvendinti, gali kilti neaiškumų bylų tvarkytojams ir pavojus, kad pranešimų apie pažeidimus sistemų tikslas bus išskaidytas</w:t>
      </w:r>
      <w:r w:rsidR="009E533D">
        <w:rPr>
          <w:rStyle w:val="FootnoteReference"/>
        </w:rPr>
        <w:footnoteReference w:id="38"/>
      </w:r>
      <w:r>
        <w:t>.</w:t>
      </w:r>
    </w:p>
    <w:p w14:paraId="4CCD3342" w14:textId="77777777" w:rsidR="000552D1" w:rsidRPr="00F37C6A" w:rsidRDefault="000552D1" w:rsidP="00A055D1"/>
    <w:p w14:paraId="731348B0" w14:textId="4F0C7808" w:rsidR="00002AB8" w:rsidRPr="00F37C6A" w:rsidRDefault="009B24DA" w:rsidP="00A055D1">
      <w:pPr>
        <w:pStyle w:val="Heading2"/>
        <w:ind w:left="567" w:hanging="567"/>
      </w:pPr>
      <w:r>
        <w:t>Vizitų į šalis metu kai kurie dalyviai teigė, kad nors komercinė ar profesinė paslaptis netaikoma viešojo intereso labui veikiantiems pranešėjams, ji vis dėlto praktiškai naudojama pranešimų teikėjams įbauginti arba procesui vilkinti</w:t>
      </w:r>
      <w:r w:rsidR="004C5B89" w:rsidRPr="00F37C6A">
        <w:rPr>
          <w:rStyle w:val="FootnoteReference"/>
        </w:rPr>
        <w:footnoteReference w:id="39"/>
      </w:r>
      <w:r>
        <w:t>. Todėl pilietinės visuomenės organizacijos paragino parengti aiškias gaires dėl informavimo apie pažeidimus taisyklių, profesinės paslapties, duomenų apsaugos teisės aktų ir konkretiems sektoriams taikomų ataskaitų teikimo pareigų sąveikos, visų pirma darbo vietos atstovams</w:t>
      </w:r>
      <w:r w:rsidR="00002AB8" w:rsidRPr="00F37C6A">
        <w:rPr>
          <w:rStyle w:val="FootnoteReference"/>
        </w:rPr>
        <w:footnoteReference w:id="40"/>
      </w:r>
      <w:r>
        <w:t>. Tokiomis gairėmis taip pat būtų atsižvelgta į verslo organizacijoms susirūpinimą keliančius klausimus, susijusius su aiškesnėmis teisinėmis nuorodomis ir siekiu išvengti nereikalingo ataskaitų teikimo reikalavimų dubliavimosi</w:t>
      </w:r>
      <w:r w:rsidR="00002AB8" w:rsidRPr="00F37C6A">
        <w:rPr>
          <w:rStyle w:val="FootnoteReference"/>
        </w:rPr>
        <w:footnoteReference w:id="41"/>
      </w:r>
      <w:r>
        <w:t>.</w:t>
      </w:r>
    </w:p>
    <w:p w14:paraId="5E5C3240" w14:textId="77777777" w:rsidR="000552D1" w:rsidRPr="00F37C6A" w:rsidRDefault="000552D1" w:rsidP="00A055D1"/>
    <w:p w14:paraId="0AED0C25" w14:textId="55E8E7A5" w:rsidR="00002AB8" w:rsidRPr="00F37C6A" w:rsidRDefault="00236C92" w:rsidP="00A055D1">
      <w:pPr>
        <w:pStyle w:val="Heading2"/>
        <w:ind w:left="567" w:hanging="567"/>
      </w:pPr>
      <w:r>
        <w:t>Asmenys, kurie dalyvavo misijose šalyse ir turėjo darbo su informavimo apie pažeidimus atvejais patirties, nurodė, kad dažniausios informavimo apie pažeidimus aplinkybės yra darbo teisė ir su užimtumu susiję klausimai, įskaitant darbo vietos saugą ir socialinę apsaugą. Daugelis atvejų taip pat susiję su korupcija, nesąžiningumu ir netinkamu elgesiu tiek viešajame, tiek privačiajame sektoriuose. Kitos dažnai minimos sritys apėmė apmokestinimą ir finansinius nusižengimus, aplinkos apsaugą ir viešojo sektoriaus valdymą. Taip pat buvo paminėtos žmogaus teisės, diskriminacija, duomenų apsauga, konkurencijos teisė ir konkrečių sektorių sritys, pavyzdžiui, bankininkystė, energetika ir maisto sauga</w:t>
      </w:r>
      <w:r w:rsidR="00002AB8" w:rsidRPr="00F37C6A">
        <w:rPr>
          <w:rStyle w:val="FootnoteReference"/>
        </w:rPr>
        <w:footnoteReference w:id="42"/>
      </w:r>
      <w:r>
        <w:t>. Danija ir Latvija išplėtė materialinę direktyvos taikymo sritį, kad ji apimtų ne tik individualius darbo ginčus, bet ir šiurkščius darbo teisės pažeidimus</w:t>
      </w:r>
      <w:r w:rsidR="00002AB8" w:rsidRPr="00F37C6A">
        <w:rPr>
          <w:rStyle w:val="FootnoteReference"/>
        </w:rPr>
        <w:footnoteReference w:id="43"/>
      </w:r>
      <w:r>
        <w:t>. Prancūzija ir Italija taip pat pripažįsta, kad reikia apsaugoti socialines ir su darbo vieta susijusias problemas, susijusias su sistemine rizika ar kolektyvine žala</w:t>
      </w:r>
      <w:r w:rsidR="00002AB8" w:rsidRPr="00F37C6A">
        <w:rPr>
          <w:rStyle w:val="FootnoteReference"/>
        </w:rPr>
        <w:footnoteReference w:id="44"/>
      </w:r>
      <w:r>
        <w:t>. Rumunijos profesinės sąjungos ir pilietinės visuomenės organizacijos nurodė, kad informacijos apie pažeidimus teikimo apsauga galėtų sustiprinti galiojančius darbo standartus. Deja, instituciniai ribojimai, nežinojimas, atsakomųjų veiksmų baimė ir kultūriškai nulemtas nenoras ir toliau atgraso nuo pranešimų teikimo šiose srityse</w:t>
      </w:r>
      <w:r w:rsidR="0081494E" w:rsidRPr="00F37C6A">
        <w:rPr>
          <w:rStyle w:val="FootnoteReference"/>
        </w:rPr>
        <w:footnoteReference w:id="45"/>
      </w:r>
      <w:r>
        <w:t>.</w:t>
      </w:r>
    </w:p>
    <w:p w14:paraId="6E2BDDA7" w14:textId="77777777" w:rsidR="000552D1" w:rsidRPr="00F37C6A" w:rsidRDefault="000552D1" w:rsidP="00A055D1"/>
    <w:p w14:paraId="318E9D3F" w14:textId="187CCCBD" w:rsidR="00F43FFE" w:rsidRPr="00F37C6A" w:rsidRDefault="009B24DA" w:rsidP="00A055D1">
      <w:pPr>
        <w:pStyle w:val="Heading2"/>
        <w:ind w:left="567" w:hanging="567"/>
      </w:pPr>
      <w:r>
        <w:t>Kai kurių suinteresuotųjų subjektų nuomone, pranešėjų apsauga gali sustiprinti darbo standartus, nes darbuotojams, atskleidžiantiems sisteminius socialinius pažeidimus ar pažeidimus darbo vietoje, suteikiama papildoma apsauga. Tačiau Italijoje socialiniai partneriai pabrėžė, kad tokie klausimai dažnai veiksmingiau sprendžiami per kolektyvines derybas, lygybės darbo vietoje įstaigas ir sveikatos bei saugos atstovus, ir įspėjo, kad pasikliovimas vien informavimo apie pažeidimus mechanizmais gali susilpninti socialinį dialogą ir izoliuoti darbuotojus</w:t>
      </w:r>
      <w:r w:rsidR="00F43FFE" w:rsidRPr="00F37C6A">
        <w:rPr>
          <w:rStyle w:val="FootnoteReference"/>
        </w:rPr>
        <w:footnoteReference w:id="46"/>
      </w:r>
      <w:r>
        <w:t>.</w:t>
      </w:r>
    </w:p>
    <w:p w14:paraId="10AB9303" w14:textId="77777777" w:rsidR="000552D1" w:rsidRPr="00F37C6A" w:rsidRDefault="000552D1" w:rsidP="00A055D1"/>
    <w:p w14:paraId="13AAEA48" w14:textId="52015ACD" w:rsidR="00F43FFE" w:rsidRPr="00F37C6A" w:rsidRDefault="009B24DA" w:rsidP="00A055D1">
      <w:pPr>
        <w:pStyle w:val="Heading2"/>
        <w:ind w:left="567" w:hanging="567"/>
      </w:pPr>
      <w:r>
        <w:lastRenderedPageBreak/>
        <w:t>Prancūzijoje ombudsmeno institucijoje įsteigus specialų padalinį, pagerėjo pranešėjų konsultavimas, jų statuso patvirtinimas ir teikiama parama</w:t>
      </w:r>
      <w:r w:rsidR="00F43FFE" w:rsidRPr="00F37C6A">
        <w:rPr>
          <w:rStyle w:val="FootnoteReference"/>
        </w:rPr>
        <w:footnoteReference w:id="47"/>
      </w:r>
      <w:r>
        <w:t>, todėl išnagrinėtų atvejų skaičius gerokai išaugo</w:t>
      </w:r>
      <w:r w:rsidR="00F43FFE" w:rsidRPr="00F37C6A">
        <w:rPr>
          <w:rStyle w:val="FootnoteReference"/>
        </w:rPr>
        <w:footnoteReference w:id="48"/>
      </w:r>
      <w:r>
        <w:t>. Tuo pačiu metu tai, kad yra kelios atsakingos institucijos, sukėlė painiavą, todėl ombudsmenas tapo pirmuoju kontaktiniu asmeniu ir dėl to darbo krūvis pasiskirstė netolygiai</w:t>
      </w:r>
      <w:r w:rsidR="00F43FFE" w:rsidRPr="00F37C6A">
        <w:rPr>
          <w:rStyle w:val="FootnoteReference"/>
        </w:rPr>
        <w:footnoteReference w:id="49"/>
      </w:r>
      <w:r>
        <w:t>.</w:t>
      </w:r>
    </w:p>
    <w:p w14:paraId="6C7D37C7" w14:textId="77777777" w:rsidR="00642E5F" w:rsidRPr="00F37C6A" w:rsidRDefault="00642E5F" w:rsidP="00A055D1">
      <w:pPr>
        <w:overflowPunct/>
        <w:adjustRightInd/>
        <w:textAlignment w:val="auto"/>
        <w:rPr>
          <w:highlight w:val="yellow"/>
        </w:rPr>
      </w:pPr>
    </w:p>
    <w:p w14:paraId="1AD1CE52" w14:textId="507D1B9E" w:rsidR="00642E5F" w:rsidRPr="00F37C6A" w:rsidRDefault="00642E5F" w:rsidP="00A055D1">
      <w:pPr>
        <w:pStyle w:val="Heading1"/>
        <w:keepNext/>
        <w:keepLines/>
        <w:ind w:left="567" w:hanging="567"/>
        <w:rPr>
          <w:b/>
        </w:rPr>
      </w:pPr>
      <w:r>
        <w:rPr>
          <w:b/>
        </w:rPr>
        <w:t>Išvados dėl pilietinės visuomenės pridėtinės vertės</w:t>
      </w:r>
    </w:p>
    <w:p w14:paraId="7DE4F188" w14:textId="77777777" w:rsidR="00642E5F" w:rsidRPr="00F37C6A" w:rsidRDefault="00642E5F" w:rsidP="00A055D1">
      <w:pPr>
        <w:keepNext/>
        <w:keepLines/>
        <w:overflowPunct/>
        <w:adjustRightInd/>
        <w:ind w:left="142" w:hanging="142"/>
        <w:jc w:val="left"/>
        <w:textAlignment w:val="auto"/>
      </w:pPr>
    </w:p>
    <w:p w14:paraId="219542F2" w14:textId="1EDF71DD" w:rsidR="00F43FFE" w:rsidRPr="00F37C6A" w:rsidRDefault="005F2C93" w:rsidP="00A055D1">
      <w:pPr>
        <w:pStyle w:val="Heading2"/>
        <w:ind w:left="567" w:hanging="567"/>
      </w:pPr>
      <w:r>
        <w:t>Pilietinės visuomenės pridėtinė vertė vertinama atsižvelgiant į jos dalyvavimo rengiant, įgyvendinant, stebint ir vertinant ES teisės aktus mastą. Šis vaidmuo yra ypač svarbus atsižvelgiant į Pranešėjų apsaugos direktyvą, nes joje daug dėmesio skiriama asmenų, pranešančių apie viešajam interesui kenkiančius ES teisės pažeidimus, apsaugai.</w:t>
      </w:r>
    </w:p>
    <w:p w14:paraId="1D2684B2" w14:textId="77777777" w:rsidR="000552D1" w:rsidRPr="00F37C6A" w:rsidRDefault="000552D1" w:rsidP="00A055D1"/>
    <w:p w14:paraId="43279FFD" w14:textId="630B78DC" w:rsidR="00F43FFE" w:rsidRPr="00F37C6A" w:rsidRDefault="005F2C93" w:rsidP="00A055D1">
      <w:pPr>
        <w:pStyle w:val="Heading2"/>
        <w:ind w:left="567" w:hanging="567"/>
      </w:pPr>
      <w:r>
        <w:t>Visose apžvelgtose šalyse profesinės sąjungos atlieka pagrindinį vaidmenį remiant pranešėjus ir dažnai veikia kaip pirmasis kontaktinis punktas darbuotojams, svarstantiems, ar pranešti apie netinkamą elgesį. Jos padeda suprasti teisines prievoles, pasirinkti tinkamus pranešimų teikimo kanalus, įvertinti teisės pažeidimus, užtikrinti konfidencialumo reikalavimų laikymąsi ir įvertinti riziką, įskaitant atsakomuosius veiksmus</w:t>
      </w:r>
      <w:r w:rsidR="00F43FFE" w:rsidRPr="00F37C6A">
        <w:rPr>
          <w:rStyle w:val="FootnoteReference"/>
        </w:rPr>
        <w:footnoteReference w:id="50"/>
      </w:r>
      <w:r>
        <w:t>. Jos taip pat remia įrodymų rinkimą, padeda pranešėjams pranešimo procedūrų metu, padeda atsakomųjų veiksmų atvejais ir organizuoja tikslinę informuotumo didinimo veiklą</w:t>
      </w:r>
      <w:r w:rsidR="00356206" w:rsidRPr="00F37C6A">
        <w:rPr>
          <w:rStyle w:val="FootnoteReference"/>
        </w:rPr>
        <w:footnoteReference w:id="51"/>
      </w:r>
      <w:r>
        <w:t>. Pasitikėjimas socialiniais partneriais tebėra pagrindinis veiksnys, skatinantis pavienius asmenis imtis veiksmų.</w:t>
      </w:r>
    </w:p>
    <w:p w14:paraId="7ACAB7C4" w14:textId="77777777" w:rsidR="000552D1" w:rsidRPr="00F37C6A" w:rsidRDefault="000552D1" w:rsidP="00A055D1"/>
    <w:p w14:paraId="06C4BFE3" w14:textId="7521027D" w:rsidR="00F43FFE" w:rsidRDefault="00AD0D8C" w:rsidP="00A055D1">
      <w:pPr>
        <w:pStyle w:val="Heading2"/>
        <w:ind w:left="567" w:hanging="567"/>
      </w:pPr>
      <w:r>
        <w:t>Pilietinės visuomenės organizacijos taip pat atlieka svarbų vaidmenį padėdamos galimiems pranešėjams suprasti teisinius ir procedūrinius reikalavimus, įvertinti asmeninę riziką ir rengti pranešimus</w:t>
      </w:r>
      <w:r w:rsidR="00F43FFE" w:rsidRPr="00F37C6A">
        <w:rPr>
          <w:rStyle w:val="FootnoteReference"/>
        </w:rPr>
        <w:footnoteReference w:id="52"/>
      </w:r>
      <w:r>
        <w:t>. Jos taip pat skatina informavimo apie pažeidimus kultūrą didindamos visuomenės informuotumą. Todėl profesinės sąjungos, darbuotojų atstovai ir pilietinės visuomenės organizacijos turėtų būti laikomi tarpininkais ir naudotis apsauga nuo atsakomųjų veiksmų.</w:t>
      </w:r>
    </w:p>
    <w:p w14:paraId="2087F558" w14:textId="77777777" w:rsidR="00CF1A1B" w:rsidRPr="00CF1A1B" w:rsidRDefault="00CF1A1B" w:rsidP="00A055D1"/>
    <w:p w14:paraId="5FEFA27C" w14:textId="71759D92" w:rsidR="00DB5D0F" w:rsidRPr="00F37C6A" w:rsidRDefault="00FB2239" w:rsidP="00A055D1">
      <w:pPr>
        <w:pStyle w:val="Heading2"/>
        <w:ind w:left="567" w:hanging="567"/>
      </w:pPr>
      <w:r>
        <w:t>Keturiose šalių misijose buvo pabrėžta, kad pilietinės visuomenės organizacijos, nepaisant jų svarbos, dažnai susiduria su finansavimo apribojimais, kurie riboja jų gebėjimą teikti nuolatinę paramą pranešėjams</w:t>
      </w:r>
      <w:r w:rsidR="00DB5D0F" w:rsidRPr="00F37C6A">
        <w:rPr>
          <w:rStyle w:val="FootnoteReference"/>
        </w:rPr>
        <w:footnoteReference w:id="53"/>
      </w:r>
      <w:r>
        <w:t>.</w:t>
      </w:r>
    </w:p>
    <w:p w14:paraId="57C9CF57" w14:textId="77777777" w:rsidR="000552D1" w:rsidRPr="00F37C6A" w:rsidRDefault="000552D1" w:rsidP="00A055D1"/>
    <w:p w14:paraId="36DF87EE" w14:textId="321B5641" w:rsidR="00EE1AF0" w:rsidRPr="00F37C6A" w:rsidRDefault="00AD0D8C" w:rsidP="00A055D1">
      <w:pPr>
        <w:pStyle w:val="Heading2"/>
        <w:ind w:left="567" w:hanging="567"/>
      </w:pPr>
      <w:r>
        <w:t xml:space="preserve">Visose vertintose šalyse įgyvendinimo ir stebėsenos atsakomybė visų pirma tenka valdžios institucijoms ir įmonėms, o profesinės sąjungos ar pilietinės visuomenės organizacijos neturi </w:t>
      </w:r>
      <w:r>
        <w:lastRenderedPageBreak/>
        <w:t>oficialaus vaidmens priežiūros ar bendro valdymo srityje</w:t>
      </w:r>
      <w:r w:rsidR="002F4097" w:rsidRPr="00F37C6A">
        <w:rPr>
          <w:rStyle w:val="FootnoteReference"/>
        </w:rPr>
        <w:footnoteReference w:id="54"/>
      </w:r>
      <w:r>
        <w:t>. Prancūzijoje tiek profesinės sąjungos, tiek pilietinės visuomenės organizacijos taip pat kalbėjo apie ribotas konsultacijas dėl sektorių reformų, turinčių netiesioginį, bet reikšmingą poveikį pranešėjų pranešimams, įskaitant taisykles dėl skaidrumo ir konfidencialumo įmonėse</w:t>
      </w:r>
      <w:r w:rsidR="00EE1AF0" w:rsidRPr="00F37C6A">
        <w:rPr>
          <w:rStyle w:val="FootnoteReference"/>
        </w:rPr>
        <w:footnoteReference w:id="55"/>
      </w:r>
      <w:r>
        <w:t>.</w:t>
      </w:r>
    </w:p>
    <w:p w14:paraId="62813FB1" w14:textId="77777777" w:rsidR="000552D1" w:rsidRPr="00F37C6A" w:rsidRDefault="000552D1" w:rsidP="00A055D1"/>
    <w:p w14:paraId="74C341E9" w14:textId="249CF666" w:rsidR="00130B9A" w:rsidRPr="00F37C6A" w:rsidRDefault="00806787" w:rsidP="00A055D1">
      <w:pPr>
        <w:pStyle w:val="Heading2"/>
        <w:ind w:left="567" w:hanging="567"/>
      </w:pPr>
      <w:r>
        <w:t>Keletas dalyvių Danijoje ir Rumunijoje pastebėjo, kad sisteminius patobulinimus dažnai lemia žiniasklaidos tyrimai, o ne tolesni veiksmai informavimo apie pažeidimus sistemose</w:t>
      </w:r>
      <w:r w:rsidR="002F4097" w:rsidRPr="00F37C6A">
        <w:rPr>
          <w:rStyle w:val="FootnoteReference"/>
        </w:rPr>
        <w:footnoteReference w:id="56"/>
      </w:r>
      <w:r>
        <w:t>. Visose susijusiose šalyse žiniasklaida atlieka lemiamą vaidmenį užtikrinant platesnį pranešėjų apsaugos sistemos veikimą, formuojant visuomenės nuomonę ir informuojant apie svarbių bylų rezultatus</w:t>
      </w:r>
      <w:r w:rsidR="00130B9A" w:rsidRPr="00F37C6A">
        <w:rPr>
          <w:rStyle w:val="FootnoteReference"/>
        </w:rPr>
        <w:footnoteReference w:id="57"/>
      </w:r>
      <w:r>
        <w:t>.</w:t>
      </w:r>
    </w:p>
    <w:p w14:paraId="3336D322" w14:textId="77777777" w:rsidR="000552D1" w:rsidRPr="00F37C6A" w:rsidRDefault="000552D1" w:rsidP="00A055D1"/>
    <w:p w14:paraId="7FC7D2E9" w14:textId="34A5641F" w:rsidR="002F4097" w:rsidRPr="00F37C6A" w:rsidRDefault="007B5EB9" w:rsidP="00A055D1">
      <w:pPr>
        <w:pStyle w:val="Heading2"/>
        <w:ind w:left="567" w:hanging="567"/>
      </w:pPr>
      <w:r>
        <w:t>Prancūzijoje profesinės sąjungos, pilietinės visuomenės organizacijos ir žurnalistai kritikavo pernelyg ilgas viešo informacijos atskleidimo procedūras ir apsunkinančias sąlygas</w:t>
      </w:r>
      <w:r w:rsidR="002F4097" w:rsidRPr="00F37C6A">
        <w:rPr>
          <w:rStyle w:val="FootnoteReference"/>
        </w:rPr>
        <w:footnoteReference w:id="58"/>
      </w:r>
      <w:r>
        <w:t>, pažymėdamos, kad griežti terminai ir procedūriniai reikalavimai gali trukdyti žurnalistams greitai informuoti visuomenę apie akivaizdaus bendrojo intereso klausimus.</w:t>
      </w:r>
    </w:p>
    <w:p w14:paraId="4917DFF6" w14:textId="77777777" w:rsidR="000552D1" w:rsidRPr="00F37C6A" w:rsidRDefault="000552D1" w:rsidP="00A055D1"/>
    <w:p w14:paraId="4AEE6BFA" w14:textId="21E3FFB9" w:rsidR="002F4097" w:rsidRPr="00F37C6A" w:rsidRDefault="00AD0D8C" w:rsidP="00A055D1">
      <w:pPr>
        <w:pStyle w:val="Heading2"/>
        <w:ind w:left="567" w:hanging="567"/>
      </w:pPr>
      <w:r>
        <w:t>Danijoje ypač griežtos konfidencialumo taisyklės apribojo žurnalistų prieigą prie su bylomis susijusios informacijos, todėl sumažėjo žiniasklaidos pranešimų apie pažeidimus ir buvo suvaržytos viešos diskusijos dėl sisteminių trūkumų</w:t>
      </w:r>
      <w:r w:rsidR="002F4097" w:rsidRPr="00F37C6A">
        <w:rPr>
          <w:rStyle w:val="FootnoteReference"/>
        </w:rPr>
        <w:footnoteReference w:id="59"/>
      </w:r>
      <w:r>
        <w:t>.</w:t>
      </w:r>
    </w:p>
    <w:p w14:paraId="1952BD3F" w14:textId="77777777" w:rsidR="00642E5F" w:rsidRPr="00F37C6A" w:rsidRDefault="00642E5F" w:rsidP="00A055D1"/>
    <w:p w14:paraId="1632CD97" w14:textId="77777777" w:rsidR="00642E5F" w:rsidRPr="00F37C6A" w:rsidRDefault="00642E5F" w:rsidP="00A055D1">
      <w:pPr>
        <w:pStyle w:val="Heading1"/>
        <w:keepNext/>
        <w:keepLines/>
        <w:ind w:left="567" w:hanging="567"/>
        <w:rPr>
          <w:b/>
        </w:rPr>
      </w:pPr>
      <w:r>
        <w:rPr>
          <w:b/>
        </w:rPr>
        <w:t>Rekomendacijos</w:t>
      </w:r>
    </w:p>
    <w:p w14:paraId="3605DA12" w14:textId="77777777" w:rsidR="00642E5F" w:rsidRPr="00F37C6A" w:rsidRDefault="00642E5F" w:rsidP="00A055D1">
      <w:pPr>
        <w:keepNext/>
        <w:keepLines/>
      </w:pPr>
    </w:p>
    <w:p w14:paraId="46AD1F62" w14:textId="482B9EF6" w:rsidR="009F6DD2" w:rsidRPr="00F37C6A" w:rsidRDefault="007529FB" w:rsidP="00A055D1">
      <w:pPr>
        <w:pStyle w:val="Heading2"/>
        <w:ind w:left="567" w:hanging="567"/>
      </w:pPr>
      <w:r>
        <w:t>EESRK vertinime pabrėžiama, kad apžvelgiamose šalyse direktyvos perkėlimas į nacionalinę teisę iš esmės buvo didelis žingsnis į priekį patikslinant teisines sistemas, nustatant įvairius pranešimų teikimo kanalus, stiprinant apsaugos mechanizmus, didinant informuotumą apie galimybę pranešti apie pažeidimus ir stiprinant kompetentingų institucijų vaidmenį bei institucinį bendradarbiavimą. Tačiau išlieka didelė spraga tarp pranešėjams suteikiamos oficialios teisinės apsaugos ir jos praktinio veiksmingumo</w:t>
      </w:r>
      <w:r w:rsidR="003E1AEA" w:rsidRPr="00F37C6A">
        <w:rPr>
          <w:rStyle w:val="FootnoteReference"/>
        </w:rPr>
        <w:footnoteReference w:id="60"/>
      </w:r>
      <w:r>
        <w:t>. Todėl EESRK teikia savo rekomendacijas valstybėms narėms ir ragina Komisiją parengti gaires, kuriomis būtų remiamas nacionalinių priemonių įgyvendinimas, siekiant panaikinti atotrūkį tarp informavimo apie pažeidimus sistemos teisinės struktūros ir jos praktinio įgyvendinimo.</w:t>
      </w:r>
    </w:p>
    <w:p w14:paraId="142A6457" w14:textId="77777777" w:rsidR="000552D1" w:rsidRPr="00F37C6A" w:rsidRDefault="000552D1" w:rsidP="00A055D1"/>
    <w:p w14:paraId="30FFD3DF" w14:textId="3253DC36" w:rsidR="002F4097" w:rsidRPr="00F37C6A" w:rsidRDefault="007529FB" w:rsidP="00A055D1">
      <w:pPr>
        <w:pStyle w:val="Heading2"/>
        <w:ind w:left="567" w:hanging="567"/>
      </w:pPr>
      <w:r>
        <w:t>Lankantis šalyse daugelis suinteresuotųjų subjektų iš esmės sutiko, kad apsaugos pagal direktyvą taikymo sritis tebėra per siaura ir turėtų būti išplėsta, kad apimtų ir socialinius bei su darbo vieta susijusius klausimus</w:t>
      </w:r>
      <w:r w:rsidR="00DE75FE" w:rsidRPr="00F37C6A">
        <w:rPr>
          <w:rStyle w:val="FootnoteReference"/>
        </w:rPr>
        <w:footnoteReference w:id="61"/>
      </w:r>
      <w:r>
        <w:t xml:space="preserve">. Tačiau iš atsakymų į klausimyną paaiškėjo, kad paklausti, ar </w:t>
      </w:r>
      <w:r>
        <w:lastRenderedPageBreak/>
        <w:t>dabartinė direktyvos taikymo sritis yra tinkamai nustatyta siekiant jos tikslų, 45 proc. respondentų mano, kad ji turėtų būti palikta tokia, kokia yra, o 35 proc. nurodė, kad ją reikėtų išplėsti</w:t>
      </w:r>
      <w:r w:rsidR="007C475A">
        <w:rPr>
          <w:rStyle w:val="FootnoteReference"/>
        </w:rPr>
        <w:footnoteReference w:id="62"/>
      </w:r>
      <w:r>
        <w:t>. Respondentai, manantys, kad direktyvos materialioji taikymo sritis turėtų būti išplėsta, pateikė papildomų pastabų, pavyzdžiui, kad apribojant apsaugą konkrečiomis ES teisės sritimis sukuriamas teisinis netikrumas galimiems pranešėjams, nes nelengva atskirti, kas yra ES teisė, o kas – nacionalinė teisė, ir tai gali atgrasyti nuo informacijos [3] atskleidimo.</w:t>
      </w:r>
      <w:r w:rsidR="00DE75FE" w:rsidRPr="00F37C6A">
        <w:rPr>
          <w:rStyle w:val="FootnoteReference"/>
        </w:rPr>
        <w:footnoteReference w:id="63"/>
      </w:r>
      <w:r>
        <w:t>.</w:t>
      </w:r>
    </w:p>
    <w:p w14:paraId="66319A11" w14:textId="77777777" w:rsidR="000552D1" w:rsidRPr="00F37C6A" w:rsidRDefault="000552D1" w:rsidP="00A055D1"/>
    <w:p w14:paraId="12D44509" w14:textId="17BDB048" w:rsidR="00DE75FE" w:rsidRPr="00152BBC" w:rsidRDefault="007529FB" w:rsidP="00A055D1">
      <w:pPr>
        <w:pStyle w:val="Heading2"/>
        <w:ind w:left="567" w:hanging="567"/>
        <w:rPr>
          <w:vanish/>
          <w:specVanish/>
        </w:rPr>
      </w:pPr>
      <w:r>
        <w:t>Mažoms įmonėms sunku įgyvendinti vidaus ataskaitų teikimo reikalavimus dėl ribotų išteklių ir ekspertinių žinių bei priemonių trūkumo</w:t>
      </w:r>
      <w:r w:rsidR="00DE75FE" w:rsidRPr="00F37C6A">
        <w:rPr>
          <w:rStyle w:val="FootnoteReference"/>
        </w:rPr>
        <w:footnoteReference w:id="64"/>
      </w:r>
      <w:r>
        <w:t>. EESRK rekomenduoja išnagrinėti galimybę sukurti bendrus arba sektorių lygmens pranešimų teikimo mechanizmus, kaip nustatyta Direktyvos 2019/1937 8 straipsnio 6 dalyje.</w:t>
      </w:r>
    </w:p>
    <w:p w14:paraId="0C49FDCF" w14:textId="43A3EF9B" w:rsidR="000552D1" w:rsidRDefault="002300BA" w:rsidP="00A055D1">
      <w:r>
        <w:t xml:space="preserve"> </w:t>
      </w:r>
    </w:p>
    <w:p w14:paraId="2A2A1576" w14:textId="77777777" w:rsidR="002300BA" w:rsidRPr="00F37C6A" w:rsidRDefault="002300BA" w:rsidP="00A055D1"/>
    <w:p w14:paraId="55E01CFB" w14:textId="5633D3CA" w:rsidR="00DE75FE" w:rsidRPr="00F37C6A" w:rsidRDefault="007529FB" w:rsidP="00A055D1">
      <w:pPr>
        <w:pStyle w:val="Heading2"/>
        <w:ind w:left="567" w:hanging="567"/>
      </w:pPr>
      <w:r>
        <w:t xml:space="preserve">Respondentai taip pat nurodė, kad nuolat baiminamasi atsakomųjų veiksmų, ilgų procedūrų ir to, kad teikiamos apsaugos lygis bus nevienodas. Todėl, kai kurių suinteresuotųjų subjektų nuomone, turėtų būti nustatytos </w:t>
      </w:r>
      <w:proofErr w:type="spellStart"/>
      <w:r>
        <w:t>prieinamesnės</w:t>
      </w:r>
      <w:proofErr w:type="spellEnd"/>
      <w:r>
        <w:t xml:space="preserve"> ir veiksmingesnės prevencinės priemonės, kad būtų nutraukti atsakomieji veiksmai, kol žala netapo nepataisoma</w:t>
      </w:r>
      <w:r w:rsidR="00DE75FE" w:rsidRPr="00F37C6A">
        <w:rPr>
          <w:rStyle w:val="FootnoteReference"/>
        </w:rPr>
        <w:footnoteReference w:id="65"/>
      </w:r>
      <w:r>
        <w:t>. Taip pat turėtų būti teikiama finansinė parama ir nustatytos kitos paramos priemonės.</w:t>
      </w:r>
    </w:p>
    <w:p w14:paraId="2B0E7750" w14:textId="77777777" w:rsidR="000552D1" w:rsidRPr="00F37C6A" w:rsidRDefault="000552D1" w:rsidP="00A055D1"/>
    <w:p w14:paraId="1E3B60A6" w14:textId="722582F7" w:rsidR="000552D1" w:rsidRDefault="007529FB" w:rsidP="00A055D1">
      <w:pPr>
        <w:pStyle w:val="Heading2"/>
        <w:ind w:left="567" w:hanging="567"/>
      </w:pPr>
      <w:r>
        <w:t xml:space="preserve">Siekdamos spręsti nuolatinio biudžeto ir žmogiškųjų išteklių trūkumo, riboto mokymo, lėtų teismo procesų, bylų nagrinėjimo vėlavimo ir menko informuotumo apie esamus teisinius mechanizmus problemas, valstybės narės turėtų skirti pakankamai išteklių institucijoms, atsakingoms už informavimo apie pažeidimus procedūras. </w:t>
      </w:r>
    </w:p>
    <w:p w14:paraId="2F57B00E" w14:textId="77777777" w:rsidR="004453D9" w:rsidRPr="004453D9" w:rsidRDefault="004453D9" w:rsidP="003878E0"/>
    <w:p w14:paraId="375B4E9E" w14:textId="1D50D3DC" w:rsidR="003F5830" w:rsidRPr="00F37C6A" w:rsidRDefault="004453D9" w:rsidP="00A055D1">
      <w:pPr>
        <w:pStyle w:val="Heading2"/>
        <w:ind w:left="567" w:hanging="567"/>
      </w:pPr>
      <w:r>
        <w:t>Kai kurie suinteresuotieji subjektai nurodė, kad profesinių sąjungų ir darbuotojų atstovų dalyvavimas rengiant, peržiūrint ir stebint vidaus pranešimų teikimo procedūras gali padėti užtikrinti, kad tokie mechanizmai išliktų veiksmingi, nepriklausomi ir suderinti su darbo vietos realijomis. Toks dalyvavimas taip pat galėtų sustiprinti pasitikėjimą sistema ir padidinti tiek darbdavių, tiek darbuotojų informuotumą</w:t>
      </w:r>
      <w:r w:rsidR="00FA7574" w:rsidRPr="00F37C6A">
        <w:rPr>
          <w:rStyle w:val="FootnoteReference"/>
        </w:rPr>
        <w:footnoteReference w:id="66"/>
      </w:r>
      <w:r>
        <w:t>. Pilietinės visuomenės organizacijų atsiliepimai galėtų dar labiau padėti valdžios institucijoms tobulinti administracinę praktiką ir didinti informavimo apie pažeidimus procedūrų veiksmingumą</w:t>
      </w:r>
      <w:r w:rsidR="005A1483" w:rsidRPr="00F37C6A">
        <w:rPr>
          <w:rStyle w:val="FootnoteReference"/>
        </w:rPr>
        <w:footnoteReference w:id="67"/>
      </w:r>
      <w:r>
        <w:t>.</w:t>
      </w:r>
    </w:p>
    <w:p w14:paraId="74801666" w14:textId="77777777" w:rsidR="000552D1" w:rsidRPr="00F37C6A" w:rsidRDefault="000552D1" w:rsidP="00A055D1"/>
    <w:p w14:paraId="08470287" w14:textId="334CB8D6" w:rsidR="00240FE0" w:rsidRPr="00F37C6A" w:rsidRDefault="007529FB" w:rsidP="00A055D1">
      <w:pPr>
        <w:pStyle w:val="Heading2"/>
        <w:ind w:left="567" w:hanging="567"/>
      </w:pPr>
      <w:r>
        <w:t xml:space="preserve">EESRK taip pat rekomenduoja valstybėms narėms prireikus sukurti nepriklausomą daugelį suinteresuotųjų subjektų jungiantį patariamąjį organą, kuris periodiškai vertintų vidaus ir išorės pranešimų teikimo kanalų veikimą. Tokia įstaiga galėtų analizuoti duomenis, aptarti sisteminius klausimus, kartu rengti gaires ir remti bandomąsias iniciatyvas, kuriose pilietinės visuomenės organizacijos ir socialiniai partneriai dalyvautų mokymo programose, susijusiose su pranešimo </w:t>
      </w:r>
      <w:r>
        <w:lastRenderedPageBreak/>
        <w:t>procedūromis ir konfidencialumo standartais, taip didindama bendrą informavimo apie pažeidimus mechanizmų patikimumą</w:t>
      </w:r>
      <w:r w:rsidR="007A7191" w:rsidRPr="00F37C6A">
        <w:rPr>
          <w:rStyle w:val="FootnoteReference"/>
        </w:rPr>
        <w:footnoteReference w:id="68"/>
      </w:r>
      <w:r>
        <w:t>.</w:t>
      </w:r>
    </w:p>
    <w:p w14:paraId="4800235F" w14:textId="77777777" w:rsidR="000552D1" w:rsidRPr="00F37C6A" w:rsidRDefault="000552D1" w:rsidP="00A055D1"/>
    <w:p w14:paraId="7000FEFD" w14:textId="5714EC30" w:rsidR="00DE75FE" w:rsidRPr="00F37C6A" w:rsidRDefault="007529FB" w:rsidP="00A055D1">
      <w:pPr>
        <w:pStyle w:val="Heading2"/>
        <w:ind w:left="567" w:hanging="567"/>
      </w:pPr>
      <w:r>
        <w:t>Informavimo apie pažeidimus sistemų teisėtumas ir veiksmingumas sustiprinamas, kai žiniasklaida gali saugiai ir veiksmingai pranešti apie viešojo intereso klausimus. Todėl daugelis suinteresuotųjų subjektų teigė, kad konfidencialumo taisyklės neturėtų būti taikomos taip siaurai, kad būtų užkirstas kelias sunkių pažeidimų atskleidimui arba nepagrįstai apribota žiniasklaidos vykdoma kontrolė</w:t>
      </w:r>
      <w:r w:rsidR="00AE7832" w:rsidRPr="00F37C6A">
        <w:rPr>
          <w:rStyle w:val="FootnoteReference"/>
        </w:rPr>
        <w:footnoteReference w:id="69"/>
      </w:r>
      <w:r>
        <w:t>.</w:t>
      </w:r>
    </w:p>
    <w:p w14:paraId="5383A344" w14:textId="77777777" w:rsidR="000552D1" w:rsidRPr="00F37C6A" w:rsidRDefault="000552D1" w:rsidP="00A055D1"/>
    <w:p w14:paraId="3544E3AE" w14:textId="55215097" w:rsidR="00DE75FE" w:rsidRPr="00F37C6A" w:rsidRDefault="007529FB" w:rsidP="00A055D1">
      <w:pPr>
        <w:pStyle w:val="Heading2"/>
        <w:ind w:left="567" w:hanging="567"/>
      </w:pPr>
      <w:r>
        <w:t>Vertinime taip pat pabrėžiama informuotumo didinimo kampanijų svarba siekiant pakeisti kultūrinį požiūrį į informavimą apie pažeidimus ir užtikrinti, kad piliečiai būtų informuojami apie savo teises</w:t>
      </w:r>
      <w:r w:rsidR="007A7191" w:rsidRPr="00F37C6A">
        <w:rPr>
          <w:rStyle w:val="FootnoteReference"/>
        </w:rPr>
        <w:footnoteReference w:id="70"/>
      </w:r>
      <w:r>
        <w:t>.</w:t>
      </w:r>
    </w:p>
    <w:p w14:paraId="5858CE35" w14:textId="77777777" w:rsidR="000552D1" w:rsidRPr="00F37C6A" w:rsidRDefault="000552D1" w:rsidP="00A055D1"/>
    <w:p w14:paraId="35ADC668" w14:textId="684BD16E" w:rsidR="000552D1" w:rsidRPr="00F37C6A" w:rsidRDefault="009431A5" w:rsidP="00A055D1">
      <w:pPr>
        <w:pStyle w:val="Heading2"/>
        <w:ind w:left="567" w:hanging="567"/>
      </w:pPr>
      <w:r>
        <w:t>Siekiant pašalinti tebesitęsiantį netikrumą dėl faktinio direktyvos poveikio, ataskaitų teikimo rezultatų ir tolesnių veiksmų, EESRK rekomenduoja valstybėms narėms rinkti duomenis apie informavimo apie pažeidimus procedūras ir užtikrinti, kad tie duomenys būtų prieinami</w:t>
      </w:r>
      <w:r w:rsidR="002C1B45" w:rsidRPr="00F37C6A">
        <w:rPr>
          <w:rStyle w:val="FootnoteReference"/>
        </w:rPr>
        <w:footnoteReference w:id="71"/>
      </w:r>
      <w:r>
        <w:t>. Tokie duomenys yra labai svarbūs vertinant sistemos nuoseklumą ir nustatant struktūrinius trūkumus.</w:t>
      </w:r>
    </w:p>
    <w:p w14:paraId="2C2D62BB" w14:textId="3FAE5814" w:rsidR="00DB296E" w:rsidRDefault="00DB296E" w:rsidP="00A055D1">
      <w:pPr>
        <w:overflowPunct/>
        <w:adjustRightInd/>
        <w:jc w:val="center"/>
        <w:textAlignment w:val="auto"/>
      </w:pPr>
    </w:p>
    <w:p w14:paraId="7CC0D675" w14:textId="1E986769" w:rsidR="00650DD9" w:rsidRPr="006A66FB" w:rsidRDefault="00650DD9" w:rsidP="00A055D1">
      <w:r>
        <w:t>Briuselis, 2026 m. gegužės 27 d.</w:t>
      </w:r>
    </w:p>
    <w:p w14:paraId="0CF04C54" w14:textId="77777777" w:rsidR="00650DD9" w:rsidRPr="006A66FB" w:rsidRDefault="00650DD9" w:rsidP="00A055D1">
      <w:pPr>
        <w:rPr>
          <w:lang w:val="en-US"/>
        </w:rPr>
      </w:pPr>
    </w:p>
    <w:p w14:paraId="79ACF5DF" w14:textId="77777777" w:rsidR="00650DD9" w:rsidRPr="006A66FB" w:rsidRDefault="00650DD9" w:rsidP="00A055D1">
      <w:pPr>
        <w:rPr>
          <w:lang w:val="en-US"/>
        </w:rPr>
      </w:pPr>
    </w:p>
    <w:p w14:paraId="7B617786" w14:textId="77777777" w:rsidR="00650DD9" w:rsidRDefault="00650DD9" w:rsidP="00A055D1">
      <w:pPr>
        <w:overflowPunct/>
        <w:adjustRightInd/>
        <w:jc w:val="left"/>
        <w:textAlignment w:val="auto"/>
        <w:rPr>
          <w:i/>
          <w:iCs/>
        </w:rPr>
      </w:pPr>
      <w:r>
        <w:rPr>
          <w:i/>
        </w:rPr>
        <w:t>Užimtumo, socialinių reikalų ir pilietybės skyriaus pirmininkė</w:t>
      </w:r>
    </w:p>
    <w:p w14:paraId="0BDADE05" w14:textId="65335846" w:rsidR="00650DD9" w:rsidRDefault="00650DD9" w:rsidP="003878E0">
      <w:pPr>
        <w:overflowPunct/>
        <w:adjustRightInd/>
        <w:jc w:val="left"/>
        <w:textAlignment w:val="auto"/>
      </w:pPr>
      <w:proofErr w:type="spellStart"/>
      <w:r>
        <w:t>Cinzia</w:t>
      </w:r>
      <w:proofErr w:type="spellEnd"/>
      <w:r>
        <w:t xml:space="preserve"> DEL RIO</w:t>
      </w:r>
    </w:p>
    <w:p w14:paraId="6E522A42" w14:textId="6ADC9AD9" w:rsidR="00646AC2" w:rsidRPr="00717184" w:rsidRDefault="3E1CF757" w:rsidP="00A055D1">
      <w:pPr>
        <w:overflowPunct/>
        <w:adjustRightInd/>
        <w:jc w:val="center"/>
        <w:textAlignment w:val="auto"/>
      </w:pPr>
      <w:r>
        <w:t>____________</w:t>
      </w:r>
    </w:p>
    <w:sectPr w:rsidR="00646AC2" w:rsidRPr="00717184" w:rsidSect="00A055D1">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94D7" w14:textId="77777777" w:rsidR="00447380" w:rsidRPr="00F37C6A" w:rsidRDefault="00447380">
      <w:r w:rsidRPr="00F37C6A">
        <w:separator/>
      </w:r>
    </w:p>
  </w:endnote>
  <w:endnote w:type="continuationSeparator" w:id="0">
    <w:p w14:paraId="26943214" w14:textId="77777777" w:rsidR="00447380" w:rsidRPr="00F37C6A" w:rsidRDefault="00447380">
      <w:r w:rsidRPr="00F37C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69FB" w14:textId="77777777" w:rsidR="00ED0597" w:rsidRPr="00A055D1" w:rsidRDefault="00ED0597" w:rsidP="00A05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4E" w14:textId="7B99CB54" w:rsidR="00CC0EA0" w:rsidRPr="00A055D1" w:rsidRDefault="00A055D1" w:rsidP="00A055D1">
    <w:pPr>
      <w:pStyle w:val="Footer"/>
    </w:pPr>
    <w:r>
      <w:t xml:space="preserve">SOC/847 – EESC-2025-04143-00-00-RESE-TRA (EN) </w:t>
    </w:r>
    <w:r>
      <w:fldChar w:fldCharType="begin"/>
    </w:r>
    <w:r>
      <w:instrText xml:space="preserve"> PAGE  \* Arabic  \* MERGEFORMAT </w:instrText>
    </w:r>
    <w:r>
      <w:fldChar w:fldCharType="separate"/>
    </w:r>
    <w:r w:rsidR="00E02AE5">
      <w:t>1</w:t>
    </w:r>
    <w:r>
      <w:fldChar w:fldCharType="end"/>
    </w:r>
    <w:r>
      <w:t>/</w:t>
    </w:r>
    <w:fldSimple w:instr=" NUMPAGES ">
      <w:r w:rsidR="00E02AE5">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E622" w14:textId="77777777" w:rsidR="00ED0597" w:rsidRPr="00A055D1" w:rsidRDefault="00ED0597" w:rsidP="00A055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1741" w14:textId="77777777" w:rsidR="00533D1A" w:rsidRPr="00A055D1" w:rsidRDefault="00533D1A" w:rsidP="00A055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4" w14:textId="15597A68" w:rsidR="00CC0EA0" w:rsidRPr="00A055D1" w:rsidRDefault="00A055D1" w:rsidP="00A055D1">
    <w:pPr>
      <w:pStyle w:val="Footer"/>
    </w:pPr>
    <w:r>
      <w:t xml:space="preserve">SOC/847 – EESC-2025-04143-00-00-RESE-TRA (EN) </w:t>
    </w:r>
    <w:r>
      <w:fldChar w:fldCharType="begin"/>
    </w:r>
    <w:r>
      <w:instrText xml:space="preserve"> PAGE  \* Arabic  \* MERGEFORMAT </w:instrText>
    </w:r>
    <w:r>
      <w:fldChar w:fldCharType="separate"/>
    </w:r>
    <w:r>
      <w:t>2</w:t>
    </w:r>
    <w:r>
      <w:fldChar w:fldCharType="end"/>
    </w:r>
    <w:r>
      <w:t>/</w:t>
    </w:r>
    <w:fldSimple w:instr=" NUMPAGES ">
      <w:r>
        <w:t>13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9779" w14:textId="77777777" w:rsidR="00533D1A" w:rsidRPr="00A055D1" w:rsidRDefault="00533D1A" w:rsidP="00A05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88C8" w14:textId="77777777" w:rsidR="00447380" w:rsidRPr="00F37C6A" w:rsidRDefault="00447380">
      <w:r w:rsidRPr="00F37C6A">
        <w:separator/>
      </w:r>
    </w:p>
  </w:footnote>
  <w:footnote w:type="continuationSeparator" w:id="0">
    <w:p w14:paraId="2B91EDE1" w14:textId="77777777" w:rsidR="00447380" w:rsidRPr="00F37C6A" w:rsidRDefault="00447380">
      <w:r w:rsidRPr="00F37C6A">
        <w:continuationSeparator/>
      </w:r>
    </w:p>
  </w:footnote>
  <w:footnote w:id="1">
    <w:p w14:paraId="0EF131A1" w14:textId="2B08D1C8" w:rsidR="00CC0EA0" w:rsidRPr="00F37C6A" w:rsidRDefault="00CC0EA0" w:rsidP="00DB7C6A">
      <w:pPr>
        <w:pStyle w:val="FootnoteText"/>
        <w:ind w:left="567" w:hanging="567"/>
      </w:pPr>
      <w:r>
        <w:rPr>
          <w:rStyle w:val="FootnoteReference"/>
        </w:rPr>
        <w:footnoteRef/>
      </w:r>
      <w:r>
        <w:tab/>
        <w:t>Žr. techninį priedą, p. 55.</w:t>
      </w:r>
    </w:p>
  </w:footnote>
  <w:footnote w:id="2">
    <w:p w14:paraId="3E1A781D" w14:textId="10C82A44" w:rsidR="00CC0EA0" w:rsidRPr="00F37C6A" w:rsidRDefault="00CC0EA0" w:rsidP="00DB7C6A">
      <w:pPr>
        <w:pStyle w:val="FootnoteText"/>
        <w:ind w:left="567" w:hanging="567"/>
      </w:pPr>
      <w:r>
        <w:rPr>
          <w:rStyle w:val="FootnoteReference"/>
        </w:rPr>
        <w:footnoteRef/>
      </w:r>
      <w:r>
        <w:tab/>
        <w:t>Žr. techninį priedą, p. 57.</w:t>
      </w:r>
    </w:p>
  </w:footnote>
  <w:footnote w:id="3">
    <w:p w14:paraId="3BCBAA19" w14:textId="6A0A28B9" w:rsidR="00CC0EA0" w:rsidRPr="00F37C6A" w:rsidRDefault="00CC0EA0" w:rsidP="00DB7C6A">
      <w:pPr>
        <w:pStyle w:val="FootnoteText"/>
        <w:ind w:left="567" w:hanging="567"/>
      </w:pPr>
      <w:r>
        <w:rPr>
          <w:rStyle w:val="FootnoteReference"/>
        </w:rPr>
        <w:footnoteRef/>
      </w:r>
      <w:r>
        <w:tab/>
        <w:t>Žr. techninį priedą, p. 11, 30 ir 77 (Danija), p. 15, 31 ir 78 (Prancūzija), p. 19 ir 79 (Italija), p. 22, 33 ir 80 (Latvija), p. 34 ir 80 (Rumunija).</w:t>
      </w:r>
    </w:p>
  </w:footnote>
  <w:footnote w:id="4">
    <w:p w14:paraId="484DCD0E" w14:textId="1DA88D47" w:rsidR="00CC0EA0" w:rsidRPr="00CC0E8F" w:rsidRDefault="00CC0EA0" w:rsidP="00DB7C6A">
      <w:pPr>
        <w:pStyle w:val="FootnoteText"/>
        <w:ind w:left="567" w:hanging="567"/>
      </w:pPr>
      <w:r>
        <w:rPr>
          <w:rStyle w:val="FootnoteReference"/>
        </w:rPr>
        <w:footnoteRef/>
      </w:r>
      <w:r>
        <w:tab/>
        <w:t>Žr. techninį priedą, p. 35, 80 ir 89.</w:t>
      </w:r>
    </w:p>
  </w:footnote>
  <w:footnote w:id="5">
    <w:p w14:paraId="72685ABB" w14:textId="43D10ACA" w:rsidR="009E533D" w:rsidRPr="003878E0" w:rsidRDefault="009E533D" w:rsidP="003878E0">
      <w:pPr>
        <w:pStyle w:val="FootnoteText"/>
        <w:ind w:left="567" w:hanging="567"/>
      </w:pPr>
      <w:r>
        <w:rPr>
          <w:rStyle w:val="FootnoteReference"/>
        </w:rPr>
        <w:footnoteRef/>
      </w:r>
      <w:r>
        <w:tab/>
        <w:t>Žr. techninį priedą, p. 79.</w:t>
      </w:r>
    </w:p>
  </w:footnote>
  <w:footnote w:id="6">
    <w:p w14:paraId="51C354ED" w14:textId="42F81C7B" w:rsidR="00CC0EA0" w:rsidRPr="00F37C6A" w:rsidRDefault="00CC0EA0" w:rsidP="00DB7C6A">
      <w:pPr>
        <w:pStyle w:val="FootnoteText"/>
        <w:ind w:left="567" w:hanging="567"/>
      </w:pPr>
      <w:r>
        <w:rPr>
          <w:rStyle w:val="FootnoteReference"/>
        </w:rPr>
        <w:footnoteRef/>
      </w:r>
      <w:r>
        <w:tab/>
        <w:t>Žr. techninį priedą, p. 22 ir 53 (Italija), p. 23, 53 ir 88 (Latvija), p. 35, 45 ir 51 (Danija), p. 54 (Rumunija).</w:t>
      </w:r>
    </w:p>
  </w:footnote>
  <w:footnote w:id="7">
    <w:p w14:paraId="20B7BCDB" w14:textId="4369714D" w:rsidR="00CC0EA0" w:rsidRPr="00F37C6A" w:rsidRDefault="00CC0EA0" w:rsidP="00DB7C6A">
      <w:pPr>
        <w:pStyle w:val="FootnoteText"/>
        <w:ind w:left="567" w:hanging="567"/>
      </w:pPr>
      <w:r>
        <w:rPr>
          <w:rStyle w:val="FootnoteReference"/>
        </w:rPr>
        <w:footnoteRef/>
      </w:r>
      <w:r>
        <w:tab/>
        <w:t>Žr. techninį priedą, p. 16 (Prancūzija), p. 26 ir 34 (Rumunija), p. 33 (Latvija).</w:t>
      </w:r>
    </w:p>
  </w:footnote>
  <w:footnote w:id="8">
    <w:p w14:paraId="403D730B" w14:textId="725AF17C" w:rsidR="00CC0EA0" w:rsidRPr="00F37C6A" w:rsidRDefault="00CC0EA0" w:rsidP="00DB7C6A">
      <w:pPr>
        <w:pStyle w:val="FootnoteText"/>
        <w:ind w:left="567" w:hanging="567"/>
      </w:pPr>
      <w:r>
        <w:rPr>
          <w:rStyle w:val="FootnoteReference"/>
        </w:rPr>
        <w:footnoteRef/>
      </w:r>
      <w:r>
        <w:tab/>
        <w:t>Žr. techninį priedą, p. 35 (Danija), p. 36 (Prancūzija), p. 37 (Italija), p. 38 (Latvija).</w:t>
      </w:r>
    </w:p>
  </w:footnote>
  <w:footnote w:id="9">
    <w:p w14:paraId="10B1DBF2" w14:textId="26CE2ECA" w:rsidR="00CC0EA0" w:rsidRPr="00F37C6A" w:rsidRDefault="00CC0EA0" w:rsidP="00DB7C6A">
      <w:pPr>
        <w:pStyle w:val="FootnoteText"/>
        <w:ind w:left="567" w:hanging="567"/>
      </w:pPr>
      <w:r>
        <w:rPr>
          <w:rStyle w:val="FootnoteReference"/>
        </w:rPr>
        <w:footnoteRef/>
      </w:r>
      <w:r>
        <w:tab/>
        <w:t>Galimybės pranešti anonimiškai sukurtos Danijoje (techninis priedas, p. 13 ir 35), Prancūzijoje (p. 17), Rumunijoje (p. 26).</w:t>
      </w:r>
    </w:p>
  </w:footnote>
  <w:footnote w:id="10">
    <w:p w14:paraId="2D8AF75E" w14:textId="4EE5B97F" w:rsidR="00CC0EA0" w:rsidRPr="00F37C6A" w:rsidRDefault="00CC0EA0" w:rsidP="00DB7C6A">
      <w:pPr>
        <w:pStyle w:val="FootnoteText"/>
        <w:ind w:left="567" w:hanging="567"/>
      </w:pPr>
      <w:r>
        <w:rPr>
          <w:rStyle w:val="FootnoteReference"/>
        </w:rPr>
        <w:footnoteRef/>
      </w:r>
      <w:r>
        <w:tab/>
        <w:t>Žr. techninį priedą, p. 25 ir 38.</w:t>
      </w:r>
    </w:p>
  </w:footnote>
  <w:footnote w:id="11">
    <w:p w14:paraId="5D6321B5" w14:textId="5E0A2D3A" w:rsidR="00CC0EA0" w:rsidRPr="00F37C6A" w:rsidRDefault="00CC0EA0" w:rsidP="00DB7C6A">
      <w:pPr>
        <w:pStyle w:val="FootnoteText"/>
        <w:ind w:left="567" w:hanging="567"/>
      </w:pPr>
      <w:r>
        <w:rPr>
          <w:rStyle w:val="FootnoteReference"/>
        </w:rPr>
        <w:footnoteRef/>
      </w:r>
      <w:r>
        <w:tab/>
        <w:t>Žr. techninį priedą, p. 13 (Danija), p. 39 (Rumunija).</w:t>
      </w:r>
    </w:p>
  </w:footnote>
  <w:footnote w:id="12">
    <w:p w14:paraId="5BB62F05" w14:textId="6C2271A9" w:rsidR="00CC0EA0" w:rsidRPr="00F37C6A" w:rsidRDefault="00CC0EA0" w:rsidP="00DB7C6A">
      <w:pPr>
        <w:pStyle w:val="FootnoteText"/>
        <w:ind w:left="567" w:hanging="567"/>
      </w:pPr>
      <w:r>
        <w:rPr>
          <w:rStyle w:val="FootnoteReference"/>
        </w:rPr>
        <w:footnoteRef/>
      </w:r>
      <w:r>
        <w:tab/>
        <w:t>Žr. techninį priedą, p. 32 (Italija), p. 35 ir 45 (Danija), p. 39 (Latvija), p. 51 (Prancūzija).</w:t>
      </w:r>
    </w:p>
  </w:footnote>
  <w:footnote w:id="13">
    <w:p w14:paraId="432565A5" w14:textId="4A0DB405" w:rsidR="00CC0EA0" w:rsidRPr="00F37C6A" w:rsidRDefault="00CC0EA0" w:rsidP="00DB7C6A">
      <w:pPr>
        <w:pStyle w:val="FootnoteText"/>
        <w:ind w:left="567" w:hanging="567"/>
      </w:pPr>
      <w:r>
        <w:rPr>
          <w:rStyle w:val="FootnoteReference"/>
        </w:rPr>
        <w:footnoteRef/>
      </w:r>
      <w:r>
        <w:tab/>
        <w:t>Žr. techninį priedą, p. 49 (Latvija), p. 50 (Rumunija).</w:t>
      </w:r>
    </w:p>
  </w:footnote>
  <w:footnote w:id="14">
    <w:p w14:paraId="04201BC0" w14:textId="0AC00B5F" w:rsidR="00CC0EA0" w:rsidRPr="00F37C6A" w:rsidRDefault="00CC0EA0" w:rsidP="00DB7C6A">
      <w:pPr>
        <w:pStyle w:val="FootnoteText"/>
        <w:ind w:left="567" w:hanging="567"/>
      </w:pPr>
      <w:r>
        <w:rPr>
          <w:rStyle w:val="FootnoteReference"/>
        </w:rPr>
        <w:footnoteRef/>
      </w:r>
      <w:r>
        <w:tab/>
        <w:t>Žr. techninį priedą, p. 39.</w:t>
      </w:r>
    </w:p>
  </w:footnote>
  <w:footnote w:id="15">
    <w:p w14:paraId="7752904B" w14:textId="0480FB81" w:rsidR="00CC0EA0" w:rsidRPr="00F37C6A" w:rsidRDefault="00CC0EA0" w:rsidP="00DB7C6A">
      <w:pPr>
        <w:pStyle w:val="FootnoteText"/>
        <w:ind w:left="567" w:hanging="567"/>
      </w:pPr>
      <w:r>
        <w:rPr>
          <w:rStyle w:val="FootnoteReference"/>
        </w:rPr>
        <w:footnoteRef/>
      </w:r>
      <w:r>
        <w:tab/>
        <w:t>Žr. techninį priedą, p. 36 (Prancūzija), p. 39 ir 40 (Rumunija).</w:t>
      </w:r>
    </w:p>
  </w:footnote>
  <w:footnote w:id="16">
    <w:p w14:paraId="1BBDCBE2" w14:textId="23B27B7C" w:rsidR="00CC0EA0" w:rsidRPr="00F37C6A" w:rsidRDefault="00CC0EA0" w:rsidP="003168B9">
      <w:pPr>
        <w:pStyle w:val="FootnoteText"/>
        <w:ind w:left="567" w:hanging="567"/>
      </w:pPr>
      <w:r>
        <w:rPr>
          <w:rStyle w:val="FootnoteReference"/>
        </w:rPr>
        <w:footnoteRef/>
      </w:r>
      <w:r>
        <w:tab/>
        <w:t>Žr. techninį priedą, p. 37 ir 38 (Italija). Taip pat žr. p. 65.</w:t>
      </w:r>
    </w:p>
  </w:footnote>
  <w:footnote w:id="17">
    <w:p w14:paraId="2900B74D" w14:textId="3F330E42" w:rsidR="00CC0EA0" w:rsidRPr="00F37C6A" w:rsidRDefault="00CC0EA0" w:rsidP="00DB7C6A">
      <w:pPr>
        <w:pStyle w:val="FootnoteText"/>
        <w:ind w:left="567" w:hanging="567"/>
      </w:pPr>
      <w:r>
        <w:rPr>
          <w:rStyle w:val="FootnoteReference"/>
        </w:rPr>
        <w:footnoteRef/>
      </w:r>
      <w:r>
        <w:tab/>
        <w:t>Žr. techninį priedą, p. 36, 47 ir p. 86 (Prancūzija).</w:t>
      </w:r>
    </w:p>
  </w:footnote>
  <w:footnote w:id="18">
    <w:p w14:paraId="1017BD3F" w14:textId="24B6E068" w:rsidR="00CC0EA0" w:rsidRPr="00F37C6A" w:rsidRDefault="00CC0EA0" w:rsidP="00DB7C6A">
      <w:pPr>
        <w:pStyle w:val="FootnoteText"/>
        <w:ind w:left="567" w:hanging="567"/>
      </w:pPr>
      <w:r>
        <w:rPr>
          <w:rStyle w:val="FootnoteReference"/>
        </w:rPr>
        <w:footnoteRef/>
      </w:r>
      <w:r>
        <w:tab/>
        <w:t>Žr. techninį priedą, p. 40 (Rumunija).</w:t>
      </w:r>
    </w:p>
  </w:footnote>
  <w:footnote w:id="19">
    <w:p w14:paraId="56104AB4" w14:textId="1FE6A69B" w:rsidR="00CC0EA0" w:rsidRPr="00F37C6A" w:rsidRDefault="00CC0EA0" w:rsidP="00DB7C6A">
      <w:pPr>
        <w:pStyle w:val="FootnoteText"/>
        <w:ind w:left="567" w:hanging="567"/>
      </w:pPr>
      <w:r>
        <w:rPr>
          <w:rStyle w:val="FootnoteReference"/>
        </w:rPr>
        <w:footnoteRef/>
      </w:r>
      <w:r>
        <w:tab/>
        <w:t>Žr. techninį priedą, p. 37 ir 52 (Prancūzija).</w:t>
      </w:r>
    </w:p>
  </w:footnote>
  <w:footnote w:id="20">
    <w:p w14:paraId="350F741C" w14:textId="026A7B0A" w:rsidR="00CC0EA0" w:rsidRPr="00F37C6A" w:rsidRDefault="00CC0EA0" w:rsidP="00DB7C6A">
      <w:pPr>
        <w:pStyle w:val="FootnoteText"/>
        <w:ind w:left="567" w:hanging="567"/>
      </w:pPr>
      <w:r>
        <w:rPr>
          <w:rStyle w:val="FootnoteReference"/>
        </w:rPr>
        <w:footnoteRef/>
      </w:r>
      <w:r>
        <w:tab/>
      </w:r>
      <w:hyperlink r:id="rId1" w:history="1">
        <w:r>
          <w:rPr>
            <w:rStyle w:val="Hyperlink"/>
          </w:rPr>
          <w:t xml:space="preserve">COM(2024) 269 </w:t>
        </w:r>
        <w:proofErr w:type="spellStart"/>
        <w:r>
          <w:rPr>
            <w:rStyle w:val="Hyperlink"/>
            <w:i/>
            <w:iCs/>
          </w:rPr>
          <w:t>final</w:t>
        </w:r>
        <w:proofErr w:type="spellEnd"/>
      </w:hyperlink>
      <w:r>
        <w:t>, p. 1.</w:t>
      </w:r>
    </w:p>
  </w:footnote>
  <w:footnote w:id="21">
    <w:p w14:paraId="0DD53A00" w14:textId="2AFD818D" w:rsidR="00CC0EA0" w:rsidRPr="00F37C6A" w:rsidRDefault="00CC0EA0" w:rsidP="00DB7C6A">
      <w:pPr>
        <w:pStyle w:val="FootnoteText"/>
        <w:ind w:left="567" w:hanging="567"/>
      </w:pPr>
      <w:r>
        <w:rPr>
          <w:rStyle w:val="FootnoteReference"/>
        </w:rPr>
        <w:footnoteRef/>
      </w:r>
      <w:r>
        <w:tab/>
        <w:t>Žr. techninį priedą, p. 34 (Rumunija), p. 33 ir 49 (Latvija), p. 45 (Danija), p. 46 (Prancūzija) ir p. 48 (Italija).</w:t>
      </w:r>
    </w:p>
  </w:footnote>
  <w:footnote w:id="22">
    <w:p w14:paraId="5B10F4BC" w14:textId="3B0E312B" w:rsidR="00CC0EA0" w:rsidRPr="00F37C6A" w:rsidRDefault="00CC0EA0" w:rsidP="00DB7C6A">
      <w:pPr>
        <w:pStyle w:val="FootnoteText"/>
        <w:ind w:left="567" w:hanging="567"/>
      </w:pPr>
      <w:r>
        <w:rPr>
          <w:rStyle w:val="FootnoteReference"/>
        </w:rPr>
        <w:footnoteRef/>
      </w:r>
      <w:r>
        <w:tab/>
        <w:t>Žr. techninį priedą, p. 15 (Danija), p. 46 (Prancūzija), p. 34, 40 ir 49 (Rumunija). Rumunijos atvejis yra ypatingas, nes, anot pilietinės visuomenės atstovų, dar nė vienam pranešėjui nepavyko užsitikrinti veiksmingos apsaugos nuo atsakomųjų priemonių nacionaliniuose teismuose.</w:t>
      </w:r>
    </w:p>
  </w:footnote>
  <w:footnote w:id="23">
    <w:p w14:paraId="3A4BE1E4" w14:textId="2A8111DE" w:rsidR="00CC0EA0" w:rsidRPr="00F37C6A" w:rsidRDefault="00CC0EA0" w:rsidP="00DB7C6A">
      <w:pPr>
        <w:pStyle w:val="FootnoteText"/>
        <w:ind w:left="567" w:hanging="567"/>
      </w:pPr>
      <w:r>
        <w:rPr>
          <w:rStyle w:val="FootnoteReference"/>
        </w:rPr>
        <w:footnoteRef/>
      </w:r>
      <w:r>
        <w:tab/>
        <w:t>Žr. techninį priedą, p. 46 (Prancūzija).</w:t>
      </w:r>
    </w:p>
  </w:footnote>
  <w:footnote w:id="24">
    <w:p w14:paraId="6D6049F6" w14:textId="2A157925" w:rsidR="00CC0EA0" w:rsidRPr="00F37C6A" w:rsidRDefault="00CC0EA0" w:rsidP="00DB7C6A">
      <w:pPr>
        <w:pStyle w:val="FootnoteText"/>
        <w:ind w:left="567" w:hanging="567"/>
      </w:pPr>
      <w:r>
        <w:rPr>
          <w:rStyle w:val="FootnoteReference"/>
        </w:rPr>
        <w:footnoteRef/>
      </w:r>
      <w:r>
        <w:tab/>
        <w:t>Žr. techninį priedą, p. 48 (Italija), p. 50 (Rumunija).</w:t>
      </w:r>
    </w:p>
  </w:footnote>
  <w:footnote w:id="25">
    <w:p w14:paraId="0DCDACB3" w14:textId="14D55410" w:rsidR="00CC0EA0" w:rsidRPr="00F37C6A" w:rsidRDefault="00CC0EA0" w:rsidP="00DB7C6A">
      <w:pPr>
        <w:pStyle w:val="FootnoteText"/>
        <w:ind w:left="567" w:hanging="567"/>
      </w:pPr>
      <w:r>
        <w:rPr>
          <w:rStyle w:val="FootnoteReference"/>
        </w:rPr>
        <w:footnoteRef/>
      </w:r>
      <w:r>
        <w:tab/>
        <w:t>Žr. techninį priedą, p. 47, 52 ir 113 (Prancūzija).</w:t>
      </w:r>
    </w:p>
  </w:footnote>
  <w:footnote w:id="26">
    <w:p w14:paraId="78C22619" w14:textId="37E3427B" w:rsidR="00CC0EA0" w:rsidRPr="00F37C6A" w:rsidRDefault="00CC0EA0" w:rsidP="00DB7C6A">
      <w:pPr>
        <w:pStyle w:val="FootnoteText"/>
        <w:ind w:left="567" w:hanging="567"/>
      </w:pPr>
      <w:r>
        <w:rPr>
          <w:rStyle w:val="FootnoteReference"/>
        </w:rPr>
        <w:footnoteRef/>
      </w:r>
      <w:r>
        <w:tab/>
        <w:t>Žr. techninį priedą, p. 15 (Danija), p. 27 ir 29 (Rumunija), p. 105 (Prancūzija). Bendra informacija pateikiama p. 74.</w:t>
      </w:r>
    </w:p>
  </w:footnote>
  <w:footnote w:id="27">
    <w:p w14:paraId="37DC5C33" w14:textId="00B027DB" w:rsidR="00CC0EA0" w:rsidRPr="00F37C6A" w:rsidRDefault="00CC0EA0" w:rsidP="00DB7C6A">
      <w:pPr>
        <w:pStyle w:val="FootnoteText"/>
        <w:ind w:left="567" w:hanging="567"/>
      </w:pPr>
      <w:r>
        <w:rPr>
          <w:rStyle w:val="FootnoteReference"/>
        </w:rPr>
        <w:footnoteRef/>
      </w:r>
      <w:r>
        <w:tab/>
        <w:t>Žr. techninį priedą, p. 15 ir 45 (Danija), p. 28 (Latvija), p. 40 (Rumunija), p. 47 ir 87 (Prancūzija), p. 48 (Italija).</w:t>
      </w:r>
    </w:p>
  </w:footnote>
  <w:footnote w:id="28">
    <w:p w14:paraId="03CA2BAC" w14:textId="00F5B86E" w:rsidR="00CC0EA0" w:rsidRPr="00F37C6A" w:rsidRDefault="00CC0EA0" w:rsidP="00DB7C6A">
      <w:pPr>
        <w:pStyle w:val="FootnoteText"/>
        <w:ind w:left="567" w:hanging="567"/>
      </w:pPr>
      <w:r>
        <w:rPr>
          <w:rStyle w:val="FootnoteReference"/>
        </w:rPr>
        <w:footnoteRef/>
      </w:r>
      <w:r>
        <w:tab/>
        <w:t>Žr. techninį priedą, p. 40.</w:t>
      </w:r>
    </w:p>
  </w:footnote>
  <w:footnote w:id="29">
    <w:p w14:paraId="5ED834DA" w14:textId="6DB10C75" w:rsidR="00CC0EA0" w:rsidRPr="00F37C6A" w:rsidRDefault="00CC0EA0" w:rsidP="00D74814">
      <w:pPr>
        <w:pStyle w:val="FootnoteText"/>
        <w:ind w:left="567" w:hanging="567"/>
      </w:pPr>
      <w:r>
        <w:rPr>
          <w:rStyle w:val="FootnoteReference"/>
        </w:rPr>
        <w:footnoteRef/>
      </w:r>
      <w:r>
        <w:tab/>
        <w:t>Žr. techninį priedą, p. 88 (Latvija).</w:t>
      </w:r>
    </w:p>
  </w:footnote>
  <w:footnote w:id="30">
    <w:p w14:paraId="520B0193" w14:textId="6155AC9E" w:rsidR="00CC0EA0" w:rsidRPr="00F37C6A" w:rsidRDefault="00CC0EA0" w:rsidP="00DB7C6A">
      <w:pPr>
        <w:pStyle w:val="FootnoteText"/>
        <w:ind w:left="567" w:hanging="567"/>
      </w:pPr>
      <w:r>
        <w:rPr>
          <w:rStyle w:val="FootnoteReference"/>
        </w:rPr>
        <w:footnoteRef/>
      </w:r>
      <w:r>
        <w:tab/>
        <w:t>Žr. techninį priedą, p. 33 ir p. 58 (Rumunija), p. 44 (Latvija), p. 53 (Danija).</w:t>
      </w:r>
    </w:p>
  </w:footnote>
  <w:footnote w:id="31">
    <w:p w14:paraId="3DAA0387" w14:textId="7CE61E7E" w:rsidR="00CC0EA0" w:rsidRPr="00F37C6A" w:rsidRDefault="00CC0EA0" w:rsidP="00DB7C6A">
      <w:pPr>
        <w:pStyle w:val="FootnoteText"/>
        <w:ind w:left="567" w:hanging="567"/>
      </w:pPr>
      <w:r>
        <w:rPr>
          <w:rStyle w:val="FootnoteReference"/>
        </w:rPr>
        <w:footnoteRef/>
      </w:r>
      <w:r>
        <w:tab/>
        <w:t>Žr. techninį priedą, p. 31, 47 ir 86 (Prancūzija), p. 48 (Italija), p. 88 (Latvija). Taip pat žr. p. 72.</w:t>
      </w:r>
    </w:p>
  </w:footnote>
  <w:footnote w:id="32">
    <w:p w14:paraId="665E941A" w14:textId="11020A75" w:rsidR="00CC0EA0" w:rsidRPr="00F37C6A" w:rsidRDefault="00CC0EA0" w:rsidP="00DB7C6A">
      <w:pPr>
        <w:pStyle w:val="FootnoteText"/>
        <w:ind w:left="567" w:hanging="567"/>
      </w:pPr>
      <w:r>
        <w:rPr>
          <w:rStyle w:val="FootnoteReference"/>
        </w:rPr>
        <w:footnoteRef/>
      </w:r>
      <w:r>
        <w:tab/>
        <w:t>Žr. techninį priedą, p. 50 ir 89 (Rumunija), p. 31 ir 52 (Prancūzija), p. 89 (Latvija).</w:t>
      </w:r>
    </w:p>
  </w:footnote>
  <w:footnote w:id="33">
    <w:p w14:paraId="74DE5BC1" w14:textId="6A725356" w:rsidR="00CC0EA0" w:rsidRPr="00F37C6A" w:rsidRDefault="00CC0EA0" w:rsidP="00DB7C6A">
      <w:pPr>
        <w:pStyle w:val="FootnoteText"/>
        <w:ind w:left="567" w:hanging="567"/>
      </w:pPr>
      <w:r>
        <w:rPr>
          <w:rStyle w:val="FootnoteReference"/>
        </w:rPr>
        <w:footnoteRef/>
      </w:r>
      <w:r>
        <w:tab/>
        <w:t>Žr. techninį priedą, p. 38 (Italija), p. 39 (Latvija), p. 50 ir 89 (Rumunija), p. 82 (Danija), p. 118 (Prancūzija).</w:t>
      </w:r>
    </w:p>
  </w:footnote>
  <w:footnote w:id="34">
    <w:p w14:paraId="44C55498" w14:textId="6AF0B046" w:rsidR="00CC0EA0" w:rsidRPr="00F37C6A" w:rsidRDefault="00CC0EA0" w:rsidP="00DB7C6A">
      <w:pPr>
        <w:pStyle w:val="FootnoteText"/>
        <w:ind w:left="567" w:hanging="567"/>
      </w:pPr>
      <w:r>
        <w:rPr>
          <w:rStyle w:val="FootnoteReference"/>
        </w:rPr>
        <w:footnoteRef/>
      </w:r>
      <w:r>
        <w:tab/>
        <w:t>Žr. techninį priedą, p. 31 ir 87 (Prancūzija), p. 45 ir 85 (Danija).</w:t>
      </w:r>
    </w:p>
  </w:footnote>
  <w:footnote w:id="35">
    <w:p w14:paraId="590C8110" w14:textId="663FE787" w:rsidR="00CC0EA0" w:rsidRPr="00F37C6A" w:rsidRDefault="00CC0EA0" w:rsidP="00DB7C6A">
      <w:pPr>
        <w:pStyle w:val="FootnoteText"/>
        <w:ind w:left="567" w:hanging="567"/>
      </w:pPr>
      <w:r>
        <w:rPr>
          <w:rStyle w:val="FootnoteReference"/>
        </w:rPr>
        <w:footnoteRef/>
      </w:r>
      <w:r>
        <w:tab/>
        <w:t>Žr. techninį priedą, p. 46 ir 86.</w:t>
      </w:r>
    </w:p>
  </w:footnote>
  <w:footnote w:id="36">
    <w:p w14:paraId="46F294FC" w14:textId="6ABAEF87" w:rsidR="00CC0EA0" w:rsidRPr="00F37C6A" w:rsidRDefault="00CC0EA0" w:rsidP="00DB7C6A">
      <w:pPr>
        <w:pStyle w:val="FootnoteText"/>
        <w:ind w:left="567" w:hanging="567"/>
      </w:pPr>
      <w:r>
        <w:rPr>
          <w:rStyle w:val="FootnoteReference"/>
        </w:rPr>
        <w:footnoteRef/>
      </w:r>
      <w:r>
        <w:tab/>
        <w:t>Žr. techninį priedą, p. 77 (Danija), p. 31 ir 78 (Prancūzija), p. 79 (Italija), p. 80 (Latvija), p. 80 (Rumunija).</w:t>
      </w:r>
    </w:p>
  </w:footnote>
  <w:footnote w:id="37">
    <w:p w14:paraId="2F9F2FD9" w14:textId="045461E0" w:rsidR="00CC0EA0" w:rsidRPr="00F37C6A" w:rsidRDefault="00CC0EA0" w:rsidP="00DB7C6A">
      <w:pPr>
        <w:pStyle w:val="FootnoteText"/>
        <w:ind w:left="567" w:hanging="567"/>
      </w:pPr>
      <w:r>
        <w:rPr>
          <w:rStyle w:val="FootnoteReference"/>
        </w:rPr>
        <w:footnoteRef/>
      </w:r>
      <w:r>
        <w:tab/>
        <w:t>Žr. techninį priedą, p. 30, 35, 77 ir 112.</w:t>
      </w:r>
    </w:p>
  </w:footnote>
  <w:footnote w:id="38">
    <w:p w14:paraId="567C7F96" w14:textId="3A5874E7" w:rsidR="009E533D" w:rsidRPr="003878E0" w:rsidRDefault="009E533D" w:rsidP="003878E0">
      <w:pPr>
        <w:pStyle w:val="FootnoteText"/>
        <w:ind w:left="567" w:hanging="567"/>
      </w:pPr>
      <w:r>
        <w:rPr>
          <w:rStyle w:val="FootnoteReference"/>
        </w:rPr>
        <w:footnoteRef/>
      </w:r>
      <w:r>
        <w:tab/>
        <w:t>Žr. techninį priedą p. 80.</w:t>
      </w:r>
    </w:p>
  </w:footnote>
  <w:footnote w:id="39">
    <w:p w14:paraId="7EE0E765" w14:textId="21EA1715" w:rsidR="00CC0EA0" w:rsidRPr="00F37C6A" w:rsidRDefault="00CC0EA0" w:rsidP="003168B9">
      <w:pPr>
        <w:pStyle w:val="FootnoteText"/>
        <w:ind w:left="567" w:hanging="567"/>
      </w:pPr>
      <w:r>
        <w:rPr>
          <w:rStyle w:val="FootnoteReference"/>
        </w:rPr>
        <w:footnoteRef/>
      </w:r>
      <w:r>
        <w:tab/>
        <w:t>Žr. techninį priedą, p. 51 ir 90 (Danija), p. 52 ir 91 (Prancūzija), p. 53 (Italija), p. 54 (Rumunija).</w:t>
      </w:r>
    </w:p>
  </w:footnote>
  <w:footnote w:id="40">
    <w:p w14:paraId="4B18CC2A" w14:textId="21309147" w:rsidR="00CC0EA0" w:rsidRPr="00F37C6A" w:rsidRDefault="00CC0EA0" w:rsidP="00DB7C6A">
      <w:pPr>
        <w:pStyle w:val="FootnoteText"/>
        <w:ind w:left="567" w:hanging="567"/>
      </w:pPr>
      <w:r>
        <w:rPr>
          <w:rStyle w:val="FootnoteReference"/>
        </w:rPr>
        <w:footnoteRef/>
      </w:r>
      <w:r>
        <w:tab/>
        <w:t>Žr. techninį priedą, p. 90 (Danija), p. 91 (Prancūzija), p. 92 (Italija), p. 93 (Latvija) ir p. 54 ir 94 (Rumunija).</w:t>
      </w:r>
    </w:p>
  </w:footnote>
  <w:footnote w:id="41">
    <w:p w14:paraId="67126FCB" w14:textId="5F42271C" w:rsidR="00CC0EA0" w:rsidRPr="00F37C6A" w:rsidRDefault="00CC0EA0" w:rsidP="00DB7C6A">
      <w:pPr>
        <w:pStyle w:val="FootnoteText"/>
        <w:ind w:left="567" w:hanging="567"/>
      </w:pPr>
      <w:r>
        <w:rPr>
          <w:rStyle w:val="FootnoteReference"/>
        </w:rPr>
        <w:footnoteRef/>
      </w:r>
      <w:r>
        <w:tab/>
        <w:t>Žr. techninį priedą, p. 93 (Latvija).</w:t>
      </w:r>
    </w:p>
  </w:footnote>
  <w:footnote w:id="42">
    <w:p w14:paraId="66D52BD9" w14:textId="1F463E3A" w:rsidR="00CC0EA0" w:rsidRPr="00F37C6A" w:rsidRDefault="00CC0EA0" w:rsidP="00DB7C6A">
      <w:pPr>
        <w:pStyle w:val="FootnoteText"/>
        <w:ind w:left="567" w:hanging="567"/>
      </w:pPr>
      <w:r>
        <w:rPr>
          <w:rStyle w:val="FootnoteReference"/>
        </w:rPr>
        <w:footnoteRef/>
      </w:r>
      <w:r>
        <w:tab/>
        <w:t>Žr. techninį priedą, p. 6.</w:t>
      </w:r>
    </w:p>
  </w:footnote>
  <w:footnote w:id="43">
    <w:p w14:paraId="6A3B1F4C" w14:textId="34322F36" w:rsidR="00CC0EA0" w:rsidRPr="00F37C6A" w:rsidRDefault="00CC0EA0" w:rsidP="00DB7C6A">
      <w:pPr>
        <w:pStyle w:val="FootnoteText"/>
        <w:ind w:left="567" w:hanging="567"/>
      </w:pPr>
      <w:r>
        <w:rPr>
          <w:rStyle w:val="FootnoteReference"/>
        </w:rPr>
        <w:footnoteRef/>
      </w:r>
      <w:r>
        <w:tab/>
        <w:t>Žr. techninį priedą, p. 23 ir 84 (Latvija), p. 30 ir 81 (Danija).</w:t>
      </w:r>
    </w:p>
  </w:footnote>
  <w:footnote w:id="44">
    <w:p w14:paraId="57228D18" w14:textId="0449E73D" w:rsidR="00CC0EA0" w:rsidRPr="00F37C6A" w:rsidRDefault="00CC0EA0" w:rsidP="00DB7C6A">
      <w:pPr>
        <w:pStyle w:val="FootnoteText"/>
        <w:ind w:left="567" w:hanging="567"/>
      </w:pPr>
      <w:r>
        <w:rPr>
          <w:rStyle w:val="FootnoteReference"/>
        </w:rPr>
        <w:footnoteRef/>
      </w:r>
      <w:r>
        <w:tab/>
        <w:t>Žr. techninį priedą, p. 82 (Prancūzija), p. 83 (Italija).</w:t>
      </w:r>
    </w:p>
  </w:footnote>
  <w:footnote w:id="45">
    <w:p w14:paraId="39F8750D" w14:textId="2238C09D" w:rsidR="00CC0EA0" w:rsidRPr="00F37C6A" w:rsidRDefault="00CC0EA0" w:rsidP="00DB7C6A">
      <w:pPr>
        <w:pStyle w:val="FootnoteText"/>
        <w:ind w:left="567" w:hanging="567"/>
      </w:pPr>
      <w:r>
        <w:rPr>
          <w:rStyle w:val="FootnoteReference"/>
        </w:rPr>
        <w:footnoteRef/>
      </w:r>
      <w:r>
        <w:tab/>
        <w:t>Žr. techninį priedą, p. 85 ir p. 94.</w:t>
      </w:r>
    </w:p>
  </w:footnote>
  <w:footnote w:id="46">
    <w:p w14:paraId="02B6962A" w14:textId="76421C60" w:rsidR="00CC0EA0" w:rsidRPr="00F37C6A" w:rsidRDefault="00CC0EA0" w:rsidP="00DB7C6A">
      <w:pPr>
        <w:pStyle w:val="FootnoteText"/>
        <w:ind w:left="567" w:hanging="567"/>
      </w:pPr>
      <w:r>
        <w:rPr>
          <w:rStyle w:val="FootnoteReference"/>
        </w:rPr>
        <w:footnoteRef/>
      </w:r>
      <w:r>
        <w:tab/>
        <w:t>Žr. techninį priedą, p. 83 (Italija).</w:t>
      </w:r>
    </w:p>
  </w:footnote>
  <w:footnote w:id="47">
    <w:p w14:paraId="11DB0420" w14:textId="3F1B1FB9" w:rsidR="00CC0EA0" w:rsidRPr="00F37C6A" w:rsidRDefault="00CC0EA0" w:rsidP="00DB7C6A">
      <w:pPr>
        <w:pStyle w:val="FootnoteText"/>
        <w:ind w:left="567" w:hanging="567"/>
      </w:pPr>
      <w:r>
        <w:rPr>
          <w:rStyle w:val="FootnoteReference"/>
        </w:rPr>
        <w:footnoteRef/>
      </w:r>
      <w:r>
        <w:tab/>
        <w:t>Žr. techninį priedą, p. 20.</w:t>
      </w:r>
    </w:p>
  </w:footnote>
  <w:footnote w:id="48">
    <w:p w14:paraId="1B7A4C8B" w14:textId="61478ACE" w:rsidR="00CC0EA0" w:rsidRPr="00F37C6A" w:rsidRDefault="00CC0EA0" w:rsidP="00DB7C6A">
      <w:pPr>
        <w:pStyle w:val="FootnoteText"/>
        <w:ind w:left="567" w:hanging="567"/>
      </w:pPr>
      <w:r>
        <w:rPr>
          <w:rStyle w:val="FootnoteReference"/>
        </w:rPr>
        <w:footnoteRef/>
      </w:r>
      <w:r>
        <w:tab/>
        <w:t>Žr. techninį priedą, p. 31.</w:t>
      </w:r>
    </w:p>
  </w:footnote>
  <w:footnote w:id="49">
    <w:p w14:paraId="79C18920" w14:textId="10A4EB76" w:rsidR="00CC0EA0" w:rsidRPr="00F37C6A" w:rsidRDefault="00CC0EA0" w:rsidP="00DB7C6A">
      <w:pPr>
        <w:pStyle w:val="FootnoteText"/>
        <w:ind w:left="567" w:hanging="567"/>
      </w:pPr>
      <w:r>
        <w:rPr>
          <w:rStyle w:val="FootnoteReference"/>
        </w:rPr>
        <w:footnoteRef/>
      </w:r>
      <w:r>
        <w:tab/>
        <w:t>Žr. techninį priedą, p. 36.</w:t>
      </w:r>
    </w:p>
  </w:footnote>
  <w:footnote w:id="50">
    <w:p w14:paraId="08A5D08A" w14:textId="48A855F0" w:rsidR="00CC0EA0" w:rsidRPr="00F37C6A" w:rsidRDefault="00CC0EA0" w:rsidP="00DB7C6A">
      <w:pPr>
        <w:pStyle w:val="FootnoteText"/>
        <w:ind w:left="567" w:hanging="567"/>
      </w:pPr>
      <w:r>
        <w:rPr>
          <w:rStyle w:val="FootnoteReference"/>
        </w:rPr>
        <w:footnoteRef/>
      </w:r>
      <w:r>
        <w:tab/>
        <w:t>Žr. techninį priedą, p. 36 ir 103 (Danija), p. 39, 84 ir 106 (Latvija), p. 52 ir 104 (Prancūzija), p. 105 (Italija), p. 106 (Rumunija).</w:t>
      </w:r>
    </w:p>
  </w:footnote>
  <w:footnote w:id="51">
    <w:p w14:paraId="058C9426" w14:textId="4759B408" w:rsidR="00356206" w:rsidRPr="00F37C6A" w:rsidRDefault="00356206" w:rsidP="00356206">
      <w:pPr>
        <w:pStyle w:val="FootnoteText"/>
        <w:ind w:left="567" w:hanging="567"/>
      </w:pPr>
      <w:r>
        <w:rPr>
          <w:rStyle w:val="FootnoteReference"/>
        </w:rPr>
        <w:footnoteRef/>
      </w:r>
      <w:r>
        <w:tab/>
        <w:t>Žr. techninį priedą, p. 103 (Danija), p. 104 ir 108 (Prancūzija), p. 105 (Italija), p. 106 (Latvija), p. 106 (Rumunija). Taip pat žr. p. 136.</w:t>
      </w:r>
    </w:p>
  </w:footnote>
  <w:footnote w:id="52">
    <w:p w14:paraId="00B610C5" w14:textId="5D97275E" w:rsidR="00CC0EA0" w:rsidRPr="00F37C6A" w:rsidRDefault="00CC0EA0" w:rsidP="00DB7C6A">
      <w:pPr>
        <w:pStyle w:val="FootnoteText"/>
        <w:ind w:left="567" w:hanging="567"/>
      </w:pPr>
      <w:r>
        <w:rPr>
          <w:rStyle w:val="FootnoteReference"/>
        </w:rPr>
        <w:footnoteRef/>
      </w:r>
      <w:r>
        <w:tab/>
        <w:t>Žr. techninį priedą, p. 103 (Danija), p. 104 ir 109 (Prancūzija), p. 105 (Italija), p. 109 (Latvija), p. 106 ir 110 (Rumunija).</w:t>
      </w:r>
    </w:p>
  </w:footnote>
  <w:footnote w:id="53">
    <w:p w14:paraId="2AF603A3" w14:textId="13EEC88E" w:rsidR="00CC0EA0" w:rsidRPr="00F37C6A" w:rsidRDefault="00CC0EA0" w:rsidP="00DB7C6A">
      <w:pPr>
        <w:pStyle w:val="FootnoteText"/>
        <w:ind w:left="567" w:hanging="567"/>
      </w:pPr>
      <w:r>
        <w:rPr>
          <w:rStyle w:val="FootnoteReference"/>
        </w:rPr>
        <w:footnoteRef/>
      </w:r>
      <w:r>
        <w:tab/>
        <w:t>Žr. techninį priedą, p. 103 (Danija), p. 47, 82, 86 ir 105 (Prancūzija), p. 105 (Italija), p. 106 (Latvija).</w:t>
      </w:r>
    </w:p>
  </w:footnote>
  <w:footnote w:id="54">
    <w:p w14:paraId="1419F8DA" w14:textId="31DA9EE6" w:rsidR="00CC0EA0" w:rsidRPr="00F37C6A" w:rsidRDefault="00CC0EA0" w:rsidP="00DB7C6A">
      <w:pPr>
        <w:pStyle w:val="FootnoteText"/>
        <w:ind w:left="567" w:hanging="567"/>
      </w:pPr>
      <w:r>
        <w:rPr>
          <w:rStyle w:val="FootnoteReference"/>
        </w:rPr>
        <w:footnoteRef/>
      </w:r>
      <w:r>
        <w:tab/>
        <w:t>Žr. techninį priedą, p. 34, 41, 44, 99, 102 ir 111 (Rumunija), p. 41, 100 ir 108 (Danija), p. 42 ir 101 (Prancūzija), p. 43, 101 ir 109 (Italija), p. 43, 102 ir 110 (Latvija).</w:t>
      </w:r>
    </w:p>
  </w:footnote>
  <w:footnote w:id="55">
    <w:p w14:paraId="055BC557" w14:textId="6E313446" w:rsidR="00CC0EA0" w:rsidRPr="00F37C6A" w:rsidRDefault="00CC0EA0" w:rsidP="00DB7C6A">
      <w:pPr>
        <w:pStyle w:val="FootnoteText"/>
        <w:ind w:left="567" w:hanging="567"/>
      </w:pPr>
      <w:r>
        <w:rPr>
          <w:rStyle w:val="FootnoteReference"/>
        </w:rPr>
        <w:footnoteRef/>
      </w:r>
      <w:r>
        <w:tab/>
        <w:t>Žr. techninį priedą, p. 42 ir p. 100 (Prancūzija).</w:t>
      </w:r>
    </w:p>
  </w:footnote>
  <w:footnote w:id="56">
    <w:p w14:paraId="61403039" w14:textId="13A8D0F2" w:rsidR="00CC0EA0" w:rsidRPr="00F37C6A" w:rsidRDefault="00CC0EA0" w:rsidP="00DB7C6A">
      <w:pPr>
        <w:pStyle w:val="FootnoteText"/>
        <w:ind w:left="567" w:hanging="567"/>
      </w:pPr>
      <w:r>
        <w:rPr>
          <w:rStyle w:val="FootnoteReference"/>
        </w:rPr>
        <w:footnoteRef/>
      </w:r>
      <w:r>
        <w:tab/>
        <w:t>Žr. techninį priedą, p. 111 (Danija), p. 114 (Rumunija).</w:t>
      </w:r>
    </w:p>
  </w:footnote>
  <w:footnote w:id="57">
    <w:p w14:paraId="6CA5B107" w14:textId="4E649314" w:rsidR="00CC0EA0" w:rsidRPr="00F37C6A" w:rsidRDefault="00CC0EA0" w:rsidP="00DB7C6A">
      <w:pPr>
        <w:pStyle w:val="FootnoteText"/>
        <w:ind w:left="567" w:hanging="567"/>
      </w:pPr>
      <w:r>
        <w:rPr>
          <w:rStyle w:val="FootnoteReference"/>
        </w:rPr>
        <w:footnoteRef/>
      </w:r>
      <w:r>
        <w:tab/>
        <w:t>Žr. techninį priedą, p. 112 (Danija), p. 112 (Prancūzija), p. 113 (Italija), p. 114 (Latvija), p. 114 (Rumunija).</w:t>
      </w:r>
    </w:p>
  </w:footnote>
  <w:footnote w:id="58">
    <w:p w14:paraId="77700BD9" w14:textId="036B44D4" w:rsidR="00CC0EA0" w:rsidRPr="00F37C6A" w:rsidRDefault="00CC0EA0" w:rsidP="00DB7C6A">
      <w:pPr>
        <w:pStyle w:val="FootnoteText"/>
        <w:ind w:left="567" w:hanging="567"/>
      </w:pPr>
      <w:r>
        <w:rPr>
          <w:rStyle w:val="FootnoteReference"/>
        </w:rPr>
        <w:footnoteRef/>
      </w:r>
      <w:r>
        <w:tab/>
        <w:t>Žr. techninį priedą, p. 52 ir p. 113 (Prancūzija).</w:t>
      </w:r>
    </w:p>
  </w:footnote>
  <w:footnote w:id="59">
    <w:p w14:paraId="5B958DF6" w14:textId="31D6E030" w:rsidR="00CC0EA0" w:rsidRPr="00F37C6A" w:rsidRDefault="00CC0EA0" w:rsidP="00DB7C6A">
      <w:pPr>
        <w:pStyle w:val="FootnoteText"/>
        <w:ind w:left="567" w:hanging="567"/>
      </w:pPr>
      <w:r>
        <w:rPr>
          <w:rStyle w:val="FootnoteReference"/>
        </w:rPr>
        <w:footnoteRef/>
      </w:r>
      <w:r>
        <w:tab/>
        <w:t>Žr. techninį priedą, p. 30, 85 ir 90.</w:t>
      </w:r>
    </w:p>
  </w:footnote>
  <w:footnote w:id="60">
    <w:p w14:paraId="41A98F73" w14:textId="43FD29DB" w:rsidR="00CC0EA0" w:rsidRPr="00F37C6A" w:rsidRDefault="00CC0EA0" w:rsidP="003168B9">
      <w:pPr>
        <w:pStyle w:val="FootnoteText"/>
        <w:ind w:left="567" w:hanging="567"/>
      </w:pPr>
      <w:r>
        <w:rPr>
          <w:rStyle w:val="FootnoteReference"/>
        </w:rPr>
        <w:footnoteRef/>
      </w:r>
      <w:r>
        <w:tab/>
        <w:t>Žr. techninį priedą, p. 55 (Prancūzija), p. 56 (Danija), p. 56 (Rumunija), p. 56 ir 88 (Latvija).</w:t>
      </w:r>
    </w:p>
  </w:footnote>
  <w:footnote w:id="61">
    <w:p w14:paraId="51F52BE6" w14:textId="1B6350E8" w:rsidR="00CC0EA0" w:rsidRPr="00CC0E8F" w:rsidRDefault="00CC0EA0" w:rsidP="00DB7C6A">
      <w:pPr>
        <w:pStyle w:val="FootnoteText"/>
        <w:ind w:left="567" w:hanging="567"/>
      </w:pPr>
      <w:r>
        <w:rPr>
          <w:rStyle w:val="FootnoteReference"/>
        </w:rPr>
        <w:footnoteRef/>
      </w:r>
      <w:r>
        <w:tab/>
        <w:t>Žr. techninį priedą, p. 124.</w:t>
      </w:r>
    </w:p>
  </w:footnote>
  <w:footnote w:id="62">
    <w:p w14:paraId="18D2F929" w14:textId="3AA9BBF5" w:rsidR="007C475A" w:rsidRPr="003878E0" w:rsidRDefault="007C475A" w:rsidP="003878E0">
      <w:pPr>
        <w:pStyle w:val="FootnoteText"/>
        <w:ind w:left="567" w:hanging="567"/>
      </w:pPr>
      <w:r>
        <w:rPr>
          <w:rStyle w:val="FootnoteReference"/>
        </w:rPr>
        <w:footnoteRef/>
      </w:r>
      <w:r>
        <w:tab/>
        <w:t>Žr. techninį priedą p. 93.</w:t>
      </w:r>
    </w:p>
  </w:footnote>
  <w:footnote w:id="63">
    <w:p w14:paraId="0F61F296" w14:textId="4C2381FD" w:rsidR="00CC0EA0" w:rsidRPr="00F37C6A" w:rsidRDefault="00CC0EA0" w:rsidP="00DB7C6A">
      <w:pPr>
        <w:pStyle w:val="FootnoteText"/>
        <w:ind w:left="567" w:hanging="567"/>
      </w:pPr>
      <w:r>
        <w:rPr>
          <w:rStyle w:val="FootnoteReference"/>
        </w:rPr>
        <w:footnoteRef/>
      </w:r>
      <w:r>
        <w:tab/>
        <w:t>Žr. techninį priedą, p. 77 (Danija), p. 78 (Prancūzija), p. 79 (Italija), p. 80 (Latvija), p. 80 (Rumunija). Taip pat žr. p. 95.</w:t>
      </w:r>
    </w:p>
  </w:footnote>
  <w:footnote w:id="64">
    <w:p w14:paraId="5A4C92DE" w14:textId="4184849D" w:rsidR="00CC0EA0" w:rsidRPr="00F37C6A" w:rsidRDefault="00CC0EA0" w:rsidP="00DB7C6A">
      <w:pPr>
        <w:pStyle w:val="FootnoteText"/>
        <w:ind w:left="567" w:hanging="567"/>
      </w:pPr>
      <w:r>
        <w:rPr>
          <w:rStyle w:val="FootnoteReference"/>
        </w:rPr>
        <w:footnoteRef/>
      </w:r>
      <w:r>
        <w:tab/>
        <w:t>Žr. techninį priedą, p. 87 (Prancūzija), p. 88 (Italija).</w:t>
      </w:r>
    </w:p>
  </w:footnote>
  <w:footnote w:id="65">
    <w:p w14:paraId="3442DC61" w14:textId="13E052C7" w:rsidR="00CC0EA0" w:rsidRPr="00F37C6A" w:rsidRDefault="00CC0EA0" w:rsidP="00DB7C6A">
      <w:pPr>
        <w:pStyle w:val="FootnoteText"/>
        <w:ind w:left="567" w:hanging="567"/>
      </w:pPr>
      <w:r>
        <w:rPr>
          <w:rStyle w:val="FootnoteReference"/>
        </w:rPr>
        <w:footnoteRef/>
      </w:r>
      <w:r>
        <w:tab/>
        <w:t>Žr. techninį priedą, p. 33 (Rumunija), p. 33 ir 49 (Latvija), p. 45 (Danija), 46 ir 54 (Prancūzija), 48 (Italija).</w:t>
      </w:r>
    </w:p>
  </w:footnote>
  <w:footnote w:id="66">
    <w:p w14:paraId="12F659D1" w14:textId="74D7154A" w:rsidR="00CC0EA0" w:rsidRPr="00F37C6A" w:rsidRDefault="00CC0EA0" w:rsidP="003168B9">
      <w:pPr>
        <w:pStyle w:val="FootnoteText"/>
        <w:tabs>
          <w:tab w:val="left" w:pos="3660"/>
        </w:tabs>
        <w:ind w:left="567" w:hanging="567"/>
      </w:pPr>
      <w:r>
        <w:rPr>
          <w:rStyle w:val="FootnoteReference"/>
        </w:rPr>
        <w:footnoteRef/>
      </w:r>
      <w:r>
        <w:tab/>
        <w:t>Žr. techninį priedą, p. 42, 101, 104 ir 109 (Prancūzija), p. 43, 101 ir 110 (Italija), p. 44 (Latvija), p. 103 (Rumunija).</w:t>
      </w:r>
      <w:r>
        <w:tab/>
      </w:r>
    </w:p>
  </w:footnote>
  <w:footnote w:id="67">
    <w:p w14:paraId="07BEBAB8" w14:textId="14251E4D" w:rsidR="00CC0EA0" w:rsidRPr="00F37C6A" w:rsidRDefault="00CC0EA0" w:rsidP="00DB7C6A">
      <w:pPr>
        <w:pStyle w:val="FootnoteText"/>
        <w:ind w:left="567" w:hanging="567"/>
      </w:pPr>
      <w:r>
        <w:rPr>
          <w:rStyle w:val="FootnoteReference"/>
        </w:rPr>
        <w:footnoteRef/>
      </w:r>
      <w:r>
        <w:tab/>
        <w:t>Žr. techninį priedą, p. 42, 100 ir 109 (Prancūzija), p. 44 (Latvija).</w:t>
      </w:r>
    </w:p>
  </w:footnote>
  <w:footnote w:id="68">
    <w:p w14:paraId="68FB6412" w14:textId="7B61DC38" w:rsidR="00CC0EA0" w:rsidRPr="00F37C6A" w:rsidRDefault="00CC0EA0" w:rsidP="003168B9">
      <w:pPr>
        <w:pStyle w:val="FootnoteText"/>
        <w:ind w:left="567" w:hanging="567"/>
      </w:pPr>
      <w:r>
        <w:rPr>
          <w:rStyle w:val="FootnoteReference"/>
        </w:rPr>
        <w:footnoteRef/>
      </w:r>
      <w:r>
        <w:tab/>
        <w:t>Žr. techninį priedą, p. 41, 100 ir 108 (Danija), p. 42, 101 ir 108 (Prancūzija), p. 45 ir 111 (Rumunija), p. 102 ir 110 (Latvija).</w:t>
      </w:r>
    </w:p>
  </w:footnote>
  <w:footnote w:id="69">
    <w:p w14:paraId="2AF0565F" w14:textId="2BB113EA" w:rsidR="00AE7832" w:rsidRPr="00F37C6A" w:rsidRDefault="00AE7832" w:rsidP="003168B9">
      <w:pPr>
        <w:pStyle w:val="FootnoteText"/>
        <w:ind w:left="567" w:hanging="567"/>
      </w:pPr>
      <w:r>
        <w:rPr>
          <w:rStyle w:val="FootnoteReference"/>
        </w:rPr>
        <w:footnoteRef/>
      </w:r>
      <w:r>
        <w:tab/>
        <w:t>Žr. techninį priedą, p. 113 (Prancūzija).</w:t>
      </w:r>
    </w:p>
  </w:footnote>
  <w:footnote w:id="70">
    <w:p w14:paraId="7A1D8E4A" w14:textId="36424683" w:rsidR="00CC0EA0" w:rsidRPr="00F37C6A" w:rsidRDefault="00CC0EA0" w:rsidP="003168B9">
      <w:pPr>
        <w:pStyle w:val="FootnoteText"/>
        <w:ind w:left="567" w:hanging="567"/>
      </w:pPr>
      <w:r>
        <w:rPr>
          <w:rStyle w:val="FootnoteReference"/>
        </w:rPr>
        <w:footnoteRef/>
      </w:r>
      <w:r>
        <w:tab/>
        <w:t>Žr. techninį priedą, p. 40 (Rumunija) ir p. 125 (bendra informacija).</w:t>
      </w:r>
    </w:p>
  </w:footnote>
  <w:footnote w:id="71">
    <w:p w14:paraId="467D73B8" w14:textId="7520B8A2" w:rsidR="00CC0EA0" w:rsidRPr="00642478" w:rsidRDefault="00CC0EA0" w:rsidP="003168B9">
      <w:pPr>
        <w:pStyle w:val="FootnoteText"/>
        <w:ind w:left="567" w:hanging="567"/>
      </w:pPr>
      <w:r>
        <w:rPr>
          <w:rStyle w:val="FootnoteReference"/>
        </w:rPr>
        <w:footnoteRef/>
      </w:r>
      <w:r>
        <w:tab/>
        <w:t>Žr. techninį priedą, p. 45 (Danija),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CD462" w14:textId="77777777" w:rsidR="00ED0597" w:rsidRPr="00A055D1" w:rsidRDefault="00ED0597" w:rsidP="00A05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3901" w14:textId="141396C0" w:rsidR="00ED0597" w:rsidRPr="00A055D1" w:rsidRDefault="00ED0597" w:rsidP="00A055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5227" w14:textId="77777777" w:rsidR="00ED0597" w:rsidRPr="00A055D1" w:rsidRDefault="00ED0597" w:rsidP="00A055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5EBB" w14:textId="77777777" w:rsidR="00533D1A" w:rsidRPr="00A055D1" w:rsidRDefault="00533D1A" w:rsidP="00A055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8DDF" w14:textId="4806D208" w:rsidR="00533D1A" w:rsidRPr="00A055D1" w:rsidRDefault="00533D1A" w:rsidP="00A055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ED71" w14:textId="77777777" w:rsidR="00533D1A" w:rsidRPr="00A055D1" w:rsidRDefault="00533D1A" w:rsidP="00A0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6D4D17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2AB8"/>
    <w:rsid w:val="00005AB9"/>
    <w:rsid w:val="00005EB9"/>
    <w:rsid w:val="00006E24"/>
    <w:rsid w:val="00007A40"/>
    <w:rsid w:val="00010536"/>
    <w:rsid w:val="000134C2"/>
    <w:rsid w:val="00017B01"/>
    <w:rsid w:val="00017B45"/>
    <w:rsid w:val="00020E6E"/>
    <w:rsid w:val="00030B95"/>
    <w:rsid w:val="00031A4B"/>
    <w:rsid w:val="00032AB5"/>
    <w:rsid w:val="00033838"/>
    <w:rsid w:val="00033913"/>
    <w:rsid w:val="00033DB4"/>
    <w:rsid w:val="00033E5B"/>
    <w:rsid w:val="000357A8"/>
    <w:rsid w:val="000413E4"/>
    <w:rsid w:val="0004242C"/>
    <w:rsid w:val="000430A6"/>
    <w:rsid w:val="00044923"/>
    <w:rsid w:val="00051304"/>
    <w:rsid w:val="0005249C"/>
    <w:rsid w:val="000534A5"/>
    <w:rsid w:val="000552D1"/>
    <w:rsid w:val="0005680D"/>
    <w:rsid w:val="00061265"/>
    <w:rsid w:val="00061555"/>
    <w:rsid w:val="00063FB4"/>
    <w:rsid w:val="00064FC5"/>
    <w:rsid w:val="00066BB4"/>
    <w:rsid w:val="00067218"/>
    <w:rsid w:val="0006793E"/>
    <w:rsid w:val="000718B5"/>
    <w:rsid w:val="00072E0F"/>
    <w:rsid w:val="000735E5"/>
    <w:rsid w:val="0007392F"/>
    <w:rsid w:val="00077E4A"/>
    <w:rsid w:val="0008035E"/>
    <w:rsid w:val="000833F9"/>
    <w:rsid w:val="00085CD7"/>
    <w:rsid w:val="00087B39"/>
    <w:rsid w:val="0009297E"/>
    <w:rsid w:val="00093DE0"/>
    <w:rsid w:val="00096502"/>
    <w:rsid w:val="000976C1"/>
    <w:rsid w:val="000A44BA"/>
    <w:rsid w:val="000A49BB"/>
    <w:rsid w:val="000A5670"/>
    <w:rsid w:val="000B4C60"/>
    <w:rsid w:val="000B7FB5"/>
    <w:rsid w:val="000C1229"/>
    <w:rsid w:val="000C3441"/>
    <w:rsid w:val="000C4215"/>
    <w:rsid w:val="000C7F53"/>
    <w:rsid w:val="000D2DCC"/>
    <w:rsid w:val="000D2F8E"/>
    <w:rsid w:val="000D7A6A"/>
    <w:rsid w:val="000E2875"/>
    <w:rsid w:val="000F196B"/>
    <w:rsid w:val="000F5A08"/>
    <w:rsid w:val="00102488"/>
    <w:rsid w:val="00105361"/>
    <w:rsid w:val="001101F8"/>
    <w:rsid w:val="0011206F"/>
    <w:rsid w:val="00114E8B"/>
    <w:rsid w:val="0011656A"/>
    <w:rsid w:val="0012220C"/>
    <w:rsid w:val="00125F86"/>
    <w:rsid w:val="00130B9A"/>
    <w:rsid w:val="00135258"/>
    <w:rsid w:val="0013603B"/>
    <w:rsid w:val="00136EA3"/>
    <w:rsid w:val="00136EAA"/>
    <w:rsid w:val="00137575"/>
    <w:rsid w:val="00137B9A"/>
    <w:rsid w:val="00137EDA"/>
    <w:rsid w:val="001410E0"/>
    <w:rsid w:val="00144231"/>
    <w:rsid w:val="00147066"/>
    <w:rsid w:val="00150434"/>
    <w:rsid w:val="00152BBC"/>
    <w:rsid w:val="00155721"/>
    <w:rsid w:val="00162672"/>
    <w:rsid w:val="00164924"/>
    <w:rsid w:val="0016503F"/>
    <w:rsid w:val="0016504B"/>
    <w:rsid w:val="00165802"/>
    <w:rsid w:val="0016674F"/>
    <w:rsid w:val="001667B4"/>
    <w:rsid w:val="001678BE"/>
    <w:rsid w:val="00167CA0"/>
    <w:rsid w:val="00170C4D"/>
    <w:rsid w:val="0017120D"/>
    <w:rsid w:val="001714F6"/>
    <w:rsid w:val="00176168"/>
    <w:rsid w:val="00177158"/>
    <w:rsid w:val="00177D02"/>
    <w:rsid w:val="001818D9"/>
    <w:rsid w:val="00184FD4"/>
    <w:rsid w:val="00186B04"/>
    <w:rsid w:val="00186E5D"/>
    <w:rsid w:val="00186F1E"/>
    <w:rsid w:val="00190836"/>
    <w:rsid w:val="00193930"/>
    <w:rsid w:val="00194B2A"/>
    <w:rsid w:val="00194B36"/>
    <w:rsid w:val="001960C6"/>
    <w:rsid w:val="001963A5"/>
    <w:rsid w:val="00196F1E"/>
    <w:rsid w:val="00197251"/>
    <w:rsid w:val="00197FCA"/>
    <w:rsid w:val="001A04A5"/>
    <w:rsid w:val="001A27DB"/>
    <w:rsid w:val="001A56F4"/>
    <w:rsid w:val="001A6852"/>
    <w:rsid w:val="001A6C13"/>
    <w:rsid w:val="001A763E"/>
    <w:rsid w:val="001B286A"/>
    <w:rsid w:val="001B2D02"/>
    <w:rsid w:val="001B3647"/>
    <w:rsid w:val="001B77FA"/>
    <w:rsid w:val="001C0ABE"/>
    <w:rsid w:val="001C5852"/>
    <w:rsid w:val="001C6D9E"/>
    <w:rsid w:val="001D164B"/>
    <w:rsid w:val="001D3144"/>
    <w:rsid w:val="001D45F0"/>
    <w:rsid w:val="001D4A95"/>
    <w:rsid w:val="001E1335"/>
    <w:rsid w:val="001E2E84"/>
    <w:rsid w:val="001E4A33"/>
    <w:rsid w:val="001E5C27"/>
    <w:rsid w:val="001E7C5D"/>
    <w:rsid w:val="001F1604"/>
    <w:rsid w:val="001F171D"/>
    <w:rsid w:val="001F367F"/>
    <w:rsid w:val="001F602B"/>
    <w:rsid w:val="001F6AC8"/>
    <w:rsid w:val="0020340B"/>
    <w:rsid w:val="002037D5"/>
    <w:rsid w:val="00206F90"/>
    <w:rsid w:val="00211D82"/>
    <w:rsid w:val="002124FF"/>
    <w:rsid w:val="00212B03"/>
    <w:rsid w:val="002143A2"/>
    <w:rsid w:val="00215C10"/>
    <w:rsid w:val="00215C2D"/>
    <w:rsid w:val="002227ED"/>
    <w:rsid w:val="002252C4"/>
    <w:rsid w:val="002269CC"/>
    <w:rsid w:val="00226EB8"/>
    <w:rsid w:val="00227849"/>
    <w:rsid w:val="002300BA"/>
    <w:rsid w:val="002303AE"/>
    <w:rsid w:val="0023140A"/>
    <w:rsid w:val="0023144E"/>
    <w:rsid w:val="0023183E"/>
    <w:rsid w:val="002341FC"/>
    <w:rsid w:val="00234E22"/>
    <w:rsid w:val="00235138"/>
    <w:rsid w:val="00236C92"/>
    <w:rsid w:val="00240637"/>
    <w:rsid w:val="00240FE0"/>
    <w:rsid w:val="00243D9C"/>
    <w:rsid w:val="00243E36"/>
    <w:rsid w:val="0024540B"/>
    <w:rsid w:val="00245EF4"/>
    <w:rsid w:val="002501BA"/>
    <w:rsid w:val="00250E11"/>
    <w:rsid w:val="00251383"/>
    <w:rsid w:val="002522C9"/>
    <w:rsid w:val="00252A21"/>
    <w:rsid w:val="00253519"/>
    <w:rsid w:val="00253E4F"/>
    <w:rsid w:val="002542E4"/>
    <w:rsid w:val="002563BF"/>
    <w:rsid w:val="00256555"/>
    <w:rsid w:val="00256BF1"/>
    <w:rsid w:val="002570E1"/>
    <w:rsid w:val="00257725"/>
    <w:rsid w:val="00261053"/>
    <w:rsid w:val="0026162B"/>
    <w:rsid w:val="00262FDE"/>
    <w:rsid w:val="00263629"/>
    <w:rsid w:val="00263D8C"/>
    <w:rsid w:val="00265162"/>
    <w:rsid w:val="002769BD"/>
    <w:rsid w:val="00277467"/>
    <w:rsid w:val="002809EA"/>
    <w:rsid w:val="00284962"/>
    <w:rsid w:val="00287B0E"/>
    <w:rsid w:val="00294631"/>
    <w:rsid w:val="00294F04"/>
    <w:rsid w:val="0029549C"/>
    <w:rsid w:val="002A0B53"/>
    <w:rsid w:val="002A0EEF"/>
    <w:rsid w:val="002A107D"/>
    <w:rsid w:val="002A15C3"/>
    <w:rsid w:val="002A5BC8"/>
    <w:rsid w:val="002A6CB3"/>
    <w:rsid w:val="002B1A67"/>
    <w:rsid w:val="002B2DF7"/>
    <w:rsid w:val="002B7394"/>
    <w:rsid w:val="002C1B45"/>
    <w:rsid w:val="002C1D46"/>
    <w:rsid w:val="002C3919"/>
    <w:rsid w:val="002C3BF4"/>
    <w:rsid w:val="002C3DFA"/>
    <w:rsid w:val="002C6B27"/>
    <w:rsid w:val="002C749F"/>
    <w:rsid w:val="002C774E"/>
    <w:rsid w:val="002D6819"/>
    <w:rsid w:val="002D6CC5"/>
    <w:rsid w:val="002E381E"/>
    <w:rsid w:val="002F059B"/>
    <w:rsid w:val="002F4097"/>
    <w:rsid w:val="002F454E"/>
    <w:rsid w:val="002F5B0B"/>
    <w:rsid w:val="002F7E2C"/>
    <w:rsid w:val="0030000E"/>
    <w:rsid w:val="003005A9"/>
    <w:rsid w:val="00300924"/>
    <w:rsid w:val="0030596E"/>
    <w:rsid w:val="003073C3"/>
    <w:rsid w:val="003168B9"/>
    <w:rsid w:val="00320144"/>
    <w:rsid w:val="00320675"/>
    <w:rsid w:val="00323637"/>
    <w:rsid w:val="00324698"/>
    <w:rsid w:val="00324E8A"/>
    <w:rsid w:val="003301FC"/>
    <w:rsid w:val="00330E8C"/>
    <w:rsid w:val="00331D87"/>
    <w:rsid w:val="00332850"/>
    <w:rsid w:val="00334478"/>
    <w:rsid w:val="003346B4"/>
    <w:rsid w:val="00334AE6"/>
    <w:rsid w:val="003365D0"/>
    <w:rsid w:val="003439AB"/>
    <w:rsid w:val="00354695"/>
    <w:rsid w:val="0035549B"/>
    <w:rsid w:val="00355563"/>
    <w:rsid w:val="00356206"/>
    <w:rsid w:val="00364350"/>
    <w:rsid w:val="00364888"/>
    <w:rsid w:val="00366D97"/>
    <w:rsid w:val="00367DD7"/>
    <w:rsid w:val="00370358"/>
    <w:rsid w:val="00370A1F"/>
    <w:rsid w:val="003755C8"/>
    <w:rsid w:val="00375687"/>
    <w:rsid w:val="00375C20"/>
    <w:rsid w:val="00377B31"/>
    <w:rsid w:val="00377F66"/>
    <w:rsid w:val="0038034C"/>
    <w:rsid w:val="00380AE0"/>
    <w:rsid w:val="00383324"/>
    <w:rsid w:val="00383497"/>
    <w:rsid w:val="003878E0"/>
    <w:rsid w:val="00387A75"/>
    <w:rsid w:val="003904FD"/>
    <w:rsid w:val="00394254"/>
    <w:rsid w:val="003953BB"/>
    <w:rsid w:val="003B09F7"/>
    <w:rsid w:val="003B48F2"/>
    <w:rsid w:val="003B69F4"/>
    <w:rsid w:val="003C0F70"/>
    <w:rsid w:val="003C2BFB"/>
    <w:rsid w:val="003C436B"/>
    <w:rsid w:val="003C5337"/>
    <w:rsid w:val="003C5F92"/>
    <w:rsid w:val="003C6AF6"/>
    <w:rsid w:val="003D7A8C"/>
    <w:rsid w:val="003D7C00"/>
    <w:rsid w:val="003E0EB4"/>
    <w:rsid w:val="003E1AEA"/>
    <w:rsid w:val="003E40EE"/>
    <w:rsid w:val="003E423D"/>
    <w:rsid w:val="003E56E5"/>
    <w:rsid w:val="003E7E60"/>
    <w:rsid w:val="003F00D4"/>
    <w:rsid w:val="003F0EDB"/>
    <w:rsid w:val="003F2209"/>
    <w:rsid w:val="003F3426"/>
    <w:rsid w:val="003F3D39"/>
    <w:rsid w:val="003F4A8E"/>
    <w:rsid w:val="003F5830"/>
    <w:rsid w:val="003F646A"/>
    <w:rsid w:val="003F6761"/>
    <w:rsid w:val="003F6A0A"/>
    <w:rsid w:val="004016B7"/>
    <w:rsid w:val="004024F5"/>
    <w:rsid w:val="00402DE1"/>
    <w:rsid w:val="00403D8B"/>
    <w:rsid w:val="004058F1"/>
    <w:rsid w:val="00407E7D"/>
    <w:rsid w:val="0041283D"/>
    <w:rsid w:val="00413AB4"/>
    <w:rsid w:val="00413DA6"/>
    <w:rsid w:val="00416381"/>
    <w:rsid w:val="00421373"/>
    <w:rsid w:val="004214C4"/>
    <w:rsid w:val="00421660"/>
    <w:rsid w:val="00421FB7"/>
    <w:rsid w:val="00426E65"/>
    <w:rsid w:val="0042763B"/>
    <w:rsid w:val="0043024C"/>
    <w:rsid w:val="00433CC8"/>
    <w:rsid w:val="00436706"/>
    <w:rsid w:val="00442185"/>
    <w:rsid w:val="00443D38"/>
    <w:rsid w:val="00444BB8"/>
    <w:rsid w:val="004453D9"/>
    <w:rsid w:val="00447380"/>
    <w:rsid w:val="00450E7A"/>
    <w:rsid w:val="0045305C"/>
    <w:rsid w:val="00456AF8"/>
    <w:rsid w:val="004610B8"/>
    <w:rsid w:val="004644F3"/>
    <w:rsid w:val="004651B8"/>
    <w:rsid w:val="004705C7"/>
    <w:rsid w:val="00470B15"/>
    <w:rsid w:val="004741D9"/>
    <w:rsid w:val="00475869"/>
    <w:rsid w:val="00475A77"/>
    <w:rsid w:val="004765AC"/>
    <w:rsid w:val="004801EB"/>
    <w:rsid w:val="004806AA"/>
    <w:rsid w:val="00481B91"/>
    <w:rsid w:val="00482DDC"/>
    <w:rsid w:val="00483E6C"/>
    <w:rsid w:val="004866A9"/>
    <w:rsid w:val="00486CBF"/>
    <w:rsid w:val="0049073A"/>
    <w:rsid w:val="0049113F"/>
    <w:rsid w:val="00492774"/>
    <w:rsid w:val="004933A7"/>
    <w:rsid w:val="00496D7A"/>
    <w:rsid w:val="00497125"/>
    <w:rsid w:val="004978A2"/>
    <w:rsid w:val="004A00C9"/>
    <w:rsid w:val="004A31BC"/>
    <w:rsid w:val="004A3F1A"/>
    <w:rsid w:val="004A3F45"/>
    <w:rsid w:val="004A50D0"/>
    <w:rsid w:val="004A6279"/>
    <w:rsid w:val="004A658E"/>
    <w:rsid w:val="004B149C"/>
    <w:rsid w:val="004B1AFA"/>
    <w:rsid w:val="004B5CEE"/>
    <w:rsid w:val="004B6047"/>
    <w:rsid w:val="004B7088"/>
    <w:rsid w:val="004C03FD"/>
    <w:rsid w:val="004C43D7"/>
    <w:rsid w:val="004C5B76"/>
    <w:rsid w:val="004C5B89"/>
    <w:rsid w:val="004C7070"/>
    <w:rsid w:val="004D02CD"/>
    <w:rsid w:val="004D0B24"/>
    <w:rsid w:val="004D364A"/>
    <w:rsid w:val="004D4B90"/>
    <w:rsid w:val="004D5A44"/>
    <w:rsid w:val="004D6B95"/>
    <w:rsid w:val="004D7F41"/>
    <w:rsid w:val="004E03A2"/>
    <w:rsid w:val="004E317E"/>
    <w:rsid w:val="004E3954"/>
    <w:rsid w:val="004E5856"/>
    <w:rsid w:val="004F093D"/>
    <w:rsid w:val="004F2330"/>
    <w:rsid w:val="004F39DD"/>
    <w:rsid w:val="004F454C"/>
    <w:rsid w:val="004F53C6"/>
    <w:rsid w:val="004F69DB"/>
    <w:rsid w:val="004F6B87"/>
    <w:rsid w:val="00501840"/>
    <w:rsid w:val="00501C2D"/>
    <w:rsid w:val="00502637"/>
    <w:rsid w:val="00506E1E"/>
    <w:rsid w:val="00511140"/>
    <w:rsid w:val="00513CFE"/>
    <w:rsid w:val="0052264C"/>
    <w:rsid w:val="00522E60"/>
    <w:rsid w:val="00523B6A"/>
    <w:rsid w:val="00525F6C"/>
    <w:rsid w:val="00533D1A"/>
    <w:rsid w:val="00540003"/>
    <w:rsid w:val="00541739"/>
    <w:rsid w:val="005419CF"/>
    <w:rsid w:val="005446D5"/>
    <w:rsid w:val="0054585D"/>
    <w:rsid w:val="00546AB4"/>
    <w:rsid w:val="005514E0"/>
    <w:rsid w:val="005514E5"/>
    <w:rsid w:val="00553374"/>
    <w:rsid w:val="005617DD"/>
    <w:rsid w:val="0056258F"/>
    <w:rsid w:val="00563C84"/>
    <w:rsid w:val="00565841"/>
    <w:rsid w:val="0056593B"/>
    <w:rsid w:val="005668E8"/>
    <w:rsid w:val="005714D9"/>
    <w:rsid w:val="00572139"/>
    <w:rsid w:val="005751B1"/>
    <w:rsid w:val="005762F6"/>
    <w:rsid w:val="0057631F"/>
    <w:rsid w:val="00584EC0"/>
    <w:rsid w:val="00584FBE"/>
    <w:rsid w:val="00585483"/>
    <w:rsid w:val="00587378"/>
    <w:rsid w:val="00587C05"/>
    <w:rsid w:val="00590AAB"/>
    <w:rsid w:val="005938C3"/>
    <w:rsid w:val="0059468C"/>
    <w:rsid w:val="00595125"/>
    <w:rsid w:val="005957EA"/>
    <w:rsid w:val="00596F21"/>
    <w:rsid w:val="005A1483"/>
    <w:rsid w:val="005A2AA6"/>
    <w:rsid w:val="005A57D1"/>
    <w:rsid w:val="005A695C"/>
    <w:rsid w:val="005B1CDD"/>
    <w:rsid w:val="005B1E19"/>
    <w:rsid w:val="005B2BB2"/>
    <w:rsid w:val="005B55FC"/>
    <w:rsid w:val="005C2268"/>
    <w:rsid w:val="005C2D5E"/>
    <w:rsid w:val="005C3B81"/>
    <w:rsid w:val="005C650C"/>
    <w:rsid w:val="005D086C"/>
    <w:rsid w:val="005D11D3"/>
    <w:rsid w:val="005D21B1"/>
    <w:rsid w:val="005D4403"/>
    <w:rsid w:val="005D4E1F"/>
    <w:rsid w:val="005D4FB3"/>
    <w:rsid w:val="005E05F5"/>
    <w:rsid w:val="005E2F07"/>
    <w:rsid w:val="005E2FEA"/>
    <w:rsid w:val="005E3B19"/>
    <w:rsid w:val="005E536E"/>
    <w:rsid w:val="005E5E65"/>
    <w:rsid w:val="005F2C93"/>
    <w:rsid w:val="005F314B"/>
    <w:rsid w:val="005F3B4F"/>
    <w:rsid w:val="0060060B"/>
    <w:rsid w:val="00602291"/>
    <w:rsid w:val="0060284A"/>
    <w:rsid w:val="00606872"/>
    <w:rsid w:val="00607818"/>
    <w:rsid w:val="00611AF2"/>
    <w:rsid w:val="0061212B"/>
    <w:rsid w:val="006127AF"/>
    <w:rsid w:val="006158DF"/>
    <w:rsid w:val="00615FB2"/>
    <w:rsid w:val="00617BD1"/>
    <w:rsid w:val="00617CE8"/>
    <w:rsid w:val="00621955"/>
    <w:rsid w:val="00622DAC"/>
    <w:rsid w:val="00624376"/>
    <w:rsid w:val="00624432"/>
    <w:rsid w:val="006250B4"/>
    <w:rsid w:val="00626FE3"/>
    <w:rsid w:val="006278A0"/>
    <w:rsid w:val="0063095F"/>
    <w:rsid w:val="00630C35"/>
    <w:rsid w:val="00632B0A"/>
    <w:rsid w:val="0063624E"/>
    <w:rsid w:val="0064029F"/>
    <w:rsid w:val="00640B34"/>
    <w:rsid w:val="00641492"/>
    <w:rsid w:val="00642478"/>
    <w:rsid w:val="00642E5F"/>
    <w:rsid w:val="00646AC2"/>
    <w:rsid w:val="00650390"/>
    <w:rsid w:val="00650DD9"/>
    <w:rsid w:val="00650F69"/>
    <w:rsid w:val="00650F8C"/>
    <w:rsid w:val="00654DAB"/>
    <w:rsid w:val="00656374"/>
    <w:rsid w:val="0066204A"/>
    <w:rsid w:val="00666F9E"/>
    <w:rsid w:val="00670E3C"/>
    <w:rsid w:val="006746DD"/>
    <w:rsid w:val="00675ED3"/>
    <w:rsid w:val="00677F57"/>
    <w:rsid w:val="00681088"/>
    <w:rsid w:val="00681E01"/>
    <w:rsid w:val="00683277"/>
    <w:rsid w:val="00684707"/>
    <w:rsid w:val="006935A3"/>
    <w:rsid w:val="0069577E"/>
    <w:rsid w:val="0069634B"/>
    <w:rsid w:val="00696623"/>
    <w:rsid w:val="006A04E9"/>
    <w:rsid w:val="006A46EF"/>
    <w:rsid w:val="006A4A03"/>
    <w:rsid w:val="006A7543"/>
    <w:rsid w:val="006A7B7C"/>
    <w:rsid w:val="006B2364"/>
    <w:rsid w:val="006B6D42"/>
    <w:rsid w:val="006B725C"/>
    <w:rsid w:val="006C0848"/>
    <w:rsid w:val="006C273D"/>
    <w:rsid w:val="006C5C4F"/>
    <w:rsid w:val="006C6282"/>
    <w:rsid w:val="006C762A"/>
    <w:rsid w:val="006D10CD"/>
    <w:rsid w:val="006D5FF9"/>
    <w:rsid w:val="006D654A"/>
    <w:rsid w:val="006E0772"/>
    <w:rsid w:val="006E0F86"/>
    <w:rsid w:val="006E4C13"/>
    <w:rsid w:val="006E64DF"/>
    <w:rsid w:val="006E6601"/>
    <w:rsid w:val="006F03CD"/>
    <w:rsid w:val="006F06D4"/>
    <w:rsid w:val="006F0B15"/>
    <w:rsid w:val="006F0DCC"/>
    <w:rsid w:val="006F3010"/>
    <w:rsid w:val="00702139"/>
    <w:rsid w:val="00702CB1"/>
    <w:rsid w:val="00703DF9"/>
    <w:rsid w:val="007048EB"/>
    <w:rsid w:val="00704FBB"/>
    <w:rsid w:val="007059BF"/>
    <w:rsid w:val="0070726A"/>
    <w:rsid w:val="00707747"/>
    <w:rsid w:val="0071226B"/>
    <w:rsid w:val="00713367"/>
    <w:rsid w:val="00715186"/>
    <w:rsid w:val="007168B8"/>
    <w:rsid w:val="00716DC3"/>
    <w:rsid w:val="00716DCD"/>
    <w:rsid w:val="00717040"/>
    <w:rsid w:val="00717184"/>
    <w:rsid w:val="00725A3A"/>
    <w:rsid w:val="00727829"/>
    <w:rsid w:val="00730921"/>
    <w:rsid w:val="00736965"/>
    <w:rsid w:val="00737081"/>
    <w:rsid w:val="00737AB3"/>
    <w:rsid w:val="00744064"/>
    <w:rsid w:val="007509F8"/>
    <w:rsid w:val="0075153E"/>
    <w:rsid w:val="0075258F"/>
    <w:rsid w:val="007529FB"/>
    <w:rsid w:val="00755426"/>
    <w:rsid w:val="00756EBF"/>
    <w:rsid w:val="00763572"/>
    <w:rsid w:val="00766CC0"/>
    <w:rsid w:val="0077044D"/>
    <w:rsid w:val="007750A2"/>
    <w:rsid w:val="007817D6"/>
    <w:rsid w:val="007865F7"/>
    <w:rsid w:val="00786E1F"/>
    <w:rsid w:val="00787912"/>
    <w:rsid w:val="00790FED"/>
    <w:rsid w:val="0079177A"/>
    <w:rsid w:val="007919E6"/>
    <w:rsid w:val="00792A5D"/>
    <w:rsid w:val="00793E03"/>
    <w:rsid w:val="00794330"/>
    <w:rsid w:val="00794836"/>
    <w:rsid w:val="007948D5"/>
    <w:rsid w:val="007A15C9"/>
    <w:rsid w:val="007A6676"/>
    <w:rsid w:val="007A6D04"/>
    <w:rsid w:val="007A7191"/>
    <w:rsid w:val="007B5EB9"/>
    <w:rsid w:val="007B7FF5"/>
    <w:rsid w:val="007C3DC7"/>
    <w:rsid w:val="007C3FC6"/>
    <w:rsid w:val="007C475A"/>
    <w:rsid w:val="007D1124"/>
    <w:rsid w:val="007D14EA"/>
    <w:rsid w:val="007D19DD"/>
    <w:rsid w:val="007D2CE9"/>
    <w:rsid w:val="007D3194"/>
    <w:rsid w:val="007D4FED"/>
    <w:rsid w:val="007D69DA"/>
    <w:rsid w:val="007D70B1"/>
    <w:rsid w:val="007D7140"/>
    <w:rsid w:val="007E1C73"/>
    <w:rsid w:val="007E1CDB"/>
    <w:rsid w:val="007E408C"/>
    <w:rsid w:val="007E57A0"/>
    <w:rsid w:val="007E799C"/>
    <w:rsid w:val="007E7E21"/>
    <w:rsid w:val="007F0460"/>
    <w:rsid w:val="007F0DA2"/>
    <w:rsid w:val="007F28B5"/>
    <w:rsid w:val="007F34C9"/>
    <w:rsid w:val="007F39CE"/>
    <w:rsid w:val="007F5E0D"/>
    <w:rsid w:val="007F64A4"/>
    <w:rsid w:val="00801085"/>
    <w:rsid w:val="00801A89"/>
    <w:rsid w:val="00805848"/>
    <w:rsid w:val="00806787"/>
    <w:rsid w:val="008113BB"/>
    <w:rsid w:val="00812138"/>
    <w:rsid w:val="00814404"/>
    <w:rsid w:val="0081494E"/>
    <w:rsid w:val="008151F2"/>
    <w:rsid w:val="0081777A"/>
    <w:rsid w:val="00817CDB"/>
    <w:rsid w:val="008210E0"/>
    <w:rsid w:val="00824079"/>
    <w:rsid w:val="00831F0A"/>
    <w:rsid w:val="00833A78"/>
    <w:rsid w:val="00836EB3"/>
    <w:rsid w:val="008402BB"/>
    <w:rsid w:val="0084585F"/>
    <w:rsid w:val="0085160F"/>
    <w:rsid w:val="008520D3"/>
    <w:rsid w:val="00853E53"/>
    <w:rsid w:val="00855195"/>
    <w:rsid w:val="0086017F"/>
    <w:rsid w:val="00864D76"/>
    <w:rsid w:val="008656C9"/>
    <w:rsid w:val="0086711C"/>
    <w:rsid w:val="00867535"/>
    <w:rsid w:val="0087048E"/>
    <w:rsid w:val="008709FB"/>
    <w:rsid w:val="00874ED5"/>
    <w:rsid w:val="00875C5B"/>
    <w:rsid w:val="0088138B"/>
    <w:rsid w:val="00881C12"/>
    <w:rsid w:val="00882C35"/>
    <w:rsid w:val="00883C5F"/>
    <w:rsid w:val="00891C7D"/>
    <w:rsid w:val="00892FA7"/>
    <w:rsid w:val="0089506D"/>
    <w:rsid w:val="008950FB"/>
    <w:rsid w:val="008A05CD"/>
    <w:rsid w:val="008A1704"/>
    <w:rsid w:val="008A2C92"/>
    <w:rsid w:val="008A3301"/>
    <w:rsid w:val="008A3F2E"/>
    <w:rsid w:val="008A428C"/>
    <w:rsid w:val="008A4DF1"/>
    <w:rsid w:val="008A5636"/>
    <w:rsid w:val="008A7D56"/>
    <w:rsid w:val="008B125E"/>
    <w:rsid w:val="008B241C"/>
    <w:rsid w:val="008B3B7C"/>
    <w:rsid w:val="008B408B"/>
    <w:rsid w:val="008B4F11"/>
    <w:rsid w:val="008B5B13"/>
    <w:rsid w:val="008C0533"/>
    <w:rsid w:val="008C2362"/>
    <w:rsid w:val="008C2664"/>
    <w:rsid w:val="008C3049"/>
    <w:rsid w:val="008C52BA"/>
    <w:rsid w:val="008D37AD"/>
    <w:rsid w:val="008D3DF8"/>
    <w:rsid w:val="008D4AE9"/>
    <w:rsid w:val="008D5CF3"/>
    <w:rsid w:val="008D62AF"/>
    <w:rsid w:val="008D7D39"/>
    <w:rsid w:val="008E1495"/>
    <w:rsid w:val="008E4574"/>
    <w:rsid w:val="008E48DE"/>
    <w:rsid w:val="008E6BDA"/>
    <w:rsid w:val="008F3504"/>
    <w:rsid w:val="008F4016"/>
    <w:rsid w:val="008F42FE"/>
    <w:rsid w:val="008F4A00"/>
    <w:rsid w:val="008F5402"/>
    <w:rsid w:val="008F56F8"/>
    <w:rsid w:val="0090053A"/>
    <w:rsid w:val="00901C2A"/>
    <w:rsid w:val="00904F5E"/>
    <w:rsid w:val="0090661B"/>
    <w:rsid w:val="009076F9"/>
    <w:rsid w:val="009118C7"/>
    <w:rsid w:val="0091309D"/>
    <w:rsid w:val="00915FBC"/>
    <w:rsid w:val="009201A0"/>
    <w:rsid w:val="00920574"/>
    <w:rsid w:val="009225B6"/>
    <w:rsid w:val="00925090"/>
    <w:rsid w:val="00925397"/>
    <w:rsid w:val="00933A01"/>
    <w:rsid w:val="00933A21"/>
    <w:rsid w:val="00934C10"/>
    <w:rsid w:val="0093662A"/>
    <w:rsid w:val="0094060C"/>
    <w:rsid w:val="009431A5"/>
    <w:rsid w:val="00952611"/>
    <w:rsid w:val="00955A4A"/>
    <w:rsid w:val="00957E69"/>
    <w:rsid w:val="009606A5"/>
    <w:rsid w:val="00962F1F"/>
    <w:rsid w:val="00963F7E"/>
    <w:rsid w:val="0096497C"/>
    <w:rsid w:val="00965304"/>
    <w:rsid w:val="00971293"/>
    <w:rsid w:val="00971CEA"/>
    <w:rsid w:val="00973A3B"/>
    <w:rsid w:val="0097401F"/>
    <w:rsid w:val="00980411"/>
    <w:rsid w:val="00982561"/>
    <w:rsid w:val="00983EAE"/>
    <w:rsid w:val="009858B0"/>
    <w:rsid w:val="00987356"/>
    <w:rsid w:val="0098760B"/>
    <w:rsid w:val="00987999"/>
    <w:rsid w:val="0099129A"/>
    <w:rsid w:val="009942CE"/>
    <w:rsid w:val="0099624E"/>
    <w:rsid w:val="009A11DD"/>
    <w:rsid w:val="009A2C4A"/>
    <w:rsid w:val="009A40F3"/>
    <w:rsid w:val="009A6D0B"/>
    <w:rsid w:val="009B24DA"/>
    <w:rsid w:val="009B2CDB"/>
    <w:rsid w:val="009B30AA"/>
    <w:rsid w:val="009B5217"/>
    <w:rsid w:val="009B5D63"/>
    <w:rsid w:val="009B6162"/>
    <w:rsid w:val="009C0A46"/>
    <w:rsid w:val="009C2D28"/>
    <w:rsid w:val="009C4798"/>
    <w:rsid w:val="009C48DE"/>
    <w:rsid w:val="009D01A2"/>
    <w:rsid w:val="009D2A11"/>
    <w:rsid w:val="009D5908"/>
    <w:rsid w:val="009D6476"/>
    <w:rsid w:val="009D6D1E"/>
    <w:rsid w:val="009D75D1"/>
    <w:rsid w:val="009E085B"/>
    <w:rsid w:val="009E1E1E"/>
    <w:rsid w:val="009E33E3"/>
    <w:rsid w:val="009E3A90"/>
    <w:rsid w:val="009E533D"/>
    <w:rsid w:val="009E7F16"/>
    <w:rsid w:val="009F38B3"/>
    <w:rsid w:val="009F4A92"/>
    <w:rsid w:val="009F5052"/>
    <w:rsid w:val="009F6DD2"/>
    <w:rsid w:val="00A00216"/>
    <w:rsid w:val="00A0077B"/>
    <w:rsid w:val="00A013D8"/>
    <w:rsid w:val="00A02291"/>
    <w:rsid w:val="00A0499A"/>
    <w:rsid w:val="00A04C85"/>
    <w:rsid w:val="00A055D1"/>
    <w:rsid w:val="00A06A10"/>
    <w:rsid w:val="00A07DEB"/>
    <w:rsid w:val="00A100F0"/>
    <w:rsid w:val="00A10889"/>
    <w:rsid w:val="00A156E6"/>
    <w:rsid w:val="00A27D86"/>
    <w:rsid w:val="00A316C0"/>
    <w:rsid w:val="00A33151"/>
    <w:rsid w:val="00A34678"/>
    <w:rsid w:val="00A36970"/>
    <w:rsid w:val="00A41EB4"/>
    <w:rsid w:val="00A43271"/>
    <w:rsid w:val="00A44BFF"/>
    <w:rsid w:val="00A501E3"/>
    <w:rsid w:val="00A50F0C"/>
    <w:rsid w:val="00A521C7"/>
    <w:rsid w:val="00A55584"/>
    <w:rsid w:val="00A56441"/>
    <w:rsid w:val="00A64409"/>
    <w:rsid w:val="00A64E82"/>
    <w:rsid w:val="00A67A0B"/>
    <w:rsid w:val="00A72C29"/>
    <w:rsid w:val="00A72DAD"/>
    <w:rsid w:val="00A736DD"/>
    <w:rsid w:val="00A74A00"/>
    <w:rsid w:val="00A757FF"/>
    <w:rsid w:val="00A81D58"/>
    <w:rsid w:val="00A82869"/>
    <w:rsid w:val="00A83F17"/>
    <w:rsid w:val="00A86BA8"/>
    <w:rsid w:val="00A8758C"/>
    <w:rsid w:val="00A87CF0"/>
    <w:rsid w:val="00A92608"/>
    <w:rsid w:val="00A92ADC"/>
    <w:rsid w:val="00A92D83"/>
    <w:rsid w:val="00A94095"/>
    <w:rsid w:val="00A96EB4"/>
    <w:rsid w:val="00AA081E"/>
    <w:rsid w:val="00AA127E"/>
    <w:rsid w:val="00AA19AE"/>
    <w:rsid w:val="00AA2096"/>
    <w:rsid w:val="00AA423D"/>
    <w:rsid w:val="00AA5B9B"/>
    <w:rsid w:val="00AA6A95"/>
    <w:rsid w:val="00AB10DE"/>
    <w:rsid w:val="00AB228D"/>
    <w:rsid w:val="00AB3668"/>
    <w:rsid w:val="00AB5ED7"/>
    <w:rsid w:val="00AC0B4C"/>
    <w:rsid w:val="00AC231D"/>
    <w:rsid w:val="00AC3072"/>
    <w:rsid w:val="00AC3478"/>
    <w:rsid w:val="00AC5085"/>
    <w:rsid w:val="00AD0AEE"/>
    <w:rsid w:val="00AD0D8C"/>
    <w:rsid w:val="00AD49E3"/>
    <w:rsid w:val="00AD4B4F"/>
    <w:rsid w:val="00AD5B16"/>
    <w:rsid w:val="00AD5CD2"/>
    <w:rsid w:val="00AE1BC8"/>
    <w:rsid w:val="00AE6789"/>
    <w:rsid w:val="00AE7832"/>
    <w:rsid w:val="00AF0616"/>
    <w:rsid w:val="00AF0872"/>
    <w:rsid w:val="00AF0E28"/>
    <w:rsid w:val="00AF5004"/>
    <w:rsid w:val="00AF63A9"/>
    <w:rsid w:val="00AF6F9B"/>
    <w:rsid w:val="00B01409"/>
    <w:rsid w:val="00B049B7"/>
    <w:rsid w:val="00B10DBD"/>
    <w:rsid w:val="00B14368"/>
    <w:rsid w:val="00B15629"/>
    <w:rsid w:val="00B17F25"/>
    <w:rsid w:val="00B22ED8"/>
    <w:rsid w:val="00B2372C"/>
    <w:rsid w:val="00B32F70"/>
    <w:rsid w:val="00B373D0"/>
    <w:rsid w:val="00B37B31"/>
    <w:rsid w:val="00B436DA"/>
    <w:rsid w:val="00B43AAA"/>
    <w:rsid w:val="00B43AF7"/>
    <w:rsid w:val="00B52796"/>
    <w:rsid w:val="00B53139"/>
    <w:rsid w:val="00B55EEF"/>
    <w:rsid w:val="00B562CE"/>
    <w:rsid w:val="00B60B84"/>
    <w:rsid w:val="00B62DE2"/>
    <w:rsid w:val="00B66EB4"/>
    <w:rsid w:val="00B674FE"/>
    <w:rsid w:val="00B7032A"/>
    <w:rsid w:val="00B706CD"/>
    <w:rsid w:val="00B72C2C"/>
    <w:rsid w:val="00B74417"/>
    <w:rsid w:val="00B74D42"/>
    <w:rsid w:val="00B75BA5"/>
    <w:rsid w:val="00B75E34"/>
    <w:rsid w:val="00B77246"/>
    <w:rsid w:val="00B83B0A"/>
    <w:rsid w:val="00B84B2A"/>
    <w:rsid w:val="00B866CD"/>
    <w:rsid w:val="00B92BAB"/>
    <w:rsid w:val="00B93034"/>
    <w:rsid w:val="00B95D11"/>
    <w:rsid w:val="00B96354"/>
    <w:rsid w:val="00B97C5D"/>
    <w:rsid w:val="00BA10CC"/>
    <w:rsid w:val="00BA1290"/>
    <w:rsid w:val="00BA3101"/>
    <w:rsid w:val="00BA3C87"/>
    <w:rsid w:val="00BB2792"/>
    <w:rsid w:val="00BB371F"/>
    <w:rsid w:val="00BB4E1D"/>
    <w:rsid w:val="00BB76BF"/>
    <w:rsid w:val="00BC1130"/>
    <w:rsid w:val="00BC1AD1"/>
    <w:rsid w:val="00BC4A58"/>
    <w:rsid w:val="00BC613B"/>
    <w:rsid w:val="00BD12C1"/>
    <w:rsid w:val="00BD45D9"/>
    <w:rsid w:val="00BD51D9"/>
    <w:rsid w:val="00BD5C76"/>
    <w:rsid w:val="00BD64E2"/>
    <w:rsid w:val="00BE4995"/>
    <w:rsid w:val="00BE4FF8"/>
    <w:rsid w:val="00BE73FA"/>
    <w:rsid w:val="00BF086C"/>
    <w:rsid w:val="00BF202A"/>
    <w:rsid w:val="00BF23C6"/>
    <w:rsid w:val="00BF3191"/>
    <w:rsid w:val="00BF429A"/>
    <w:rsid w:val="00BF62BE"/>
    <w:rsid w:val="00C004F8"/>
    <w:rsid w:val="00C021DD"/>
    <w:rsid w:val="00C0544E"/>
    <w:rsid w:val="00C07126"/>
    <w:rsid w:val="00C10419"/>
    <w:rsid w:val="00C15BE7"/>
    <w:rsid w:val="00C16853"/>
    <w:rsid w:val="00C20817"/>
    <w:rsid w:val="00C263F0"/>
    <w:rsid w:val="00C31696"/>
    <w:rsid w:val="00C330F5"/>
    <w:rsid w:val="00C333A3"/>
    <w:rsid w:val="00C33D41"/>
    <w:rsid w:val="00C344BC"/>
    <w:rsid w:val="00C34C90"/>
    <w:rsid w:val="00C35846"/>
    <w:rsid w:val="00C358B2"/>
    <w:rsid w:val="00C36F0E"/>
    <w:rsid w:val="00C40106"/>
    <w:rsid w:val="00C40AFD"/>
    <w:rsid w:val="00C41E20"/>
    <w:rsid w:val="00C42E3E"/>
    <w:rsid w:val="00C430A8"/>
    <w:rsid w:val="00C51C13"/>
    <w:rsid w:val="00C52034"/>
    <w:rsid w:val="00C525A5"/>
    <w:rsid w:val="00C5300F"/>
    <w:rsid w:val="00C56F55"/>
    <w:rsid w:val="00C6129A"/>
    <w:rsid w:val="00C66CE0"/>
    <w:rsid w:val="00C71BED"/>
    <w:rsid w:val="00C73246"/>
    <w:rsid w:val="00C744EA"/>
    <w:rsid w:val="00C747C0"/>
    <w:rsid w:val="00C81B53"/>
    <w:rsid w:val="00C82AD2"/>
    <w:rsid w:val="00C86001"/>
    <w:rsid w:val="00C90FB6"/>
    <w:rsid w:val="00C9220E"/>
    <w:rsid w:val="00C9304F"/>
    <w:rsid w:val="00C932BD"/>
    <w:rsid w:val="00C93429"/>
    <w:rsid w:val="00C9416B"/>
    <w:rsid w:val="00C9521E"/>
    <w:rsid w:val="00C967C3"/>
    <w:rsid w:val="00CA16C5"/>
    <w:rsid w:val="00CA415A"/>
    <w:rsid w:val="00CA7A35"/>
    <w:rsid w:val="00CB059B"/>
    <w:rsid w:val="00CB06B5"/>
    <w:rsid w:val="00CB1536"/>
    <w:rsid w:val="00CB4B32"/>
    <w:rsid w:val="00CB5CF6"/>
    <w:rsid w:val="00CB5F3C"/>
    <w:rsid w:val="00CB7FB8"/>
    <w:rsid w:val="00CC0E8F"/>
    <w:rsid w:val="00CC0EA0"/>
    <w:rsid w:val="00CC1F71"/>
    <w:rsid w:val="00CC1FF8"/>
    <w:rsid w:val="00CC32BF"/>
    <w:rsid w:val="00CC3E29"/>
    <w:rsid w:val="00CC5EB3"/>
    <w:rsid w:val="00CC5FFD"/>
    <w:rsid w:val="00CD0E7B"/>
    <w:rsid w:val="00CD19A3"/>
    <w:rsid w:val="00CD2210"/>
    <w:rsid w:val="00CD2ABD"/>
    <w:rsid w:val="00CD4024"/>
    <w:rsid w:val="00CD4617"/>
    <w:rsid w:val="00CD4855"/>
    <w:rsid w:val="00CD7A65"/>
    <w:rsid w:val="00CE10AD"/>
    <w:rsid w:val="00CE2569"/>
    <w:rsid w:val="00CE2D5C"/>
    <w:rsid w:val="00CE6D43"/>
    <w:rsid w:val="00CE7888"/>
    <w:rsid w:val="00CF1A1B"/>
    <w:rsid w:val="00CF25EC"/>
    <w:rsid w:val="00CF31D7"/>
    <w:rsid w:val="00CF7A41"/>
    <w:rsid w:val="00D052DF"/>
    <w:rsid w:val="00D10B39"/>
    <w:rsid w:val="00D10E1C"/>
    <w:rsid w:val="00D133A8"/>
    <w:rsid w:val="00D14774"/>
    <w:rsid w:val="00D161A3"/>
    <w:rsid w:val="00D22E49"/>
    <w:rsid w:val="00D23716"/>
    <w:rsid w:val="00D248D9"/>
    <w:rsid w:val="00D25ED8"/>
    <w:rsid w:val="00D26BA5"/>
    <w:rsid w:val="00D2746C"/>
    <w:rsid w:val="00D279F0"/>
    <w:rsid w:val="00D27F8F"/>
    <w:rsid w:val="00D316B8"/>
    <w:rsid w:val="00D31CFC"/>
    <w:rsid w:val="00D3255D"/>
    <w:rsid w:val="00D33764"/>
    <w:rsid w:val="00D340C3"/>
    <w:rsid w:val="00D409CD"/>
    <w:rsid w:val="00D42183"/>
    <w:rsid w:val="00D423D4"/>
    <w:rsid w:val="00D42CAF"/>
    <w:rsid w:val="00D4763B"/>
    <w:rsid w:val="00D500C3"/>
    <w:rsid w:val="00D5291F"/>
    <w:rsid w:val="00D53136"/>
    <w:rsid w:val="00D601EF"/>
    <w:rsid w:val="00D61533"/>
    <w:rsid w:val="00D6357D"/>
    <w:rsid w:val="00D63B2F"/>
    <w:rsid w:val="00D66990"/>
    <w:rsid w:val="00D70747"/>
    <w:rsid w:val="00D71845"/>
    <w:rsid w:val="00D7261D"/>
    <w:rsid w:val="00D73EA6"/>
    <w:rsid w:val="00D74059"/>
    <w:rsid w:val="00D74814"/>
    <w:rsid w:val="00D755FC"/>
    <w:rsid w:val="00D76B6D"/>
    <w:rsid w:val="00D76CA2"/>
    <w:rsid w:val="00D81889"/>
    <w:rsid w:val="00D84D07"/>
    <w:rsid w:val="00D8526A"/>
    <w:rsid w:val="00D86164"/>
    <w:rsid w:val="00D90E91"/>
    <w:rsid w:val="00D92B51"/>
    <w:rsid w:val="00D95E7E"/>
    <w:rsid w:val="00D97257"/>
    <w:rsid w:val="00D97B3F"/>
    <w:rsid w:val="00D97FAB"/>
    <w:rsid w:val="00DA2C36"/>
    <w:rsid w:val="00DA4746"/>
    <w:rsid w:val="00DB0C72"/>
    <w:rsid w:val="00DB296E"/>
    <w:rsid w:val="00DB381E"/>
    <w:rsid w:val="00DB53C1"/>
    <w:rsid w:val="00DB5D0F"/>
    <w:rsid w:val="00DB7C6A"/>
    <w:rsid w:val="00DC1347"/>
    <w:rsid w:val="00DC39F1"/>
    <w:rsid w:val="00DC4C48"/>
    <w:rsid w:val="00DC51EF"/>
    <w:rsid w:val="00DD0544"/>
    <w:rsid w:val="00DD11F6"/>
    <w:rsid w:val="00DE11CC"/>
    <w:rsid w:val="00DE4B35"/>
    <w:rsid w:val="00DE6DAE"/>
    <w:rsid w:val="00DE75FE"/>
    <w:rsid w:val="00DF05DD"/>
    <w:rsid w:val="00DF19C1"/>
    <w:rsid w:val="00DF54CA"/>
    <w:rsid w:val="00DF5B64"/>
    <w:rsid w:val="00DF68EA"/>
    <w:rsid w:val="00E02794"/>
    <w:rsid w:val="00E02ABE"/>
    <w:rsid w:val="00E02AE5"/>
    <w:rsid w:val="00E043E3"/>
    <w:rsid w:val="00E0505B"/>
    <w:rsid w:val="00E05D5E"/>
    <w:rsid w:val="00E11280"/>
    <w:rsid w:val="00E12359"/>
    <w:rsid w:val="00E152FF"/>
    <w:rsid w:val="00E20022"/>
    <w:rsid w:val="00E21C25"/>
    <w:rsid w:val="00E22584"/>
    <w:rsid w:val="00E232F7"/>
    <w:rsid w:val="00E2461B"/>
    <w:rsid w:val="00E24886"/>
    <w:rsid w:val="00E276FB"/>
    <w:rsid w:val="00E32595"/>
    <w:rsid w:val="00E33A74"/>
    <w:rsid w:val="00E34C98"/>
    <w:rsid w:val="00E34CB2"/>
    <w:rsid w:val="00E35609"/>
    <w:rsid w:val="00E36CA4"/>
    <w:rsid w:val="00E4030B"/>
    <w:rsid w:val="00E41256"/>
    <w:rsid w:val="00E41D56"/>
    <w:rsid w:val="00E457DF"/>
    <w:rsid w:val="00E46642"/>
    <w:rsid w:val="00E4684B"/>
    <w:rsid w:val="00E5139A"/>
    <w:rsid w:val="00E5413D"/>
    <w:rsid w:val="00E57977"/>
    <w:rsid w:val="00E6225F"/>
    <w:rsid w:val="00E635D7"/>
    <w:rsid w:val="00E6429A"/>
    <w:rsid w:val="00E67E9C"/>
    <w:rsid w:val="00E70576"/>
    <w:rsid w:val="00E71CE1"/>
    <w:rsid w:val="00E76869"/>
    <w:rsid w:val="00E76CA9"/>
    <w:rsid w:val="00E83954"/>
    <w:rsid w:val="00E91730"/>
    <w:rsid w:val="00E95EE2"/>
    <w:rsid w:val="00E96F04"/>
    <w:rsid w:val="00E97AEC"/>
    <w:rsid w:val="00EA040D"/>
    <w:rsid w:val="00EA14BD"/>
    <w:rsid w:val="00EA15A4"/>
    <w:rsid w:val="00EA20FE"/>
    <w:rsid w:val="00EA290C"/>
    <w:rsid w:val="00EA3645"/>
    <w:rsid w:val="00EB491E"/>
    <w:rsid w:val="00EB4A11"/>
    <w:rsid w:val="00EB5EB7"/>
    <w:rsid w:val="00EB601B"/>
    <w:rsid w:val="00EB681B"/>
    <w:rsid w:val="00EB693A"/>
    <w:rsid w:val="00EB7816"/>
    <w:rsid w:val="00EC1627"/>
    <w:rsid w:val="00EC3B3F"/>
    <w:rsid w:val="00EC3DC7"/>
    <w:rsid w:val="00EC4FAD"/>
    <w:rsid w:val="00EC5090"/>
    <w:rsid w:val="00ED0597"/>
    <w:rsid w:val="00ED2099"/>
    <w:rsid w:val="00ED4A4A"/>
    <w:rsid w:val="00ED7418"/>
    <w:rsid w:val="00EE1AF0"/>
    <w:rsid w:val="00EE1C09"/>
    <w:rsid w:val="00EE3CFA"/>
    <w:rsid w:val="00EE69E4"/>
    <w:rsid w:val="00EE7B49"/>
    <w:rsid w:val="00EF0D14"/>
    <w:rsid w:val="00EF2A7F"/>
    <w:rsid w:val="00EF7E90"/>
    <w:rsid w:val="00F002B6"/>
    <w:rsid w:val="00F02FC9"/>
    <w:rsid w:val="00F10AFE"/>
    <w:rsid w:val="00F15C6C"/>
    <w:rsid w:val="00F17173"/>
    <w:rsid w:val="00F2001C"/>
    <w:rsid w:val="00F20A3E"/>
    <w:rsid w:val="00F224DC"/>
    <w:rsid w:val="00F22C4E"/>
    <w:rsid w:val="00F2306A"/>
    <w:rsid w:val="00F2557E"/>
    <w:rsid w:val="00F2687F"/>
    <w:rsid w:val="00F27F29"/>
    <w:rsid w:val="00F32D54"/>
    <w:rsid w:val="00F36C54"/>
    <w:rsid w:val="00F37C6A"/>
    <w:rsid w:val="00F40D9E"/>
    <w:rsid w:val="00F418EA"/>
    <w:rsid w:val="00F41A29"/>
    <w:rsid w:val="00F4310E"/>
    <w:rsid w:val="00F43FFE"/>
    <w:rsid w:val="00F44C1C"/>
    <w:rsid w:val="00F518DF"/>
    <w:rsid w:val="00F52EA5"/>
    <w:rsid w:val="00F544DB"/>
    <w:rsid w:val="00F6365F"/>
    <w:rsid w:val="00F6502E"/>
    <w:rsid w:val="00F65663"/>
    <w:rsid w:val="00F72395"/>
    <w:rsid w:val="00F7480D"/>
    <w:rsid w:val="00F7506E"/>
    <w:rsid w:val="00F756C0"/>
    <w:rsid w:val="00F75A40"/>
    <w:rsid w:val="00F77637"/>
    <w:rsid w:val="00F7767C"/>
    <w:rsid w:val="00F8435D"/>
    <w:rsid w:val="00F8435F"/>
    <w:rsid w:val="00F87C21"/>
    <w:rsid w:val="00F87DD0"/>
    <w:rsid w:val="00F912FA"/>
    <w:rsid w:val="00F92540"/>
    <w:rsid w:val="00F93360"/>
    <w:rsid w:val="00F93753"/>
    <w:rsid w:val="00F93FE4"/>
    <w:rsid w:val="00F969AD"/>
    <w:rsid w:val="00F97E4E"/>
    <w:rsid w:val="00FA217B"/>
    <w:rsid w:val="00FA2818"/>
    <w:rsid w:val="00FA4038"/>
    <w:rsid w:val="00FA4FB3"/>
    <w:rsid w:val="00FA7574"/>
    <w:rsid w:val="00FB0BC5"/>
    <w:rsid w:val="00FB0BCC"/>
    <w:rsid w:val="00FB2239"/>
    <w:rsid w:val="00FC0FE5"/>
    <w:rsid w:val="00FC58B3"/>
    <w:rsid w:val="00FC7E41"/>
    <w:rsid w:val="00FD1ABC"/>
    <w:rsid w:val="00FD206D"/>
    <w:rsid w:val="00FD293C"/>
    <w:rsid w:val="00FD7DDF"/>
    <w:rsid w:val="00FE4C92"/>
    <w:rsid w:val="00FE51C9"/>
    <w:rsid w:val="00FE7BAD"/>
    <w:rsid w:val="00FF0FAA"/>
    <w:rsid w:val="00FF4235"/>
    <w:rsid w:val="00FF4396"/>
    <w:rsid w:val="08EDF5A3"/>
    <w:rsid w:val="3E1CF75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52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C0"/>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102488"/>
    <w:pPr>
      <w:numPr>
        <w:ilvl w:val="1"/>
        <w:numId w:val="1"/>
      </w:numPr>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rsid w:val="00A316C0"/>
    <w:pPr>
      <w:keepLines/>
      <w:spacing w:after="60" w:line="240" w:lineRule="auto"/>
      <w:ind w:left="720" w:hanging="720"/>
    </w:pPr>
    <w:rPr>
      <w:sz w:val="16"/>
    </w:rPr>
  </w:style>
  <w:style w:type="character" w:customStyle="1" w:styleId="FootnoteTextChar">
    <w:name w:val="Footnote Text Char"/>
    <w:basedOn w:val="DefaultParagraphFont"/>
    <w:link w:val="FootnoteText"/>
    <w:locked/>
    <w:rsid w:val="00CB1536"/>
    <w:rPr>
      <w:sz w:val="16"/>
      <w:szCs w:val="20"/>
      <w:lang w:eastAsia="en-US" w:bidi="ar-SA"/>
    </w:rPr>
  </w:style>
  <w:style w:type="paragraph" w:styleId="Header">
    <w:name w:val="header"/>
    <w:basedOn w:val="Normal"/>
    <w:link w:val="HeaderChar"/>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table" w:styleId="TableGrid">
    <w:name w:val="Table Grid"/>
    <w:basedOn w:val="TableNormal"/>
    <w:locked/>
    <w:rsid w:val="00920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1162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9930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C@eesc.europa.e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A52024DC0269&amp;qid=1776927565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A6WAAD5KZT2Q-1415362569-8617</_dlc_DocId>
    <_dlc_DocIdUrl xmlns="1a33af13-4045-4f88-9d7b-618e30f79918">
      <Url>http://dm/eesc/2025/_layouts/15/DocIdRedir.aspx?ID=A6WAAD5KZT2Q-1415362569-8617</Url>
      <Description>A6WAAD5KZT2Q-1415362569-8617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RESE</TermName>
          <TermId xmlns="http://schemas.microsoft.com/office/infopath/2007/PartnerControls">133bc82e-a833-4f63-96a0-e278370e9c8e</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2026-06-01T12:00:00+00:00</ProductionDate>
    <DocumentNumber xmlns="03db1768-8e83-4c4e-a8fb-1eb1d05ab6cf">4143</DocumentNumber>
    <FicheYear xmlns="1a33af13-4045-4f88-9d7b-618e30f79918" xsi:nil="true"/>
    <DossierNumber xmlns="1a33af13-4045-4f88-9d7b-618e30f79918">847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2026-06-17T12:00:00+00:00</MeetingDate>
    <TaxCatchAll xmlns="1a33af13-4045-4f88-9d7b-618e30f79918">
      <Value>75</Value>
      <Value>67</Value>
      <Value>369</Value>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Rapporteur xmlns="1a33af13-4045-4f88-9d7b-618e30f79918">BARBUCCI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303707</FicheNumber>
    <OriginalSender xmlns="1a33af13-4045-4f88-9d7b-618e30f79918">
      <UserInfo>
        <DisplayName>Siugzdinyte Ruta</DisplayName>
        <AccountId>1523</AccountId>
        <AccountType/>
      </UserInfo>
    </OriginalSender>
    <DocumentPart xmlns="1a33af13-4045-4f88-9d7b-618e30f79918">0</DocumentPart>
    <AdoptionDate xmlns="1a33af13-4045-4f88-9d7b-618e30f79918" xsi:nil="true"/>
    <RequestingService xmlns="1a33af13-4045-4f88-9d7b-618e30f79918">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1a33af13-4045-4f88-9d7b-618e30f79918">0</Documen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000CD-C396-465A-BB59-2E700D509C6D}">
  <ds:schemaRefs>
    <ds:schemaRef ds:uri="http://schemas.openxmlformats.org/officeDocument/2006/bibliography"/>
  </ds:schemaRefs>
</ds:datastoreItem>
</file>

<file path=customXml/itemProps2.xml><?xml version="1.0" encoding="utf-8"?>
<ds:datastoreItem xmlns:ds="http://schemas.openxmlformats.org/officeDocument/2006/customXml" ds:itemID="{0FBD80FA-9E95-4DDD-9B94-F5DE82CDDE7D}">
  <ds:schemaRefs>
    <ds:schemaRef ds:uri="http://schemas.microsoft.com/sharepoint/events"/>
  </ds:schemaRefs>
</ds:datastoreItem>
</file>

<file path=customXml/itemProps3.xml><?xml version="1.0" encoding="utf-8"?>
<ds:datastoreItem xmlns:ds="http://schemas.openxmlformats.org/officeDocument/2006/customXml" ds:itemID="{2C3EBC72-1B01-456B-8707-82AF90EE36EB}"/>
</file>

<file path=customXml/itemProps4.xml><?xml version="1.0" encoding="utf-8"?>
<ds:datastoreItem xmlns:ds="http://schemas.openxmlformats.org/officeDocument/2006/customXml" ds:itemID="{DB58407D-58C8-4D3E-B484-E9846F7C05F3}">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03db1768-8e83-4c4e-a8fb-1eb1d05ab6cf"/>
  </ds:schemaRefs>
</ds:datastoreItem>
</file>

<file path=customXml/itemProps5.xml><?xml version="1.0" encoding="utf-8"?>
<ds:datastoreItem xmlns:ds="http://schemas.openxmlformats.org/officeDocument/2006/customXml" ds:itemID="{64AF1A64-8936-4B32-A06F-5724FFE9A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2979</Words>
  <Characters>21103</Characters>
  <Application>Microsoft Office Word</Application>
  <DocSecurity>0</DocSecurity>
  <Lines>175</Lines>
  <Paragraphs>48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Whistleblower Protection Directive</vt: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Pranešėjų apsaugos direktyva</dc:title>
  <dc:creator/>
  <cp:keywords>EESC-2025-04143-00-00-PRE-TRA-EN</cp:keywords>
  <dc:description>Rapporteur: - BARBUCCI Original language: - EN Date of document: - 13/05/2026 Date of meeting: - 27/05/2026 External documents: -  Administrator responsible: - MME BEDATON June</dc:description>
  <cp:lastModifiedBy/>
  <cp:revision>10</cp:revision>
  <dcterms:created xsi:type="dcterms:W3CDTF">2026-05-28T07:36:00Z</dcterms:created>
  <dcterms:modified xsi:type="dcterms:W3CDTF">2026-06-01T10:47:00Z</dcterms:modified>
  <cp:category>SOC/847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28/05/2026, 23/04/2026, 12/04/2024, 17/05/2022, 04/11/2015, 27/10/2015, 19/10/2015, 09/10/2015, 05/10/2015, 05/10/2015, 26/08/2015, 26/08/2015, 25/08/2015</vt:lpwstr>
  </property>
  <property fmtid="{D5CDD505-2E9C-101B-9397-08002B2CF9AE}" pid="4" name="Pref_Time">
    <vt:lpwstr>09:32:53, 09:11:43, 12:19:36, 13:11:39, 12:10:07, 14:44:02, 16:04:16, 14:09:30, 16:24:55, 16:04:02, 08:56:14, 07:27:56, 17:31:53</vt:lpwstr>
  </property>
  <property fmtid="{D5CDD505-2E9C-101B-9397-08002B2CF9AE}" pid="5" name="Pref_User">
    <vt:lpwstr>amett, amett, enied, enied, ssex, enied, amett, tvoc, mreg, mreg, amett, enied, ssex</vt:lpwstr>
  </property>
  <property fmtid="{D5CDD505-2E9C-101B-9397-08002B2CF9AE}" pid="6" name="Pref_FileName">
    <vt:lpwstr>EESC-2025-04143-00-00-RESE-TRA-EN-CRR.docx, EESC-2025-04143-00-00-APRE-EDI sent for translation.docx, COR-EESC-2024-01326-19-00-ADMIN-ORI.docx, COR-EESC-2022-02555-00-00-ADMIN-ORI.docx, EESC-2015-05408-00-00-PA-CRR-EN.docx, EESC-2015-05408-00-01-APA-ORI.d</vt:lpwstr>
  </property>
  <property fmtid="{D5CDD505-2E9C-101B-9397-08002B2CF9AE}" pid="7" name="ContentTypeId">
    <vt:lpwstr>0x010100EA97B91038054C99906057A708A1480A007FAFB00F4882C04A82CD69E07FC3C83E</vt:lpwstr>
  </property>
  <property fmtid="{D5CDD505-2E9C-101B-9397-08002B2CF9AE}" pid="8" name="_dlc_DocIdItemGuid">
    <vt:lpwstr>0b10ddda-81b8-43df-903f-98df8f05fe07</vt:lpwstr>
  </property>
  <property fmtid="{D5CDD505-2E9C-101B-9397-08002B2CF9AE}" pid="9" name="AvailableTranslations">
    <vt:lpwstr>33;#PT|50ccc04a-eadd-42ae-a0cb-acaf45f812ba;#27;#NL|55c6556c-b4f4-441d-9acf-c498d4f838bd;#28;#SV|c2ed69e7-a339-43d7-8f22-d93680a92aa0;#16;#ES|e7a6b05b-ae16-40c8-add9-68b64b03aeba;#36;#RO|feb747a2-64cd-4299-af12-4833ddc30497;#24;#PL|1e03da61-4678-4e07-b136-b5024ca9197b;#31;#SL|98a412ae-eb01-49e9-ae3d-585a81724cfc;#37;#HU|6b229040-c589-4408-b4c1-4285663d20a8;#39;#LV|46f7e311-5d9f-4663-b433-18aeccb7ace7;#47;#BG|1a1b3951-7821-4e6a-85f5-5673fc08bd2c;#32;#MT|7df99101-6854-4a26-b53a-b88c0da02c26;#46;#SK|46d9fce0-ef79-4f71-b89b-cd6aa82426b8;#35;#FI|87606a43-d45f-42d6-b8c9-e1a3457db5b7;#43;#GA|762d2456-c427-4ecb-b312-af3dad8e258c;#12;#FR|d2afafd3-4c81-4f60-8f52-ee33f2f54ff3;#40;#DA|5d49c027-8956-412b-aa16-e85a0f96ad0e;#29;#CS|72f9705b-0217-4fd3-bea2-cbc7ed80e26e;#30;#LT|a7ff5ce7-6123-4f68-865a-a57c31810414;#5;#EN|f2175f21-25d7-44a3-96da-d6a61b075e1b;#34;#IT|0774613c-01ed-4e5d-a25d-11d2388de825;#23;#DE|f6b31e5a-26fa-4935-b661-318e46daf27e;#50;#HR|2f555653-ed1a-4fe6-8362-9082d95989e5;#41;#ET|ff6c3f4c-b02c-4c3c-ab07-2c37995a7a0a;#42;#EL|6d4f4d51-af9b-4650-94b4-4276bee85c91</vt:lpwstr>
  </property>
  <property fmtid="{D5CDD505-2E9C-101B-9397-08002B2CF9AE}" pid="10" name="DocumentType_0">
    <vt:lpwstr>RESE|133bc82e-a833-4f63-96a0-e278370e9c8e</vt:lpwstr>
  </property>
  <property fmtid="{D5CDD505-2E9C-101B-9397-08002B2CF9AE}" pid="11" name="MeetingNumber">
    <vt:i4>606</vt:i4>
  </property>
  <property fmtid="{D5CDD505-2E9C-101B-9397-08002B2CF9AE}" pid="12" name="DossierName_0">
    <vt:lpwstr>SOC|13795804-ecbd-4ce5-9693-9b8be1981b20</vt:lpwstr>
  </property>
  <property fmtid="{D5CDD505-2E9C-101B-9397-08002B2CF9AE}" pid="13" name="DocumentSource_0">
    <vt:lpwstr>EESC|422833ec-8d7e-4e65-8e4e-8bed07ffb729</vt:lpwstr>
  </property>
  <property fmtid="{D5CDD505-2E9C-101B-9397-08002B2CF9AE}" pid="14" name="DocumentNumber">
    <vt:i4>4143</vt:i4>
  </property>
  <property fmtid="{D5CDD505-2E9C-101B-9397-08002B2CF9AE}" pid="15" name="FicheYear">
    <vt:i4>2025</vt:i4>
  </property>
  <property fmtid="{D5CDD505-2E9C-101B-9397-08002B2CF9AE}" pid="16" name="DocumentVersion">
    <vt:i4>0</vt:i4>
  </property>
  <property fmtid="{D5CDD505-2E9C-101B-9397-08002B2CF9AE}" pid="17" name="DossierNumber">
    <vt:i4>847</vt:i4>
  </property>
  <property fmtid="{D5CDD505-2E9C-101B-9397-08002B2CF9AE}" pid="18" name="DocumentStatus">
    <vt:lpwstr>13;#TRA|150d2a88-1431-44e6-a8ca-0bb753ab8672</vt:lpwstr>
  </property>
  <property fmtid="{D5CDD505-2E9C-101B-9397-08002B2CF9AE}" pid="19" name="DossierName">
    <vt:lpwstr>75;#SOC|13795804-ecbd-4ce5-9693-9b8be1981b20</vt:lpwstr>
  </property>
  <property fmtid="{D5CDD505-2E9C-101B-9397-08002B2CF9AE}" pid="20" name="RequestingService">
    <vt:lpwstr>Emploi, affaires sociales, citoyenneté</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2026-06-17T12:00:00Z</vt:filetime>
  </property>
  <property fmtid="{D5CDD505-2E9C-101B-9397-08002B2CF9AE}" pid="27" name="AvailableTranslations_0">
    <vt:lpwstr>ES|e7a6b05b-ae16-40c8-add9-68b64b03aeba;SL|98a412ae-eb01-49e9-ae3d-585a81724cfc;HU|6b229040-c589-4408-b4c1-4285663d20a8;LV|46f7e311-5d9f-4663-b433-18aeccb7ace7;BG|1a1b3951-7821-4e6a-85f5-5673fc08bd2c;MT|7df99101-6854-4a26-b53a-b88c0da02c26;SK|46d9fce0-ef79-4f71-b89b-cd6aa82426b8;FR|d2afafd3-4c81-4f60-8f52-ee33f2f54ff3;DA|5d49c027-8956-412b-aa16-e85a0f96ad0e;EN|f2175f21-25d7-44a3-96da-d6a61b075e1b;DE|f6b31e5a-26fa-4935-b661-318e46daf27e;ET|ff6c3f4c-b02c-4c3c-ab07-2c37995a7a0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369;#RESE|133bc82e-a833-4f63-96a0-e278370e9c8e;#32;#MT|7df99101-6854-4a26-b53a-b88c0da02c26;#31;#SL|98a412ae-eb01-49e9-ae3d-585a81724cfc;#67;#SPL-CES|32d8cb1f-c9ec-4365-95c7-8385a18618ac;#23;#DE|f6b31e5a-26fa-4935-b661-318e46daf27e;#75;#SOC|13795804-ecbd-4ce5-9693-9b8be1981b20;#16;#ES|e7a6b05b-ae16-40c8-add9-68b64b03aeba;#15;#Unrestricted|826e22d7-d029-4ec0-a450-0c28ff673572;#13;#TRA|150d2a88-1431-44e6-a8ca-0bb753ab8672;#12;#FR|d2afafd3-4c81-4f60-8f52-ee33f2f54ff3;#47;#BG|1a1b3951-7821-4e6a-85f5-5673fc08bd2c;#46;#SK|46d9fce0-ef79-4f71-b89b-cd6aa82426b8;#8;#Final|ea5e6674-7b27-4bac-b091-73adbb394efe;#5;#EN|f2175f21-25d7-44a3-96da-d6a61b075e1b;#41;#ET|ff6c3f4c-b02c-4c3c-ab07-2c37995a7a0a;#40;#DA|5d49c027-8956-412b-aa16-e85a0f96ad0e;#39;#LV|46f7e311-5d9f-4663-b433-18aeccb7ace7;#1;#EESC|422833ec-8d7e-4e65-8e4e-8bed07ffb729;#37;#HU|6b229040-c589-4408-b4c1-4285663d20a8</vt:lpwstr>
  </property>
  <property fmtid="{D5CDD505-2E9C-101B-9397-08002B2CF9AE}" pid="31" name="Rapporteur">
    <vt:lpwstr>BARBUCCI</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303707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369;#RESE|133bc82e-a833-4f63-96a0-e278370e9c8e</vt:lpwstr>
  </property>
  <property fmtid="{D5CDD505-2E9C-101B-9397-08002B2CF9AE}" pid="39" name="DocumentLanguage">
    <vt:lpwstr>30;#LT|a7ff5ce7-6123-4f68-865a-a57c31810414</vt:lpwstr>
  </property>
  <property fmtid="{D5CDD505-2E9C-101B-9397-08002B2CF9AE}" pid="40" name="_docset_NoMedatataSyncRequired">
    <vt:lpwstr>False</vt:lpwstr>
  </property>
  <property fmtid="{D5CDD505-2E9C-101B-9397-08002B2CF9AE}" pid="41" name="ProductionDate">
    <vt:filetime>2026-05-13T12:00:00Z</vt:filetime>
  </property>
  <property fmtid="{D5CDD505-2E9C-101B-9397-08002B2CF9AE}" pid="42" name="DocumentLanguage_0">
    <vt:lpwstr>EN|f2175f21-25d7-44a3-96da-d6a61b075e1b</vt:lpwstr>
  </property>
  <property fmtid="{D5CDD505-2E9C-101B-9397-08002B2CF9AE}" pid="43" name="OriginalSender">
    <vt:lpwstr>1358;#TDriveSVCUserProd</vt:lpwstr>
  </property>
</Properties>
</file>