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229C9" w14:textId="33C19FE8" w:rsidR="00646AC2" w:rsidRPr="00F37C6A" w:rsidRDefault="00704A7E" w:rsidP="00A055D1">
      <w:pPr>
        <w:overflowPunct/>
        <w:adjustRightInd/>
        <w:jc w:val="center"/>
        <w:textAlignment w:val="auto"/>
      </w:pPr>
      <w:r>
        <w:rPr>
          <w:noProof/>
        </w:rPr>
        <w:drawing>
          <wp:inline distT="0" distB="0" distL="0" distR="0" wp14:anchorId="5273E3AE" wp14:editId="65100CA2">
            <wp:extent cx="1792605" cy="1239520"/>
            <wp:effectExtent l="0" t="0" r="0" b="0"/>
            <wp:docPr id="1" name="Picture 1" title="EESCLogo_DE"/>
            <wp:cNvGraphicFramePr/>
            <a:graphic xmlns:a="http://schemas.openxmlformats.org/drawingml/2006/main">
              <a:graphicData uri="http://schemas.openxmlformats.org/drawingml/2006/picture">
                <pic:pic xmlns:pic="http://schemas.openxmlformats.org/drawingml/2006/picture">
                  <pic:nvPicPr>
                    <pic:cNvPr id="1" name="Picture 1" title="EESCLogo_DE"/>
                    <pic:cNvPicPr/>
                  </pic:nvPicPr>
                  <pic:blipFill>
                    <a:blip r:embed="rId12"/>
                    <a:stretch>
                      <a:fillRect/>
                    </a:stretch>
                  </pic:blipFill>
                  <pic:spPr>
                    <a:xfrm>
                      <a:off x="0" y="0"/>
                      <a:ext cx="1792605" cy="1239520"/>
                    </a:xfrm>
                    <a:prstGeom prst="rect">
                      <a:avLst/>
                    </a:prstGeom>
                  </pic:spPr>
                </pic:pic>
              </a:graphicData>
            </a:graphic>
          </wp:inline>
        </w:drawing>
      </w:r>
      <w:r w:rsidR="003E0EB4">
        <w:rPr>
          <w:noProof/>
          <w:sz w:val="20"/>
        </w:rPr>
        <mc:AlternateContent>
          <mc:Choice Requires="wps">
            <w:drawing>
              <wp:anchor distT="0" distB="0" distL="114300" distR="114300" simplePos="0" relativeHeight="251659264" behindDoc="1" locked="0" layoutInCell="0" allowOverlap="1" wp14:anchorId="572791BF" wp14:editId="2620673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7E995" w14:textId="77777777" w:rsidR="00CC0EA0" w:rsidRPr="00F37C6A" w:rsidRDefault="00CC0EA0">
                            <w:pPr>
                              <w:jc w:val="center"/>
                              <w:rPr>
                                <w:rFonts w:ascii="Arial" w:hAnsi="Arial" w:cs="Arial"/>
                                <w:b/>
                                <w:bCs/>
                                <w:sz w:val="48"/>
                              </w:rPr>
                            </w:pPr>
                            <w:r>
                              <w:rPr>
                                <w:rFonts w:ascii="Arial" w:hAnsi="Arial"/>
                                <w:b/>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791BF"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F07E995" w14:textId="77777777" w:rsidR="00CC0EA0" w:rsidRPr="00F37C6A" w:rsidRDefault="00CC0EA0">
                      <w:pPr>
                        <w:jc w:val="center"/>
                        <w:rPr>
                          <w:rFonts w:ascii="Arial" w:hAnsi="Arial" w:cs="Arial"/>
                          <w:b/>
                          <w:bCs/>
                          <w:sz w:val="48"/>
                        </w:rPr>
                      </w:pPr>
                      <w:r>
                        <w:rPr>
                          <w:rFonts w:ascii="Arial" w:hAnsi="Arial"/>
                          <w:b/>
                          <w:sz w:val="48"/>
                        </w:rPr>
                        <w:t>DE</w:t>
                      </w:r>
                    </w:p>
                  </w:txbxContent>
                </v:textbox>
                <w10:wrap anchorx="page" anchory="page"/>
              </v:shape>
            </w:pict>
          </mc:Fallback>
        </mc:AlternateContent>
      </w:r>
    </w:p>
    <w:p w14:paraId="058B9A77" w14:textId="77777777" w:rsidR="003E0EB4" w:rsidRPr="00F37C6A" w:rsidRDefault="003E0EB4" w:rsidP="00A055D1">
      <w:pPr>
        <w:overflowPunct/>
        <w:adjustRightInd/>
        <w:jc w:val="left"/>
        <w:textAlignment w:val="auto"/>
      </w:pPr>
    </w:p>
    <w:p w14:paraId="6E5229CA" w14:textId="2D79FE63" w:rsidR="00646AC2" w:rsidRPr="00F37C6A" w:rsidRDefault="00F7767C" w:rsidP="00A055D1">
      <w:pPr>
        <w:overflowPunct/>
        <w:adjustRightInd/>
        <w:jc w:val="right"/>
        <w:textAlignment w:val="auto"/>
        <w:rPr>
          <w:b/>
          <w:bCs/>
        </w:rPr>
      </w:pPr>
      <w:r>
        <w:rPr>
          <w:b/>
        </w:rPr>
        <w:t>SOC/847</w:t>
      </w:r>
    </w:p>
    <w:p w14:paraId="09BFAD4C" w14:textId="5FCBF5B7" w:rsidR="001960C6" w:rsidRPr="00F37C6A" w:rsidRDefault="00F7767C" w:rsidP="00A055D1">
      <w:pPr>
        <w:overflowPunct/>
        <w:adjustRightInd/>
        <w:jc w:val="right"/>
        <w:textAlignment w:val="auto"/>
      </w:pPr>
      <w:r>
        <w:rPr>
          <w:b/>
        </w:rPr>
        <w:t>Richtlinie über den Schutz von Hinweisgebern</w:t>
      </w:r>
    </w:p>
    <w:p w14:paraId="6E5229CC" w14:textId="77777777" w:rsidR="009B30AA" w:rsidRPr="00F37C6A" w:rsidRDefault="009B30AA" w:rsidP="00A055D1">
      <w:pPr>
        <w:overflowPunct/>
        <w:adjustRightInd/>
        <w:textAlignment w:val="auto"/>
      </w:pPr>
    </w:p>
    <w:p w14:paraId="6E5229CD" w14:textId="77777777" w:rsidR="009B30AA" w:rsidRPr="00F37C6A" w:rsidRDefault="009B30AA" w:rsidP="00A055D1">
      <w:pPr>
        <w:overflowPunct/>
        <w:adjustRightInd/>
        <w:textAlignment w:val="auto"/>
      </w:pPr>
    </w:p>
    <w:p w14:paraId="222005A0" w14:textId="7AF3DD6A" w:rsidR="00AA2096" w:rsidRPr="00F37C6A" w:rsidRDefault="003168B9" w:rsidP="00A055D1">
      <w:pPr>
        <w:overflowPunct/>
        <w:adjustRightInd/>
        <w:jc w:val="center"/>
        <w:textAlignment w:val="auto"/>
        <w:rPr>
          <w:b/>
          <w:bCs/>
          <w:sz w:val="28"/>
          <w:szCs w:val="28"/>
        </w:rPr>
      </w:pPr>
      <w:r>
        <w:rPr>
          <w:b/>
          <w:sz w:val="28"/>
        </w:rPr>
        <w:t>BEWERTUNGSBERICHT</w:t>
      </w:r>
    </w:p>
    <w:p w14:paraId="1C4BB2B5" w14:textId="77777777" w:rsidR="00AA2096" w:rsidRPr="00F37C6A" w:rsidRDefault="00AA2096" w:rsidP="00A055D1">
      <w:pPr>
        <w:overflowPunct/>
        <w:adjustRightInd/>
        <w:jc w:val="center"/>
        <w:textAlignment w:val="auto"/>
      </w:pPr>
    </w:p>
    <w:p w14:paraId="05A62E27" w14:textId="4437B2A5" w:rsidR="00AA2096" w:rsidRPr="00F37C6A" w:rsidRDefault="00702139" w:rsidP="00A055D1">
      <w:pPr>
        <w:overflowPunct/>
        <w:adjustRightInd/>
        <w:jc w:val="center"/>
        <w:textAlignment w:val="auto"/>
      </w:pPr>
      <w:r>
        <w:t>Fachgruppe Beschäftigung, Sozialfragen, Unionsbürgerschaft</w:t>
      </w:r>
    </w:p>
    <w:p w14:paraId="6BAF680E" w14:textId="77777777" w:rsidR="00AA2096" w:rsidRPr="00F37C6A" w:rsidRDefault="00AA2096" w:rsidP="00A055D1">
      <w:pPr>
        <w:overflowPunct/>
        <w:adjustRightInd/>
        <w:jc w:val="center"/>
        <w:textAlignment w:val="auto"/>
      </w:pPr>
    </w:p>
    <w:p w14:paraId="1C089295" w14:textId="25A25823" w:rsidR="00AA2096" w:rsidRPr="00F37C6A" w:rsidRDefault="00F7767C" w:rsidP="00A055D1">
      <w:pPr>
        <w:overflowPunct/>
        <w:adjustRightInd/>
        <w:jc w:val="center"/>
        <w:textAlignment w:val="auto"/>
        <w:rPr>
          <w:b/>
          <w:bCs/>
        </w:rPr>
      </w:pPr>
      <w:r>
        <w:rPr>
          <w:b/>
        </w:rPr>
        <w:t>Richtlinie über den Schutz von Hinweisgebern</w:t>
      </w:r>
    </w:p>
    <w:p w14:paraId="6E5229CF" w14:textId="59C73453" w:rsidR="009B30AA" w:rsidRPr="00F37C6A" w:rsidRDefault="009B30AA" w:rsidP="00A055D1">
      <w:pPr>
        <w:overflowPunct/>
        <w:adjustRightInd/>
        <w:jc w:val="center"/>
        <w:textAlignment w:val="auto"/>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7F5E0D" w:rsidRPr="00F37C6A" w14:paraId="6E5229D9" w14:textId="77777777" w:rsidTr="3E1CF757">
        <w:tc>
          <w:tcPr>
            <w:tcW w:w="3085" w:type="dxa"/>
          </w:tcPr>
          <w:p w14:paraId="6E5229D7" w14:textId="77777777" w:rsidR="007F5E0D" w:rsidRPr="00F37C6A" w:rsidRDefault="3E1CF757" w:rsidP="00A055D1">
            <w:pPr>
              <w:overflowPunct/>
              <w:adjustRightInd/>
              <w:jc w:val="left"/>
              <w:textAlignment w:val="auto"/>
              <w:rPr>
                <w:szCs w:val="22"/>
              </w:rPr>
            </w:pPr>
            <w:r>
              <w:t>Kontakt</w:t>
            </w:r>
          </w:p>
        </w:tc>
        <w:tc>
          <w:tcPr>
            <w:tcW w:w="6204" w:type="dxa"/>
          </w:tcPr>
          <w:p w14:paraId="6E5229D8" w14:textId="6EF50896" w:rsidR="00A92608" w:rsidRPr="00F37C6A" w:rsidRDefault="00790491" w:rsidP="00A055D1">
            <w:pPr>
              <w:overflowPunct/>
              <w:adjustRightInd/>
              <w:jc w:val="left"/>
              <w:textAlignment w:val="auto"/>
              <w:rPr>
                <w:szCs w:val="22"/>
              </w:rPr>
            </w:pPr>
            <w:hyperlink r:id="rId13" w:history="1">
              <w:r w:rsidR="00704A7E">
                <w:rPr>
                  <w:rStyle w:val="Hyperlink"/>
                </w:rPr>
                <w:t>SOC@eesc.europa.eu</w:t>
              </w:r>
            </w:hyperlink>
          </w:p>
        </w:tc>
      </w:tr>
      <w:tr w:rsidR="007F5E0D" w:rsidRPr="00F37C6A" w14:paraId="6E5229DC" w14:textId="77777777" w:rsidTr="00152BBC">
        <w:tc>
          <w:tcPr>
            <w:tcW w:w="3085" w:type="dxa"/>
          </w:tcPr>
          <w:p w14:paraId="6E5229DA" w14:textId="77777777" w:rsidR="007F5E0D" w:rsidRPr="00F37C6A" w:rsidRDefault="3E1CF757" w:rsidP="00A055D1">
            <w:pPr>
              <w:overflowPunct/>
              <w:adjustRightInd/>
              <w:jc w:val="left"/>
              <w:textAlignment w:val="auto"/>
              <w:rPr>
                <w:szCs w:val="22"/>
              </w:rPr>
            </w:pPr>
            <w:r>
              <w:t>Verwaltungsrätin</w:t>
            </w:r>
          </w:p>
        </w:tc>
        <w:tc>
          <w:tcPr>
            <w:tcW w:w="6204" w:type="dxa"/>
          </w:tcPr>
          <w:p w14:paraId="6E5229DB" w14:textId="5EDD5BA6" w:rsidR="007F5E0D" w:rsidRPr="00F37C6A" w:rsidRDefault="00F7767C" w:rsidP="00A055D1">
            <w:pPr>
              <w:overflowPunct/>
              <w:adjustRightInd/>
              <w:jc w:val="left"/>
              <w:textAlignment w:val="auto"/>
              <w:rPr>
                <w:szCs w:val="22"/>
              </w:rPr>
            </w:pPr>
            <w:r>
              <w:t>June Bedaton</w:t>
            </w:r>
          </w:p>
        </w:tc>
      </w:tr>
      <w:tr w:rsidR="007F5E0D" w:rsidRPr="00F37C6A" w14:paraId="6E5229DF" w14:textId="77777777" w:rsidTr="3E1CF757">
        <w:tc>
          <w:tcPr>
            <w:tcW w:w="3085" w:type="dxa"/>
          </w:tcPr>
          <w:p w14:paraId="6E5229DD" w14:textId="77777777" w:rsidR="007F5E0D" w:rsidRPr="00F37C6A" w:rsidRDefault="3E1CF757" w:rsidP="00A055D1">
            <w:pPr>
              <w:overflowPunct/>
              <w:adjustRightInd/>
              <w:jc w:val="left"/>
              <w:textAlignment w:val="auto"/>
              <w:rPr>
                <w:szCs w:val="22"/>
              </w:rPr>
            </w:pPr>
            <w:r>
              <w:t>Datum des Dokuments</w:t>
            </w:r>
          </w:p>
        </w:tc>
        <w:tc>
          <w:tcPr>
            <w:tcW w:w="6204" w:type="dxa"/>
          </w:tcPr>
          <w:p w14:paraId="6E5229DE" w14:textId="694C5C99" w:rsidR="007F5E0D" w:rsidRPr="00F37C6A" w:rsidRDefault="00A055D1" w:rsidP="00A055D1">
            <w:pPr>
              <w:overflowPunct/>
              <w:adjustRightInd/>
              <w:jc w:val="left"/>
              <w:textAlignment w:val="auto"/>
              <w:rPr>
                <w:szCs w:val="22"/>
              </w:rPr>
            </w:pPr>
            <w:r>
              <w:t>1/6/2025</w:t>
            </w:r>
          </w:p>
        </w:tc>
      </w:tr>
    </w:tbl>
    <w:p w14:paraId="19E9ECD5" w14:textId="23301FBC" w:rsidR="00A81D58" w:rsidRPr="00F37C6A" w:rsidRDefault="3E1CF757" w:rsidP="00A055D1">
      <w:pPr>
        <w:overflowPunct/>
        <w:adjustRightInd/>
        <w:jc w:val="center"/>
        <w:textAlignment w:val="auto"/>
        <w:rPr>
          <w:bCs/>
        </w:rPr>
      </w:pPr>
      <w:r>
        <w:t xml:space="preserve">Berichterstatterin: </w:t>
      </w:r>
      <w:r>
        <w:rPr>
          <w:b/>
        </w:rPr>
        <w:t>Giulia BARBUCCI</w:t>
      </w:r>
    </w:p>
    <w:p w14:paraId="6E5229E1" w14:textId="77777777" w:rsidR="00704FBB" w:rsidRPr="00F37C6A" w:rsidRDefault="00704FBB" w:rsidP="00A055D1">
      <w:pPr>
        <w:overflowPunct/>
        <w:adjustRightInd/>
        <w:jc w:val="left"/>
        <w:textAlignment w:val="auto"/>
      </w:pPr>
    </w:p>
    <w:p w14:paraId="6E5229E2" w14:textId="77777777" w:rsidR="00646AC2" w:rsidRPr="00F37C6A" w:rsidRDefault="00646AC2" w:rsidP="00A055D1">
      <w:pPr>
        <w:overflowPunct/>
        <w:adjustRightInd/>
        <w:textAlignment w:val="auto"/>
      </w:pPr>
    </w:p>
    <w:p w14:paraId="6E5229E3" w14:textId="77777777" w:rsidR="00646AC2" w:rsidRPr="00F37C6A" w:rsidRDefault="00646AC2" w:rsidP="00A055D1">
      <w:pPr>
        <w:overflowPunct/>
        <w:adjustRightInd/>
        <w:textAlignment w:val="auto"/>
        <w:sectPr w:rsidR="00646AC2" w:rsidRPr="00F37C6A" w:rsidSect="00A055D1">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p w14:paraId="6E522A00" w14:textId="77777777" w:rsidR="0012220C" w:rsidRPr="00F37C6A" w:rsidRDefault="0012220C" w:rsidP="00A055D1">
      <w:pPr>
        <w:overflowPunct/>
        <w:adjustRightInd/>
        <w:textAlignment w:val="auto"/>
      </w:pPr>
    </w:p>
    <w:tbl>
      <w:tblPr>
        <w:tblW w:w="0" w:type="auto"/>
        <w:tblLook w:val="04A0" w:firstRow="1" w:lastRow="0" w:firstColumn="1" w:lastColumn="0" w:noHBand="0" w:noVBand="1"/>
      </w:tblPr>
      <w:tblGrid>
        <w:gridCol w:w="4077"/>
        <w:gridCol w:w="4996"/>
      </w:tblGrid>
      <w:tr w:rsidR="00A74A00" w:rsidRPr="00F37C6A" w14:paraId="6C065D6F" w14:textId="77777777" w:rsidTr="004A3FA3">
        <w:tc>
          <w:tcPr>
            <w:tcW w:w="4077" w:type="dxa"/>
          </w:tcPr>
          <w:p w14:paraId="6C29A550" w14:textId="14D173AE" w:rsidR="00A74A00" w:rsidRPr="00F37C6A" w:rsidRDefault="00A74A00" w:rsidP="00A055D1">
            <w:pPr>
              <w:overflowPunct/>
              <w:adjustRightInd/>
              <w:jc w:val="left"/>
              <w:textAlignment w:val="auto"/>
            </w:pPr>
            <w:r>
              <w:t>Beraterin</w:t>
            </w:r>
          </w:p>
        </w:tc>
        <w:tc>
          <w:tcPr>
            <w:tcW w:w="4996" w:type="dxa"/>
          </w:tcPr>
          <w:p w14:paraId="6F2D937A" w14:textId="77777777" w:rsidR="004A3FA3" w:rsidRDefault="00BE73FA" w:rsidP="00A055D1">
            <w:pPr>
              <w:overflowPunct/>
              <w:adjustRightInd/>
              <w:jc w:val="left"/>
              <w:textAlignment w:val="auto"/>
            </w:pPr>
            <w:r>
              <w:t>Silvia BORELLI</w:t>
            </w:r>
          </w:p>
          <w:p w14:paraId="14B7D8D7" w14:textId="2DC8107F" w:rsidR="00A74A00" w:rsidRPr="00F37C6A" w:rsidRDefault="00BE73FA" w:rsidP="00A055D1">
            <w:pPr>
              <w:overflowPunct/>
              <w:adjustRightInd/>
              <w:jc w:val="left"/>
              <w:textAlignment w:val="auto"/>
            </w:pPr>
            <w:r>
              <w:t>(für die Berichterstatterin, Gruppe II)</w:t>
            </w:r>
          </w:p>
        </w:tc>
      </w:tr>
      <w:tr w:rsidR="00A74A00" w:rsidRPr="00F37C6A" w14:paraId="54FA11D0" w14:textId="77777777" w:rsidTr="004A3FA3">
        <w:tc>
          <w:tcPr>
            <w:tcW w:w="4077" w:type="dxa"/>
          </w:tcPr>
          <w:p w14:paraId="1136704E" w14:textId="77777777" w:rsidR="00A74A00" w:rsidRPr="00F37C6A" w:rsidRDefault="00A74A00" w:rsidP="00A055D1">
            <w:pPr>
              <w:overflowPunct/>
              <w:adjustRightInd/>
              <w:jc w:val="left"/>
              <w:textAlignment w:val="auto"/>
            </w:pPr>
          </w:p>
        </w:tc>
        <w:tc>
          <w:tcPr>
            <w:tcW w:w="4996" w:type="dxa"/>
          </w:tcPr>
          <w:p w14:paraId="707F0BF1" w14:textId="77777777" w:rsidR="00A74A00" w:rsidRPr="00F37C6A" w:rsidRDefault="00A74A00" w:rsidP="00A055D1">
            <w:pPr>
              <w:overflowPunct/>
              <w:adjustRightInd/>
              <w:jc w:val="left"/>
              <w:textAlignment w:val="auto"/>
            </w:pPr>
          </w:p>
        </w:tc>
      </w:tr>
      <w:tr w:rsidR="0011656A" w:rsidRPr="00F37C6A" w14:paraId="6E522A03" w14:textId="77777777" w:rsidTr="004A3FA3">
        <w:tc>
          <w:tcPr>
            <w:tcW w:w="4077" w:type="dxa"/>
          </w:tcPr>
          <w:p w14:paraId="6E522A01" w14:textId="5C011C6A" w:rsidR="0011656A" w:rsidRPr="00F37C6A" w:rsidRDefault="3E1CF757" w:rsidP="00A055D1">
            <w:pPr>
              <w:overflowPunct/>
              <w:adjustRightInd/>
              <w:jc w:val="left"/>
              <w:textAlignment w:val="auto"/>
              <w:rPr>
                <w:szCs w:val="22"/>
              </w:rPr>
            </w:pPr>
            <w:r>
              <w:t>Befassung</w:t>
            </w:r>
          </w:p>
        </w:tc>
        <w:tc>
          <w:tcPr>
            <w:tcW w:w="4996" w:type="dxa"/>
          </w:tcPr>
          <w:p w14:paraId="6E522A02" w14:textId="489E91E5" w:rsidR="0011656A" w:rsidRPr="00F37C6A" w:rsidRDefault="008F56F8" w:rsidP="00A055D1">
            <w:pPr>
              <w:overflowPunct/>
              <w:adjustRightInd/>
              <w:jc w:val="left"/>
              <w:textAlignment w:val="auto"/>
              <w:rPr>
                <w:szCs w:val="22"/>
              </w:rPr>
            </w:pPr>
            <w:r>
              <w:t>Europäische Kommission, 10/9/2025</w:t>
            </w:r>
          </w:p>
        </w:tc>
      </w:tr>
      <w:tr w:rsidR="0016503F" w:rsidRPr="00F37C6A" w14:paraId="6E522A06" w14:textId="77777777" w:rsidTr="004A3FA3">
        <w:trPr>
          <w:trHeight w:val="251"/>
        </w:trPr>
        <w:tc>
          <w:tcPr>
            <w:tcW w:w="4077" w:type="dxa"/>
          </w:tcPr>
          <w:p w14:paraId="6E522A04" w14:textId="77777777" w:rsidR="0016503F" w:rsidRPr="00F37C6A" w:rsidRDefault="3E1CF757" w:rsidP="00A055D1">
            <w:pPr>
              <w:overflowPunct/>
              <w:adjustRightInd/>
              <w:jc w:val="left"/>
              <w:textAlignment w:val="auto"/>
              <w:rPr>
                <w:szCs w:val="22"/>
              </w:rPr>
            </w:pPr>
            <w:r>
              <w:t>Rechtsgrundlage</w:t>
            </w:r>
          </w:p>
        </w:tc>
        <w:tc>
          <w:tcPr>
            <w:tcW w:w="4996" w:type="dxa"/>
          </w:tcPr>
          <w:p w14:paraId="6E522A05" w14:textId="73553BB9" w:rsidR="0016503F" w:rsidRPr="00F37C6A" w:rsidRDefault="0016503F" w:rsidP="00A055D1">
            <w:pPr>
              <w:overflowPunct/>
              <w:adjustRightInd/>
              <w:jc w:val="left"/>
              <w:textAlignment w:val="auto"/>
              <w:rPr>
                <w:szCs w:val="22"/>
              </w:rPr>
            </w:pPr>
            <w:r>
              <w:t>Artikel 304 des Vertrags über die Arbeitsweise der Europäischen Union</w:t>
            </w:r>
          </w:p>
        </w:tc>
      </w:tr>
      <w:tr w:rsidR="00DF5B64" w:rsidRPr="00F37C6A" w14:paraId="6E522A21" w14:textId="77777777" w:rsidTr="004A3FA3">
        <w:tc>
          <w:tcPr>
            <w:tcW w:w="4077" w:type="dxa"/>
          </w:tcPr>
          <w:p w14:paraId="6E522A1F" w14:textId="77777777" w:rsidR="00DF5B64" w:rsidRPr="00F37C6A" w:rsidRDefault="3E1CF757" w:rsidP="00A055D1">
            <w:pPr>
              <w:overflowPunct/>
              <w:adjustRightInd/>
              <w:jc w:val="left"/>
              <w:textAlignment w:val="auto"/>
              <w:rPr>
                <w:szCs w:val="22"/>
              </w:rPr>
            </w:pPr>
            <w:r>
              <w:t>Zuständiges Arbeitsorgan</w:t>
            </w:r>
          </w:p>
        </w:tc>
        <w:tc>
          <w:tcPr>
            <w:tcW w:w="4996" w:type="dxa"/>
          </w:tcPr>
          <w:p w14:paraId="6E522A20" w14:textId="762B3A97" w:rsidR="00DF5B64" w:rsidRPr="00F37C6A" w:rsidRDefault="00987356" w:rsidP="00A055D1">
            <w:pPr>
              <w:overflowPunct/>
              <w:adjustRightInd/>
              <w:jc w:val="left"/>
              <w:textAlignment w:val="auto"/>
              <w:rPr>
                <w:szCs w:val="22"/>
              </w:rPr>
            </w:pPr>
            <w:r>
              <w:t>Fachgruppe Beschäftigung, Sozialfragen, Unionsbürgerschaft</w:t>
            </w:r>
          </w:p>
        </w:tc>
      </w:tr>
      <w:tr w:rsidR="0086017F" w:rsidRPr="00F37C6A" w14:paraId="2F32FC09" w14:textId="77777777" w:rsidTr="004A3FA3">
        <w:tc>
          <w:tcPr>
            <w:tcW w:w="4077" w:type="dxa"/>
          </w:tcPr>
          <w:p w14:paraId="4C378323" w14:textId="43F34661" w:rsidR="0086017F" w:rsidRPr="00F37C6A" w:rsidRDefault="009F4A92" w:rsidP="00A055D1">
            <w:pPr>
              <w:overflowPunct/>
              <w:adjustRightInd/>
              <w:jc w:val="left"/>
              <w:textAlignment w:val="auto"/>
            </w:pPr>
            <w:r>
              <w:t>Annahme im Arbeitsorgan</w:t>
            </w:r>
          </w:p>
        </w:tc>
        <w:tc>
          <w:tcPr>
            <w:tcW w:w="4996" w:type="dxa"/>
          </w:tcPr>
          <w:p w14:paraId="08AEA66B" w14:textId="5497233B" w:rsidR="0086017F" w:rsidRPr="00F37C6A" w:rsidRDefault="00920574" w:rsidP="00A055D1">
            <w:pPr>
              <w:overflowPunct/>
              <w:adjustRightInd/>
              <w:jc w:val="left"/>
              <w:textAlignment w:val="auto"/>
            </w:pPr>
            <w:r>
              <w:t>27/5/2026</w:t>
            </w:r>
          </w:p>
        </w:tc>
      </w:tr>
      <w:tr w:rsidR="00211D82" w:rsidRPr="00F37C6A" w14:paraId="60147C16" w14:textId="77777777" w:rsidTr="004A3FA3">
        <w:tc>
          <w:tcPr>
            <w:tcW w:w="4077" w:type="dxa"/>
          </w:tcPr>
          <w:p w14:paraId="59B8F6B2" w14:textId="67495895" w:rsidR="00211D82" w:rsidRPr="00F37C6A" w:rsidRDefault="00211D82" w:rsidP="00A055D1">
            <w:pPr>
              <w:overflowPunct/>
              <w:adjustRightInd/>
              <w:jc w:val="left"/>
            </w:pPr>
            <w:r>
              <w:t>Ergebnis der Abstimmung</w:t>
            </w:r>
            <w:r>
              <w:br/>
              <w:t>(Ja-Stimmen/Nein-Stimmen/Enthaltungen)</w:t>
            </w:r>
          </w:p>
        </w:tc>
        <w:tc>
          <w:tcPr>
            <w:tcW w:w="4996" w:type="dxa"/>
            <w:vAlign w:val="bottom"/>
          </w:tcPr>
          <w:p w14:paraId="27DCE39B" w14:textId="452F81D3" w:rsidR="00211D82" w:rsidRPr="00F37C6A" w:rsidRDefault="00920574" w:rsidP="00A055D1">
            <w:pPr>
              <w:overflowPunct/>
              <w:adjustRightInd/>
              <w:jc w:val="left"/>
              <w:textAlignment w:val="auto"/>
            </w:pPr>
            <w:r>
              <w:t>92/3/7</w:t>
            </w:r>
          </w:p>
        </w:tc>
      </w:tr>
      <w:tr w:rsidR="006E64DF" w:rsidRPr="00F37C6A" w14:paraId="6FE48FAF" w14:textId="77777777" w:rsidTr="004A3FA3">
        <w:tc>
          <w:tcPr>
            <w:tcW w:w="4077" w:type="dxa"/>
          </w:tcPr>
          <w:p w14:paraId="7C747425" w14:textId="558752F7" w:rsidR="006E64DF" w:rsidRPr="00F37C6A" w:rsidRDefault="3E1CF757" w:rsidP="00A055D1">
            <w:pPr>
              <w:overflowPunct/>
              <w:adjustRightInd/>
              <w:jc w:val="left"/>
            </w:pPr>
            <w:r>
              <w:t>Verabschiedung im Plenum</w:t>
            </w:r>
          </w:p>
        </w:tc>
        <w:tc>
          <w:tcPr>
            <w:tcW w:w="4996" w:type="dxa"/>
            <w:vAlign w:val="bottom"/>
          </w:tcPr>
          <w:p w14:paraId="1A98B857" w14:textId="6B54BEA7" w:rsidR="006E64DF" w:rsidRPr="00F37C6A" w:rsidRDefault="3E1CF757" w:rsidP="00A055D1">
            <w:pPr>
              <w:overflowPunct/>
              <w:adjustRightInd/>
              <w:jc w:val="left"/>
              <w:textAlignment w:val="auto"/>
            </w:pPr>
            <w:r>
              <w:t>D/M/YYYY</w:t>
            </w:r>
          </w:p>
        </w:tc>
      </w:tr>
      <w:tr w:rsidR="00541739" w:rsidRPr="00F37C6A" w14:paraId="63CB7FCF" w14:textId="77777777" w:rsidTr="004A3FA3">
        <w:tc>
          <w:tcPr>
            <w:tcW w:w="4077" w:type="dxa"/>
          </w:tcPr>
          <w:p w14:paraId="51AB2A36" w14:textId="77A1534F" w:rsidR="00541739" w:rsidRPr="00F37C6A" w:rsidRDefault="3E1CF757" w:rsidP="00A055D1">
            <w:pPr>
              <w:overflowPunct/>
              <w:adjustRightInd/>
              <w:jc w:val="left"/>
            </w:pPr>
            <w:r>
              <w:t>Plenartagung Nr.</w:t>
            </w:r>
          </w:p>
        </w:tc>
        <w:tc>
          <w:tcPr>
            <w:tcW w:w="4996" w:type="dxa"/>
            <w:vAlign w:val="bottom"/>
          </w:tcPr>
          <w:p w14:paraId="2E7F46CA" w14:textId="6E41F70E" w:rsidR="00541739" w:rsidRPr="00F37C6A" w:rsidRDefault="3E1CF757" w:rsidP="00A055D1">
            <w:pPr>
              <w:overflowPunct/>
              <w:adjustRightInd/>
              <w:jc w:val="left"/>
              <w:textAlignment w:val="auto"/>
            </w:pPr>
            <w:r>
              <w:t>…</w:t>
            </w:r>
          </w:p>
        </w:tc>
      </w:tr>
      <w:tr w:rsidR="009F4A92" w:rsidRPr="00F37C6A" w14:paraId="22774BDF" w14:textId="77777777" w:rsidTr="004A3FA3">
        <w:tc>
          <w:tcPr>
            <w:tcW w:w="4077" w:type="dxa"/>
          </w:tcPr>
          <w:p w14:paraId="0A1E68AA" w14:textId="0C26AB04" w:rsidR="009F4A92" w:rsidRPr="00F37C6A" w:rsidRDefault="3E1CF757" w:rsidP="00A055D1">
            <w:pPr>
              <w:overflowPunct/>
              <w:adjustRightInd/>
              <w:jc w:val="left"/>
            </w:pPr>
            <w:r>
              <w:t>Ergebnis der Abstimmung</w:t>
            </w:r>
            <w:r>
              <w:br/>
              <w:t>(Ja-Stimmen/Nein-Stimmen/Enthaltungen)</w:t>
            </w:r>
          </w:p>
        </w:tc>
        <w:tc>
          <w:tcPr>
            <w:tcW w:w="4996" w:type="dxa"/>
            <w:vAlign w:val="bottom"/>
          </w:tcPr>
          <w:p w14:paraId="4BA20A70" w14:textId="71EBCBD1" w:rsidR="009F4A92" w:rsidRPr="00F37C6A" w:rsidRDefault="3E1CF757" w:rsidP="00A055D1">
            <w:pPr>
              <w:overflowPunct/>
              <w:adjustRightInd/>
              <w:jc w:val="left"/>
              <w:textAlignment w:val="auto"/>
            </w:pPr>
            <w:r>
              <w:t>…/…/…</w:t>
            </w:r>
          </w:p>
        </w:tc>
      </w:tr>
    </w:tbl>
    <w:p w14:paraId="6E522A2E" w14:textId="77777777" w:rsidR="0090053A" w:rsidRPr="00F37C6A" w:rsidRDefault="0090053A" w:rsidP="00A055D1">
      <w:pPr>
        <w:overflowPunct/>
        <w:adjustRightInd/>
        <w:textAlignment w:val="auto"/>
      </w:pPr>
    </w:p>
    <w:p w14:paraId="6E522A2F" w14:textId="77777777" w:rsidR="00646AC2" w:rsidRPr="00F37C6A" w:rsidRDefault="00646AC2" w:rsidP="00A055D1">
      <w:pPr>
        <w:overflowPunct/>
        <w:adjustRightInd/>
        <w:textAlignment w:val="auto"/>
      </w:pPr>
      <w:r>
        <w:br w:type="page"/>
      </w:r>
    </w:p>
    <w:p w14:paraId="0502A017" w14:textId="53261019" w:rsidR="00A86BA8" w:rsidRPr="00F37C6A" w:rsidRDefault="3E1CF757" w:rsidP="00A055D1">
      <w:pPr>
        <w:pStyle w:val="Heading1"/>
        <w:ind w:left="567" w:hanging="567"/>
        <w:rPr>
          <w:b/>
          <w:bCs/>
        </w:rPr>
      </w:pPr>
      <w:r>
        <w:rPr>
          <w:b/>
        </w:rPr>
        <w:lastRenderedPageBreak/>
        <w:t>Einleitung und Methodik</w:t>
      </w:r>
    </w:p>
    <w:p w14:paraId="53615C5A" w14:textId="6C7409A6" w:rsidR="005419CF" w:rsidRPr="00F37C6A" w:rsidRDefault="005419CF" w:rsidP="00A055D1">
      <w:pPr>
        <w:pStyle w:val="Heading2"/>
        <w:numPr>
          <w:ilvl w:val="0"/>
          <w:numId w:val="0"/>
        </w:numPr>
        <w:ind w:left="567"/>
        <w:rPr>
          <w:lang w:eastAsia="fr-FR"/>
        </w:rPr>
      </w:pPr>
    </w:p>
    <w:p w14:paraId="6C94DAC1" w14:textId="12CA14B8" w:rsidR="00642E5F" w:rsidRPr="00F37C6A" w:rsidRDefault="005419CF" w:rsidP="00A055D1">
      <w:pPr>
        <w:pStyle w:val="Heading2"/>
        <w:ind w:left="567" w:hanging="567"/>
      </w:pPr>
      <w:r>
        <w:t>In diesem Bewertungsbericht wird die Umsetzung der Richtlinie (EU) 2019/1937 untersucht, die den ersten Rechtsrahmen auf EU-Ebene zur Festlegung gemeinsamer Mindeststandards für den Schutz von Hinweisgebern bildet. Gemäß Artikel 27 Absatz 3 der Richtlinie ist die Europäische Kommission verpflichtet, dem Europäischen Parlament und dem Rat einen Bericht über das Funktionieren der Richtlinie vorzulegen und zu prüfen, ob zusätzliche Maßnahmen einschließlich etwaiger geeigneter Änderungen erforderlich sind.</w:t>
      </w:r>
    </w:p>
    <w:p w14:paraId="5FB090E3" w14:textId="77777777" w:rsidR="000552D1" w:rsidRPr="00F37C6A" w:rsidRDefault="000552D1" w:rsidP="00A055D1">
      <w:pPr>
        <w:rPr>
          <w:lang w:eastAsia="fr-FR"/>
        </w:rPr>
      </w:pPr>
    </w:p>
    <w:p w14:paraId="2EE6FDEC" w14:textId="509E04E8" w:rsidR="00624432" w:rsidRPr="00F37C6A" w:rsidRDefault="00AD5CD2" w:rsidP="00A055D1">
      <w:pPr>
        <w:pStyle w:val="Heading2"/>
        <w:ind w:left="567" w:hanging="567"/>
      </w:pPr>
      <w:r>
        <w:t>In seinem Bewertungsbericht wird der Europäische Wirtschafts- und Sozialausschuss (EWSA) prüfen, ob, wie und in welchem Umfang die Richtlinie 2019/1937 die Durchsetzung des Rechts und der Politik der Europäischen Union (EU) unter Wahrung der in der Charta der Grundrechte der EU garantierten Grundrechte gestärkt hat. Die Grundrechte sind einerseits ein Kernbestandteil des EU-Rechts. Andererseits gefährden Verstöße gegen diese Rechte das öffentliche Interesse und können daher Schutz gemäß der Richtlinie rechtfertigen. Zudem sei darauf hingewiesen, dass die Charta das EU-Recht nicht über die bestehenden Befugnisse der Union hinaus ausweitet und weder neue Befugnisse oder Aufgaben für die Union schafft noch die bereits in den Verträgen festgelegten ändert.</w:t>
      </w:r>
    </w:p>
    <w:p w14:paraId="6A48985A" w14:textId="77777777" w:rsidR="000552D1" w:rsidRPr="00F37C6A" w:rsidRDefault="000552D1" w:rsidP="00A055D1">
      <w:pPr>
        <w:rPr>
          <w:lang w:eastAsia="fr-FR"/>
        </w:rPr>
      </w:pPr>
    </w:p>
    <w:p w14:paraId="7C698F8C" w14:textId="1B5F19FB" w:rsidR="00642E5F" w:rsidRPr="00F37C6A" w:rsidRDefault="00642E5F" w:rsidP="00A055D1">
      <w:pPr>
        <w:pStyle w:val="Heading2"/>
        <w:ind w:left="567" w:hanging="567"/>
      </w:pPr>
      <w:r>
        <w:t>Die Bewertung folgt den mit Präsidiumsbeschluss vom 13. Dezember 2022 aufgestellten „Leitlinien zu den praktischen Modalitäten der Bewertungsmethode“ und erfolgt unter Berücksichtigung des Rahmens der Kommission für eine bessere Rechtsetzung, wobei sie sich auf drei Kriterien stützt: Wirksamkeit, Relevanz und Mehrwert der Zivilgesellschaft. Fünf Mitgliedstaaten – Dänemark, Frankreich, Italien, Lettland und Rumänien – wurden ausgewählt, um der geografischen, politischen und administrativen Vielfalt der EU Rechnung zu tragen. Zwölf EWSA-Mitglieder hielten mit Unterstützung des Sekretariats Sitzungen mit Interessenträgern in diesen Ländern ab, die durch einen Online-Fragebogen ergänzt wurden, der an ausgewählte Organisationen in diesen Ländern geschickt wurde.</w:t>
      </w:r>
    </w:p>
    <w:p w14:paraId="403335E1" w14:textId="77777777" w:rsidR="000552D1" w:rsidRPr="00F37C6A" w:rsidRDefault="000552D1" w:rsidP="00A055D1">
      <w:pPr>
        <w:rPr>
          <w:lang w:eastAsia="fr-FR"/>
        </w:rPr>
      </w:pPr>
    </w:p>
    <w:p w14:paraId="0AEA96D0" w14:textId="41B48313" w:rsidR="00A757FF" w:rsidRPr="00F37C6A" w:rsidRDefault="00642E5F" w:rsidP="00A055D1">
      <w:pPr>
        <w:pStyle w:val="Heading2"/>
        <w:ind w:left="567" w:hanging="567"/>
      </w:pPr>
      <w:r>
        <w:t>Ein technischer Anhang ist dem Bericht beigefügt und enthält ausführliche Informationen zu den Länderbesuchen, an denen 67 Organisationen beteiligt waren, sowie zu dem Online</w:t>
      </w:r>
      <w:r w:rsidR="008C53B3">
        <w:noBreakHyphen/>
      </w:r>
      <w:r>
        <w:t>Fragebogen, auf den 40 Antworten eingingen. Etwa zwei Drittel der 84 konsultierten Organisationen berichteten über direkte Erfahrungen mit Meldungen von Hinweisgebern. Die Interessenträger vertraten verschiedene Bereiche, darunter Behörden, Arbeitgeberverbände, Gewerkschaften, Berufsverbände und Organisationen der Zivilgesellschaft, von denen einige auf den Schutz von Hinweisgebern spezialisiert sind.</w:t>
      </w:r>
    </w:p>
    <w:p w14:paraId="6C1C2C4E" w14:textId="77777777" w:rsidR="003168B9" w:rsidRPr="00F37C6A" w:rsidRDefault="003168B9" w:rsidP="00A055D1">
      <w:pPr>
        <w:rPr>
          <w:lang w:eastAsia="fr-FR"/>
        </w:rPr>
      </w:pPr>
    </w:p>
    <w:p w14:paraId="220FEE74" w14:textId="5670A125" w:rsidR="00A757FF" w:rsidRPr="00F37C6A" w:rsidRDefault="00A757FF" w:rsidP="00A055D1">
      <w:pPr>
        <w:pStyle w:val="Heading2"/>
        <w:ind w:left="567" w:hanging="567"/>
      </w:pPr>
      <w:r>
        <w:t>Die Ergebnisse der verschiedenen Länderbesuche fallen unterschiedlich aus, was bei der Lektüre des Berichts berücksichtigt werden sollte. Mit dem Bericht soll dementsprechend ein möglichst zutreffendes Bild der Lage in den fünf besuchten Ländern vermittelt werden.</w:t>
      </w:r>
    </w:p>
    <w:p w14:paraId="09EC03B3" w14:textId="77777777" w:rsidR="000552D1" w:rsidRPr="00F37C6A" w:rsidRDefault="000552D1" w:rsidP="00A055D1">
      <w:pPr>
        <w:rPr>
          <w:lang w:eastAsia="fr-FR"/>
        </w:rPr>
      </w:pPr>
    </w:p>
    <w:p w14:paraId="4B579F6C" w14:textId="598608A3" w:rsidR="00A86BA8" w:rsidRPr="00F37C6A" w:rsidRDefault="005419CF" w:rsidP="00A055D1">
      <w:pPr>
        <w:pStyle w:val="Heading2"/>
        <w:ind w:left="567" w:hanging="567"/>
      </w:pPr>
      <w:r>
        <w:t>Die Schlussfolgerungen und Empfehlungen dieses Berichts stützen sich auf die Erkenntnisse im technischen Anhang, in dem Informationen aus fünf Ländern, zwei Konsultationskanälen und einem breiten Spektrum von Interessenträgern kombiniert werden.</w:t>
      </w:r>
    </w:p>
    <w:p w14:paraId="556F48EB" w14:textId="77777777" w:rsidR="00A86BA8" w:rsidRPr="00F37C6A" w:rsidRDefault="00A86BA8" w:rsidP="00A055D1"/>
    <w:p w14:paraId="17E3ADB4" w14:textId="6C10B8FB" w:rsidR="00642E5F" w:rsidRPr="00F37C6A" w:rsidRDefault="00642E5F" w:rsidP="00A055D1">
      <w:pPr>
        <w:pStyle w:val="Heading1"/>
        <w:keepNext/>
        <w:keepLines/>
        <w:ind w:left="567" w:hanging="567"/>
        <w:rPr>
          <w:b/>
          <w:bCs/>
        </w:rPr>
      </w:pPr>
      <w:r>
        <w:rPr>
          <w:b/>
        </w:rPr>
        <w:t>Schlussfolgerungen zur Wirksamkeit</w:t>
      </w:r>
    </w:p>
    <w:p w14:paraId="148BA364" w14:textId="77777777" w:rsidR="00642E5F" w:rsidRPr="00F37C6A" w:rsidRDefault="00642E5F" w:rsidP="00A055D1">
      <w:pPr>
        <w:keepNext/>
        <w:keepLines/>
        <w:overflowPunct/>
        <w:adjustRightInd/>
        <w:ind w:left="142" w:hanging="142"/>
        <w:jc w:val="left"/>
        <w:textAlignment w:val="auto"/>
      </w:pPr>
    </w:p>
    <w:p w14:paraId="46A76CA7" w14:textId="255C48A9" w:rsidR="009C0A46" w:rsidRPr="00F37C6A" w:rsidRDefault="00920574" w:rsidP="00A055D1">
      <w:pPr>
        <w:pStyle w:val="Heading2"/>
        <w:ind w:left="567" w:hanging="567"/>
      </w:pPr>
      <w:r>
        <w:t>Der Begriff „Wirksamkeit“ bezieht sich darauf, inwieweit die Ziele einer Richtlinie erreicht wurden bzw. erreicht werden können. Um die Wirksamkeit der Richtlinie über den Schutz von Hinweisgebern zu bewerten, muss daher geprüft werden, ob und inwieweit sie in der Praxis unter Achtung der Grundrechte zur Stärkung der Durchsetzung des Unionsrechts und zum Schutz von Hinweisgebern beigetragen hat.</w:t>
      </w:r>
    </w:p>
    <w:p w14:paraId="214C4C9E" w14:textId="77777777" w:rsidR="000552D1" w:rsidRPr="00F37C6A" w:rsidRDefault="000552D1" w:rsidP="00A055D1"/>
    <w:p w14:paraId="4AFD31F8" w14:textId="4D8CB00A" w:rsidR="009C0A46" w:rsidRPr="00F37C6A" w:rsidRDefault="00377F66" w:rsidP="00A055D1">
      <w:pPr>
        <w:pStyle w:val="Heading2"/>
        <w:ind w:left="567" w:hanging="567"/>
      </w:pPr>
      <w:r>
        <w:t>In den untersuchten Ländern war die Umsetzung der Richtlinie im Allgemeinen ein wichtiger Schritt zur Klärung der Rechtsrahmen, zur Einrichtung mehrerer Meldekanäle, zur Stärkung der Schutzmechanismen, zur Sensibilisierung für Meldungen durch Hinweisgeber und zur Stärkung der Rolle der zuständigen Behörden und der institutionellen Zusammenarbeit.</w:t>
      </w:r>
      <w:r w:rsidR="00D5291F" w:rsidRPr="00F37C6A">
        <w:rPr>
          <w:rStyle w:val="FootnoteReference"/>
        </w:rPr>
        <w:footnoteReference w:id="1"/>
      </w:r>
    </w:p>
    <w:p w14:paraId="49742C40" w14:textId="77777777" w:rsidR="000552D1" w:rsidRPr="00F37C6A" w:rsidRDefault="000552D1" w:rsidP="00A055D1"/>
    <w:p w14:paraId="3C1C14E3" w14:textId="3F7033AC" w:rsidR="00BC1130" w:rsidRPr="00F37C6A" w:rsidRDefault="00377F66" w:rsidP="00A055D1">
      <w:pPr>
        <w:pStyle w:val="Heading2"/>
        <w:ind w:left="567" w:hanging="567"/>
      </w:pPr>
      <w:r>
        <w:t>Eine wichtige Erkenntnis der Bewertung des EWSA ist, dass die Rechtssicherheit, die Zugänglichkeit und der praktische Schutz über den sachlichen Anwendungsbereich der Richtlinie hinaus verbessert werden können.</w:t>
      </w:r>
      <w:r w:rsidR="009C0A46" w:rsidRPr="00F37C6A">
        <w:rPr>
          <w:rStyle w:val="FootnoteReference"/>
        </w:rPr>
        <w:footnoteReference w:id="2"/>
      </w:r>
      <w:r>
        <w:t xml:space="preserve"> Alle ausgewählten Länder haben den sachlichen Anwendungsbereich über die in der Richtlinie ausdrücklich aufgeführten Bereiche hinaus erweitert, um die Unsicherheit darüber zu verringern, ob Offenlegungen geschützt sind.</w:t>
      </w:r>
      <w:r w:rsidR="009C0A46" w:rsidRPr="00F37C6A">
        <w:rPr>
          <w:rStyle w:val="FootnoteReference"/>
        </w:rPr>
        <w:footnoteReference w:id="3"/>
      </w:r>
      <w:r>
        <w:t xml:space="preserve"> In Rumänien werden nach Auffassung zivilgesellschaftlicher Organisationen Meldungen von Hinweisgebern jedoch aufgrund einer komplexen Definition des Begriffs „Verstoß“ in Verbindung mit einer begrenzten Anzahl von Rechtsakten im Anwendungsbereich der Richtlinie über den Schutz von Hinweisgebern weiterhin gehemmt.</w:t>
      </w:r>
      <w:r w:rsidR="00263D8C" w:rsidRPr="00F37C6A">
        <w:rPr>
          <w:rStyle w:val="FootnoteReference"/>
        </w:rPr>
        <w:footnoteReference w:id="4"/>
      </w:r>
      <w:r>
        <w:t xml:space="preserve"> Arbeitgebervertreter gaben zu bedenken, dass ein sehr weit gefasster sachlicher Anwendungsbereich die praktische Durchsetzung erschweren, Unsicherheit für die Fallbearbeiter schaffen und die Gefahr bergen kann, den Fokus von Systemen zur Meldung von Verstößen zu verwässern.</w:t>
      </w:r>
      <w:r w:rsidR="009E533D">
        <w:rPr>
          <w:rStyle w:val="FootnoteReference"/>
        </w:rPr>
        <w:footnoteReference w:id="5"/>
      </w:r>
    </w:p>
    <w:p w14:paraId="7BFB57C7" w14:textId="77777777" w:rsidR="000552D1" w:rsidRPr="00F37C6A" w:rsidRDefault="000552D1" w:rsidP="00A055D1"/>
    <w:p w14:paraId="3F9A5D4F" w14:textId="3D9298E2" w:rsidR="00D279F0" w:rsidRPr="00F37C6A" w:rsidRDefault="001818D9" w:rsidP="00A055D1">
      <w:pPr>
        <w:pStyle w:val="Heading2"/>
        <w:ind w:left="567" w:hanging="567"/>
      </w:pPr>
      <w:r>
        <w:t>In den meisten der untersuchten Länder können Ausschlüsse vom Hinweisgeberschutz in Bezug auf Staatsgeheimnisse, die nationale Sicherheit, Vertraulichkeitsregelungen und den Datenschutz ebenfalls von Offenlegungen abschrecken, da Personen, die Unregelmäßigkeiten in sicherheitsrelevanten Bereichen melden, eventuell Gefahr laufen, strafrechtlich zur Verantwortung gezogen zu werden.</w:t>
      </w:r>
      <w:r w:rsidR="00ED7418" w:rsidRPr="00F37C6A">
        <w:rPr>
          <w:rStyle w:val="FootnoteReference"/>
        </w:rPr>
        <w:footnoteReference w:id="6"/>
      </w:r>
    </w:p>
    <w:p w14:paraId="27C4A8AC" w14:textId="77777777" w:rsidR="000552D1" w:rsidRPr="00F37C6A" w:rsidRDefault="000552D1" w:rsidP="00A055D1"/>
    <w:p w14:paraId="4F72A492" w14:textId="0D86890D" w:rsidR="00D279F0" w:rsidRPr="00F37C6A" w:rsidRDefault="00377F66" w:rsidP="00A055D1">
      <w:pPr>
        <w:pStyle w:val="Heading2"/>
        <w:ind w:left="567" w:hanging="567"/>
      </w:pPr>
      <w:r>
        <w:t>Die Wirksamkeit hängt auch eng mit dem persönlichen Anwendungsbereich der Richtlinie zusammen. In mehreren Ländern wurde der Schutz auf ein breites Spektrum von Personen erweitert, die in einem beruflichen Kontext Informationen über Verstöße erhalten und im öffentlichen Interesse handeln.</w:t>
      </w:r>
      <w:r w:rsidR="00D279F0" w:rsidRPr="00F37C6A">
        <w:rPr>
          <w:rStyle w:val="FootnoteReference"/>
        </w:rPr>
        <w:footnoteReference w:id="7"/>
      </w:r>
    </w:p>
    <w:p w14:paraId="3F3B802E" w14:textId="77777777" w:rsidR="000552D1" w:rsidRPr="00F37C6A" w:rsidRDefault="000552D1" w:rsidP="00A055D1"/>
    <w:p w14:paraId="1EBFC566" w14:textId="2B82D352" w:rsidR="00D279F0" w:rsidRPr="00F37C6A" w:rsidRDefault="00377F66" w:rsidP="00A055D1">
      <w:pPr>
        <w:pStyle w:val="Heading2"/>
        <w:ind w:left="567" w:hanging="567"/>
      </w:pPr>
      <w:r>
        <w:t>Die Verfügbarkeit mehrerer Meldekanäle, die es Hinweisgebern ermöglichen, die für ihre Situation am besten geeignete Option zu wählen, trägt erheblich zur Wirksamkeit bei. Alle ausgewählten Länder haben interne und externe Meldekanäle eingerichtet und gestatten in einigen Fällen die öffentliche Offenlegung.</w:t>
      </w:r>
    </w:p>
    <w:p w14:paraId="237DED61" w14:textId="77777777" w:rsidR="000552D1" w:rsidRPr="00F37C6A" w:rsidRDefault="000552D1" w:rsidP="00A055D1"/>
    <w:p w14:paraId="632DBE1A" w14:textId="7D446E31" w:rsidR="00D279F0" w:rsidRPr="00CC0E8F" w:rsidRDefault="00377F66" w:rsidP="00A055D1">
      <w:pPr>
        <w:pStyle w:val="Heading2"/>
        <w:ind w:left="567" w:hanging="567"/>
      </w:pPr>
      <w:r>
        <w:t>Die Verfügbarkeit von Mehrkanalsystemen, über die Meldungen per Telefon, E-Mail, Post, sichere Online-Plattformen und persönliche Treffen empfangen werden können, wirkt sich in den meisten der untersuchten Länder positiv auf die Rahmenbedingungen für Meldungen von Hinweisgebern aus.</w:t>
      </w:r>
      <w:r w:rsidR="00D279F0" w:rsidRPr="00F37C6A">
        <w:rPr>
          <w:rStyle w:val="FootnoteReference"/>
        </w:rPr>
        <w:footnoteReference w:id="8"/>
      </w:r>
      <w:r>
        <w:t xml:space="preserve"> Die Möglichkeit anonymer Meldungen kann die Offenlegung weiter erleichtern</w:t>
      </w:r>
      <w:r w:rsidR="00D279F0" w:rsidRPr="00F37C6A">
        <w:rPr>
          <w:rStyle w:val="FootnoteReference"/>
        </w:rPr>
        <w:footnoteReference w:id="9"/>
      </w:r>
      <w:r>
        <w:t>; die begrenzte Verfügbarkeit solcher Optionen, wie sie in Lettland zu beobachten ist, stellt insbesondere nach Angaben der Gewerkschaften und zivilgesellschaftlichen Organisationen nach wie vor einen Mangel dar.</w:t>
      </w:r>
      <w:r w:rsidR="00D279F0" w:rsidRPr="00F37C6A">
        <w:rPr>
          <w:rStyle w:val="FootnoteReference"/>
        </w:rPr>
        <w:footnoteReference w:id="10"/>
      </w:r>
    </w:p>
    <w:p w14:paraId="5B13540A" w14:textId="77777777" w:rsidR="000552D1" w:rsidRPr="00F37C6A" w:rsidRDefault="000552D1" w:rsidP="00A055D1"/>
    <w:p w14:paraId="3780C9F8" w14:textId="30CFCC79" w:rsidR="00A0499A" w:rsidRPr="00F37C6A" w:rsidRDefault="00377F66" w:rsidP="00A055D1">
      <w:pPr>
        <w:pStyle w:val="Heading2"/>
        <w:ind w:left="567" w:hanging="567"/>
      </w:pPr>
      <w:r>
        <w:t>Die Sicherstellung der Vertraulichkeit der Identität des Hinweisgebers und der in den Meldungen genannten Dritten ist von wesentlicher Bedeutung</w:t>
      </w:r>
      <w:r w:rsidR="00D279F0" w:rsidRPr="00F37C6A">
        <w:rPr>
          <w:rStyle w:val="FootnoteReference"/>
        </w:rPr>
        <w:footnoteReference w:id="11"/>
      </w:r>
      <w:r>
        <w:t>, stellt jedoch in kleinen Unternehmen</w:t>
      </w:r>
      <w:r w:rsidR="00D279F0" w:rsidRPr="00F37C6A">
        <w:rPr>
          <w:rStyle w:val="FootnoteReference"/>
        </w:rPr>
        <w:footnoteReference w:id="12"/>
      </w:r>
      <w:r>
        <w:t xml:space="preserve"> oder eingeschworenen Gemeinschaften</w:t>
      </w:r>
      <w:r w:rsidR="00A0499A" w:rsidRPr="00F37C6A">
        <w:rPr>
          <w:rStyle w:val="FootnoteReference"/>
        </w:rPr>
        <w:footnoteReference w:id="13"/>
      </w:r>
      <w:r>
        <w:t xml:space="preserve"> eine besondere Herausforderung dar. In Rumänien berichteten Vertreter der Zivilgesellschaft und von Gewerkschaften, dass interne Kanäle häufig aus generischen E-Mail-Adressen bestehen, die in der Praxis von der Führungsebene oder eng damit verbundenen Personen überwacht werden.</w:t>
      </w:r>
      <w:r w:rsidR="00A0499A" w:rsidRPr="00F37C6A">
        <w:rPr>
          <w:rStyle w:val="FootnoteReference"/>
        </w:rPr>
        <w:footnoteReference w:id="14"/>
      </w:r>
    </w:p>
    <w:p w14:paraId="6FFBBF10" w14:textId="77777777" w:rsidR="000552D1" w:rsidRPr="00F37C6A" w:rsidRDefault="000552D1" w:rsidP="00A055D1"/>
    <w:p w14:paraId="131BB88B" w14:textId="782825A7" w:rsidR="00A0499A" w:rsidRPr="00F37C6A" w:rsidRDefault="006B2364" w:rsidP="00A055D1">
      <w:pPr>
        <w:pStyle w:val="Heading2"/>
        <w:ind w:left="567" w:hanging="567"/>
      </w:pPr>
      <w:r>
        <w:t>In Frankreich und Rumänien wiesen einige Personen darauf hin, dass interne Meldemechanismen eventuell als unzugänglich oder nicht ausreichend unabhängig wahrgenommen werden, insbesondere wenn die Offenlegungen die Geschäftsleitung betreffen.</w:t>
      </w:r>
      <w:r w:rsidR="00A0499A" w:rsidRPr="00F37C6A">
        <w:rPr>
          <w:rStyle w:val="FootnoteReference"/>
        </w:rPr>
        <w:footnoteReference w:id="15"/>
      </w:r>
      <w:r>
        <w:t xml:space="preserve"> In solchen Fällen könnte der direkte Zugang zu externen Kanälen stärkere Garantien für Vertraulichkeit und Unparteilichkeit bieten, und diese Möglichkeit sollte klar kommuniziert und effektiv zur Verfügung gestellt werden.</w:t>
      </w:r>
      <w:r w:rsidR="006158DF" w:rsidRPr="00F37C6A">
        <w:rPr>
          <w:rStyle w:val="FootnoteReference"/>
        </w:rPr>
        <w:footnoteReference w:id="16"/>
      </w:r>
    </w:p>
    <w:p w14:paraId="63F2D81A" w14:textId="77777777" w:rsidR="000552D1" w:rsidRPr="00F37C6A" w:rsidRDefault="000552D1" w:rsidP="00A055D1"/>
    <w:p w14:paraId="0A652FE5" w14:textId="08F00905" w:rsidR="00BA10CC" w:rsidRPr="00F37C6A" w:rsidRDefault="00377F66" w:rsidP="00A055D1">
      <w:pPr>
        <w:pStyle w:val="Heading2"/>
        <w:ind w:left="567" w:hanging="567"/>
      </w:pPr>
      <w:r>
        <w:t>Die Wirksamkeit externer Meldekanäle wird manchmal durch komplexe institutionelle Regelungen untergraben, die dazu führen, dass nicht klar ist, welche Stelle zuständig ist. Darüber hinaus führen begrenzte Ermittlungsbefugnisse und Kapazitätsengpässe nach Aussage französischer Behörden und Organisationen der Zivilgesellschaft häufig zu verzögerten oder fragmentierten Folgemaßnahmen.</w:t>
      </w:r>
      <w:r w:rsidR="00A0499A" w:rsidRPr="00F37C6A">
        <w:rPr>
          <w:rStyle w:val="FootnoteReference"/>
        </w:rPr>
        <w:footnoteReference w:id="17"/>
      </w:r>
      <w:r>
        <w:t xml:space="preserve"> In Rumänien wurde von zivilgesellschaftlichen Organisationen auf Berichte hingewiesen, denen zufolge Anträge auf Anerkennung des Status als Hinweisgeber oder Schutzempfehlungen nicht oder nur mit erheblicher Verzögerung beantwortet wurden.</w:t>
      </w:r>
      <w:r w:rsidR="00A0499A" w:rsidRPr="00F37C6A">
        <w:rPr>
          <w:rStyle w:val="FootnoteReference"/>
        </w:rPr>
        <w:footnoteReference w:id="18"/>
      </w:r>
    </w:p>
    <w:p w14:paraId="5F4B17F2" w14:textId="77777777" w:rsidR="000552D1" w:rsidRPr="00F37C6A" w:rsidRDefault="000552D1" w:rsidP="00A055D1"/>
    <w:p w14:paraId="2295C786" w14:textId="7B96A8DB" w:rsidR="00BA10CC" w:rsidRPr="00F37C6A" w:rsidRDefault="00683277" w:rsidP="00A055D1">
      <w:pPr>
        <w:pStyle w:val="Heading2"/>
        <w:ind w:left="567" w:hanging="567"/>
      </w:pPr>
      <w:r>
        <w:t>In Frankreich merkten Journalisten und zivilgesellschaftliche Akteure an, dass Bedingungen, die an die Offenlegung geknüpft sind, einschließlich der Anforderung, interne oder externe Kanäle auszuschöpfen und strenge Fristen einzuhalten, übermäßig aufwendig erscheinen und Journalisten daran hindern können, über Angelegenheiten von öffentlichem Interesse zu berichten.</w:t>
      </w:r>
      <w:r w:rsidR="00AC231D" w:rsidRPr="00F37C6A">
        <w:rPr>
          <w:rStyle w:val="FootnoteReference"/>
        </w:rPr>
        <w:footnoteReference w:id="19"/>
      </w:r>
    </w:p>
    <w:p w14:paraId="6108D72E" w14:textId="77777777" w:rsidR="000552D1" w:rsidRPr="00F37C6A" w:rsidRDefault="000552D1" w:rsidP="00A055D1"/>
    <w:p w14:paraId="48F9D516" w14:textId="374B40FB" w:rsidR="0016504B" w:rsidRPr="00F37C6A" w:rsidRDefault="00F52EA5" w:rsidP="00A055D1">
      <w:pPr>
        <w:pStyle w:val="Heading2"/>
        <w:ind w:left="567" w:hanging="567"/>
      </w:pPr>
      <w:r>
        <w:t>Ein solider Schutz vor Repressalien ist von grundlegender Bedeutung für die Wirksamkeit.</w:t>
      </w:r>
      <w:r w:rsidR="009D5908" w:rsidRPr="00F37C6A">
        <w:rPr>
          <w:rStyle w:val="FootnoteReference"/>
        </w:rPr>
        <w:footnoteReference w:id="20"/>
      </w:r>
      <w:r>
        <w:t xml:space="preserve"> In allen untersuchten Ländern sehen nach Angaben fast aller Interessenträger, einschließlich der Behörden, potenzielle Hinweisgeber aus Angst vor Repressalien nach wie vor von Meldungen ab.</w:t>
      </w:r>
      <w:r w:rsidR="00BA10CC" w:rsidRPr="00F37C6A">
        <w:rPr>
          <w:rStyle w:val="FootnoteReference"/>
        </w:rPr>
        <w:footnoteReference w:id="21"/>
      </w:r>
      <w:r>
        <w:t xml:space="preserve"> Verschiedene Interessenträger betonten, dass diese Befürchtung durch enge Definitionen von Repressalien, Rechtsunsicherheit, das Fehlen einstweiliger Schutzmaßnahmen für den Hinweisgeber, restriktive Bedingungen für den Zugang zu einem solchen Schutz, die verzögerte Anerkennung des Schutzstatus</w:t>
      </w:r>
      <w:r w:rsidR="00D33764" w:rsidRPr="00F37C6A">
        <w:rPr>
          <w:rStyle w:val="FootnoteReference"/>
        </w:rPr>
        <w:footnoteReference w:id="22"/>
      </w:r>
      <w:r>
        <w:t>, das Unterbleiben einer Wiedereinstellung im Falle einer Entlassung</w:t>
      </w:r>
      <w:r w:rsidR="004705C7" w:rsidRPr="00F37C6A">
        <w:rPr>
          <w:rStyle w:val="FootnoteReference"/>
        </w:rPr>
        <w:footnoteReference w:id="23"/>
      </w:r>
      <w:r>
        <w:t>, langwierige und komplexe arbeitsgerichtliche Verfahren</w:t>
      </w:r>
      <w:r w:rsidR="00D33764" w:rsidRPr="00F37C6A">
        <w:rPr>
          <w:rStyle w:val="FootnoteReference"/>
        </w:rPr>
        <w:footnoteReference w:id="24"/>
      </w:r>
      <w:r>
        <w:t xml:space="preserve"> sowie strategische Klagen gegen Hinweisgeber, Aktivisten und Medienakteure</w:t>
      </w:r>
      <w:r w:rsidR="00D33764" w:rsidRPr="00F37C6A">
        <w:rPr>
          <w:rStyle w:val="FootnoteReference"/>
        </w:rPr>
        <w:footnoteReference w:id="25"/>
      </w:r>
      <w:r>
        <w:t xml:space="preserve"> verstärkt wird.</w:t>
      </w:r>
    </w:p>
    <w:p w14:paraId="588025D0" w14:textId="77777777" w:rsidR="002143A2" w:rsidRPr="00F37C6A" w:rsidRDefault="002143A2" w:rsidP="00A055D1"/>
    <w:p w14:paraId="086D3C07" w14:textId="420F4A67" w:rsidR="00641492" w:rsidRPr="00F37C6A" w:rsidRDefault="009B24DA" w:rsidP="00A055D1">
      <w:pPr>
        <w:pStyle w:val="Heading2"/>
        <w:ind w:left="567" w:hanging="567"/>
      </w:pPr>
      <w:r>
        <w:t>Das Fehlen umfassender Unterstützungsmaßnahmen – einschließlich zugänglicher unabhängiger Beratung, Prozesskostenhilfe, vorläufiger finanzieller Unterstützung und Beratung durch spezialisierte Stellen – wurde bei drei Länderbesuchen als großes Problem dargestellt.</w:t>
      </w:r>
      <w:r w:rsidR="00641492" w:rsidRPr="00F37C6A">
        <w:rPr>
          <w:rStyle w:val="FootnoteReference"/>
        </w:rPr>
        <w:footnoteReference w:id="26"/>
      </w:r>
      <w:r>
        <w:t xml:space="preserve"> In Dänemark ist dies jedoch nur selten der Fall, nämlich dann, wenn sich Einzelpersonen dafür entscheiden, keine Gewerkschaft hinzuzuziehen.</w:t>
      </w:r>
    </w:p>
    <w:p w14:paraId="4C306948" w14:textId="77777777" w:rsidR="000552D1" w:rsidRPr="00F37C6A" w:rsidRDefault="000552D1" w:rsidP="00A055D1"/>
    <w:p w14:paraId="5C6B1E93" w14:textId="0B03E203" w:rsidR="00641492" w:rsidRPr="00F37C6A" w:rsidRDefault="00CE2569" w:rsidP="00A055D1">
      <w:pPr>
        <w:pStyle w:val="Heading2"/>
        <w:ind w:left="567" w:hanging="567"/>
      </w:pPr>
      <w:r>
        <w:t>In allen untersuchten Ländern wird einigen Interessenträgern zufolge die Wirksamkeit durch unzureichende rechtliche Möglichkeiten und Sanktionsregelungen weiter geschwächt.</w:t>
      </w:r>
      <w:r w:rsidR="002D6819" w:rsidRPr="00F37C6A">
        <w:rPr>
          <w:rStyle w:val="FootnoteReference"/>
        </w:rPr>
        <w:footnoteReference w:id="27"/>
      </w:r>
      <w:r>
        <w:t xml:space="preserve"> In Rumänien berichteten Organisationen der Zivilgesellschaft über Fälle, in denen die Behörden keine Sanktionen gegen Institutionen verhängt hatten, die es unterlassen hatten, interne Meldekanäle ordnungsgemäß einzurichten.</w:t>
      </w:r>
      <w:r w:rsidR="00641492" w:rsidRPr="00F37C6A">
        <w:rPr>
          <w:rStyle w:val="FootnoteReference"/>
        </w:rPr>
        <w:footnoteReference w:id="28"/>
      </w:r>
      <w:r>
        <w:t xml:space="preserve"> In Dänemark wurde die Höhe der Sanktionen vor dem Hintergrund der sehr wenigen Präzedenzfälle erörtert. Die Gewerkschaften halten es jedoch für sinnvoll, Entschädigungen im Namen ihrer Mitglieder auszuhandeln.</w:t>
      </w:r>
    </w:p>
    <w:p w14:paraId="6B47221C" w14:textId="77777777" w:rsidR="000552D1" w:rsidRPr="00F37C6A" w:rsidRDefault="000552D1" w:rsidP="00A055D1"/>
    <w:p w14:paraId="719F638F" w14:textId="60CB9615" w:rsidR="00641492" w:rsidRPr="00F37C6A" w:rsidRDefault="00F52EA5" w:rsidP="00A055D1">
      <w:pPr>
        <w:pStyle w:val="Heading2"/>
        <w:ind w:left="567" w:hanging="567"/>
      </w:pPr>
      <w:r>
        <w:t>Eine weitere Schwachstelle ist das Fehlen einer sinnvollen Weiterverfolgung. Hinweisgeber werden häufig nicht darüber informiert, welche Maßnahmen als Reaktion auf ihre Meldungen ergriffen wurden oder geplant sind. Nach Aussage lettischer Gewerkschaften und zivilgesellschaftlicher Organisationen wenden Behörden und Gerichte die Vorschriften möglicherweise formalistisch an, ohne die Dimension des öffentlichen Interesses zu berücksichtigen.</w:t>
      </w:r>
      <w:r w:rsidR="00D74814" w:rsidRPr="00F37C6A">
        <w:rPr>
          <w:rStyle w:val="FootnoteReference"/>
        </w:rPr>
        <w:footnoteReference w:id="29"/>
      </w:r>
      <w:r>
        <w:t xml:space="preserve"> Die Ziele der Verordnung könnten durch eine uneinheitliche Bearbeitung von Fällen und das Fehlen rechtzeitiger und sichtbarer Ergebnisse untergraben werden.</w:t>
      </w:r>
      <w:r w:rsidR="00641492" w:rsidRPr="00F37C6A">
        <w:rPr>
          <w:rStyle w:val="FootnoteReference"/>
        </w:rPr>
        <w:footnoteReference w:id="30"/>
      </w:r>
    </w:p>
    <w:p w14:paraId="23D880B4" w14:textId="77777777" w:rsidR="000552D1" w:rsidRPr="00F37C6A" w:rsidRDefault="000552D1" w:rsidP="00A055D1"/>
    <w:p w14:paraId="368E44E0" w14:textId="29038792" w:rsidR="00641492" w:rsidRPr="00F37C6A" w:rsidRDefault="00F20A3E" w:rsidP="00A055D1">
      <w:pPr>
        <w:pStyle w:val="Heading2"/>
        <w:ind w:left="567" w:hanging="567"/>
      </w:pPr>
      <w:r>
        <w:t>Bei drei Länderbesuchen wiesen verschiedene Teilnehmer auch auf unzureichende Ressourcen innerhalb der für den Schutz von Hinweisgebern zuständigen Institutionen hin, die häufig eine wachsende Zahl von Fällen bearbeiten müssen, ohne dass dies mit einer entsprechenden Aufstockung des Personals oder der Mittel einhergeht.</w:t>
      </w:r>
      <w:r w:rsidR="00641492" w:rsidRPr="00F37C6A">
        <w:rPr>
          <w:rStyle w:val="FootnoteReference"/>
        </w:rPr>
        <w:footnoteReference w:id="31"/>
      </w:r>
    </w:p>
    <w:p w14:paraId="575627EB" w14:textId="77777777" w:rsidR="000552D1" w:rsidRPr="00F37C6A" w:rsidRDefault="000552D1" w:rsidP="00A055D1"/>
    <w:p w14:paraId="1DF1626D" w14:textId="260C998E" w:rsidR="00641492" w:rsidRPr="00F37C6A" w:rsidRDefault="009B24DA" w:rsidP="00A055D1">
      <w:pPr>
        <w:pStyle w:val="Heading2"/>
        <w:ind w:left="567" w:hanging="567"/>
      </w:pPr>
      <w:r>
        <w:t>Die mangelnde Bereitschaft der Fachkräfte, die mit Meldungen von Hinweisgebern befasst sind, beeinträchtigt die Wirksamkeit weiter, was zu uneinheitlichen Entscheidungen und Verzögerungen bei der Anerkennung des Schutzstatus führt. Die Interessenträger forderten daher spezielle Schulungen für Richter, Rechtsanwälte, Arbeitsaufsichtsbeamte und Verwaltungsbeamte.</w:t>
      </w:r>
      <w:r w:rsidR="00641492" w:rsidRPr="00F37C6A">
        <w:rPr>
          <w:rStyle w:val="FootnoteReference"/>
        </w:rPr>
        <w:footnoteReference w:id="32"/>
      </w:r>
    </w:p>
    <w:p w14:paraId="0F36D115" w14:textId="77777777" w:rsidR="000552D1" w:rsidRPr="00F37C6A" w:rsidRDefault="000552D1" w:rsidP="00A055D1"/>
    <w:p w14:paraId="7ED03CFA" w14:textId="4C6B9F7F" w:rsidR="00641492" w:rsidRPr="00F37C6A" w:rsidRDefault="00F52EA5" w:rsidP="00A055D1">
      <w:pPr>
        <w:pStyle w:val="Heading2"/>
        <w:ind w:left="567" w:hanging="567"/>
      </w:pPr>
      <w:r>
        <w:t>In der Bewertung wurde ferner festgestellt, dass die Öffentlichkeit besser informiert und aufgeklärt werden muss, um einer anhaltend falschen Wahrnehmung der Meldungen von Hinweisgebern entgegenzuwirken. Durch das begrenzte Bewusstsein für Rechte und Verfahren sowohl bei Arbeitnehmern als auch bei Arbeitgebern wird nach wie vor die Umsetzung geschwächt, was Forderungen nach klareren Online-Informationen und -Leitlinien seitens der nationalen und EU-Organe nach sich zieht.</w:t>
      </w:r>
      <w:r w:rsidR="005D4403" w:rsidRPr="00F37C6A">
        <w:rPr>
          <w:rStyle w:val="FootnoteReference"/>
        </w:rPr>
        <w:footnoteReference w:id="33"/>
      </w:r>
    </w:p>
    <w:p w14:paraId="706A5D18" w14:textId="77777777" w:rsidR="000552D1" w:rsidRPr="00F37C6A" w:rsidRDefault="000552D1" w:rsidP="00A055D1"/>
    <w:p w14:paraId="75FA9D77" w14:textId="483DAEEA" w:rsidR="00641492" w:rsidRPr="00F37C6A" w:rsidRDefault="009B24DA" w:rsidP="00A055D1">
      <w:pPr>
        <w:pStyle w:val="Heading2"/>
        <w:ind w:left="567" w:hanging="567"/>
      </w:pPr>
      <w:r>
        <w:t>Schließlich betonten die Teilnehmer den Mangel an zuverlässigen und zugänglichen öffentlichen Daten über Meldungen und Folgemaßnahmen.</w:t>
      </w:r>
      <w:r w:rsidR="00641492" w:rsidRPr="00F37C6A">
        <w:rPr>
          <w:rStyle w:val="FootnoteReference"/>
        </w:rPr>
        <w:footnoteReference w:id="34"/>
      </w:r>
      <w:r>
        <w:t xml:space="preserve"> In Dänemark kritisierten zivilgesellschaftliche Organisationen den eingeschränkten Zugang zu den der Kommission vorgelegten Statistiken und wiesen darauf hin, dass dieser Mangel an Transparenz die fundierte öffentliche Debatte und das Vertrauen in die Aufsichtsgremien untergrabe.</w:t>
      </w:r>
      <w:r w:rsidR="00641492" w:rsidRPr="00F37C6A">
        <w:rPr>
          <w:rStyle w:val="FootnoteReference"/>
        </w:rPr>
        <w:footnoteReference w:id="35"/>
      </w:r>
    </w:p>
    <w:p w14:paraId="47A3AD9C" w14:textId="77777777" w:rsidR="00061265" w:rsidRPr="00F37C6A" w:rsidRDefault="00061265" w:rsidP="00A055D1"/>
    <w:p w14:paraId="0EE9B8D4" w14:textId="085815E2" w:rsidR="00642E5F" w:rsidRPr="00F37C6A" w:rsidRDefault="00642E5F" w:rsidP="00A055D1">
      <w:pPr>
        <w:pStyle w:val="Heading1"/>
        <w:keepNext/>
        <w:keepLines/>
        <w:ind w:left="567" w:hanging="567"/>
        <w:rPr>
          <w:b/>
        </w:rPr>
      </w:pPr>
      <w:r>
        <w:rPr>
          <w:b/>
        </w:rPr>
        <w:t>Schlussfolgerungen zur Relevanz</w:t>
      </w:r>
    </w:p>
    <w:p w14:paraId="37646253" w14:textId="77777777" w:rsidR="00642E5F" w:rsidRPr="00F37C6A" w:rsidRDefault="00642E5F" w:rsidP="00A055D1">
      <w:pPr>
        <w:keepNext/>
        <w:keepLines/>
        <w:overflowPunct/>
        <w:adjustRightInd/>
        <w:ind w:left="142" w:hanging="142"/>
        <w:jc w:val="left"/>
        <w:textAlignment w:val="auto"/>
      </w:pPr>
    </w:p>
    <w:p w14:paraId="21F19FB2" w14:textId="2B4B914E" w:rsidR="00002AB8" w:rsidRPr="00F37C6A" w:rsidRDefault="009B24DA" w:rsidP="00A055D1">
      <w:pPr>
        <w:pStyle w:val="Heading2"/>
        <w:ind w:left="567" w:hanging="567"/>
      </w:pPr>
      <w:r>
        <w:t>Der Begriff „Relevanz“ bezieht sich darauf, inwieweit die Ziele einer Maßnahme gesellschaftlichen Bedürfnissen und umfassenderen politischen Prioritäten der EU entsprechen. In der Bewertung des EWSA wird daher die Rolle der Richtlinie beim Schutz von Personen, die Verstöße gegen das EU-Recht melden, die das öffentliche Interesse gefährden, und bei der Bewältigung der Probleme, die sich aus solchen Verstößen ergeben, untersucht.</w:t>
      </w:r>
    </w:p>
    <w:p w14:paraId="68CF0048" w14:textId="77777777" w:rsidR="000552D1" w:rsidRPr="00F37C6A" w:rsidRDefault="000552D1" w:rsidP="00A055D1"/>
    <w:p w14:paraId="40C8A671" w14:textId="37397540" w:rsidR="00BC1130" w:rsidRPr="00F37C6A" w:rsidRDefault="00C86001" w:rsidP="00A055D1">
      <w:pPr>
        <w:pStyle w:val="Heading2"/>
        <w:ind w:left="567" w:hanging="567"/>
      </w:pPr>
      <w:r>
        <w:t>In allen untersuchten Ländern waren einige Interessenträger der Ansicht, dass die Relevanz der Richtlinie gestärkt wird, wenn sowohl ihr sachlicher als auch ihr persönlicher Anwendungsbereich auf die nationale Umsetzung ausgeweitet wird.</w:t>
      </w:r>
      <w:r w:rsidR="00CC3E29" w:rsidRPr="00B75E34">
        <w:rPr>
          <w:rStyle w:val="FootnoteReference"/>
        </w:rPr>
        <w:footnoteReference w:id="36"/>
      </w:r>
      <w:r>
        <w:t xml:space="preserve"> In Dänemark kritisierten zivilgesellschaftliche Organisationen jedoch übermäßig strenge Vertraulichkeitspflichten, durch die die Offenlegung von Angelegenheiten von erheblichem öffentlichen Interesse unterdrückt und die Sichtbarkeit systemischen Fehlverhaltens verringert werden könnten.</w:t>
      </w:r>
      <w:r w:rsidR="00263D8C" w:rsidRPr="00F37C6A">
        <w:rPr>
          <w:rStyle w:val="FootnoteReference"/>
        </w:rPr>
        <w:footnoteReference w:id="37"/>
      </w:r>
      <w:r>
        <w:t xml:space="preserve"> In Rumänien gaben Arbeitgebervertreter wiederum zu bedenken, dass ein sehr weit gefasster sachlicher Anwendungsbereich die praktische Durchsetzung erschweren, Unsicherheit für die Fallbearbeiter schaffen und die Gefahr bergen kann, den Fokus von Systemen zur Meldung von Verstößen zu verwässern.</w:t>
      </w:r>
      <w:r w:rsidR="009E533D">
        <w:rPr>
          <w:rStyle w:val="FootnoteReference"/>
        </w:rPr>
        <w:footnoteReference w:id="38"/>
      </w:r>
    </w:p>
    <w:p w14:paraId="4CCD3342" w14:textId="77777777" w:rsidR="000552D1" w:rsidRPr="00F37C6A" w:rsidRDefault="000552D1" w:rsidP="00A055D1"/>
    <w:p w14:paraId="731348B0" w14:textId="4F0C7808" w:rsidR="00002AB8" w:rsidRPr="00F37C6A" w:rsidRDefault="009B24DA" w:rsidP="00A055D1">
      <w:pPr>
        <w:pStyle w:val="Heading2"/>
        <w:ind w:left="567" w:hanging="567"/>
      </w:pPr>
      <w:r>
        <w:t>Während der Länderbesuche berichteten einige Teilnehmer, dass Geschäfts-/Berufsgeheimnisse zwar nicht für Hinweisgeber gelten, die im öffentlichen Interesse handeln, diese in der Praxis jedoch genutzt werden, um Hinweisgeber einzuschüchtern oder Verfahren zu verzögern.</w:t>
      </w:r>
      <w:r w:rsidR="004C5B89" w:rsidRPr="00F37C6A">
        <w:rPr>
          <w:rStyle w:val="FootnoteReference"/>
        </w:rPr>
        <w:footnoteReference w:id="39"/>
      </w:r>
      <w:r>
        <w:t xml:space="preserve"> Organisationen der Zivilgesellschaft forderten daher klare Leitlinien für die Wechselwirkung zwischen den Vorschriften über Meldungen von Hinweisgebern, dem Berufsgeheimnis, dem Datenschutzrecht und sektorspezifischen Meldepflichten, insbesondere für Betriebs- bzw. Personalräte.</w:t>
      </w:r>
      <w:r w:rsidR="00002AB8" w:rsidRPr="00F37C6A">
        <w:rPr>
          <w:rStyle w:val="FootnoteReference"/>
        </w:rPr>
        <w:footnoteReference w:id="40"/>
      </w:r>
      <w:r>
        <w:t xml:space="preserve"> Durch solche Leitlinien würde auch den Bedenken von Unternehmensverbänden hinsichtlich klarerer Verweise auf Rechtsvorschriften und der Vermeidung unnötiger Überschneidungen bei den Meldepflichten Rechnung getragen.</w:t>
      </w:r>
      <w:r w:rsidR="00002AB8" w:rsidRPr="00F37C6A">
        <w:rPr>
          <w:rStyle w:val="FootnoteReference"/>
        </w:rPr>
        <w:footnoteReference w:id="41"/>
      </w:r>
    </w:p>
    <w:p w14:paraId="5E5C3240" w14:textId="77777777" w:rsidR="000552D1" w:rsidRPr="00F37C6A" w:rsidRDefault="000552D1" w:rsidP="00A055D1"/>
    <w:p w14:paraId="0AED0C25" w14:textId="55E8E7A5" w:rsidR="00002AB8" w:rsidRPr="00F37C6A" w:rsidRDefault="00236C92" w:rsidP="00A055D1">
      <w:pPr>
        <w:pStyle w:val="Heading2"/>
        <w:ind w:left="567" w:hanging="567"/>
      </w:pPr>
      <w:r>
        <w:t>Die Teilnehmer mit Erfahrungen im Umgang mit Meldungen von Hinweisgebern gaben an, dass sich Meldungen von Hinweisgebern am häufigsten auf arbeitsrechtliche und beschäftigungsbezogene Fragen beziehen, darunter Fragen des Arbeitsschutzes und der Sozialversicherung. In vielen Fällen geht es auch um Korruption, Integritätsverletzungen und Fehlverhalten sowohl im öffentlichen als auch im privaten Sektor. Weitere Punkte, die häufig genannt wurden, sind Steuer- und Finanzbetrug, Verstöße gegen Umweltschutzauflagen und Governance im öffentlichen Sektor. Erwähnung fanden weiter Menschenrechte, Diskriminierung, Datenschutz, Wettbewerbsrecht sowie branchenspezifische Bereiche wie Bankwesen, Energie und Lebensmittelsicherheit.</w:t>
      </w:r>
      <w:r w:rsidR="00002AB8" w:rsidRPr="00F37C6A">
        <w:rPr>
          <w:rStyle w:val="FootnoteReference"/>
        </w:rPr>
        <w:footnoteReference w:id="42"/>
      </w:r>
      <w:r>
        <w:t xml:space="preserve"> Dänemark und Lettland haben den sachlichen Anwendungsbereich der Richtlinie über individuelle Arbeitsstreitigkeiten hinaus auf schwerwiegende Verstöße gegen das Arbeitsrecht ausgeweitet.</w:t>
      </w:r>
      <w:r w:rsidR="00002AB8" w:rsidRPr="00F37C6A">
        <w:rPr>
          <w:rStyle w:val="FootnoteReference"/>
        </w:rPr>
        <w:footnoteReference w:id="43"/>
      </w:r>
      <w:r>
        <w:t xml:space="preserve"> Ebenso erkennen Frankreich und Italien an, dass soziale und innerbetriebliche Probleme, die systemische Risiken oder kollektive Schäden mit sich bringen, schutzbedürftig sind.</w:t>
      </w:r>
      <w:r w:rsidR="00002AB8" w:rsidRPr="00F37C6A">
        <w:rPr>
          <w:rStyle w:val="FootnoteReference"/>
        </w:rPr>
        <w:footnoteReference w:id="44"/>
      </w:r>
      <w:r>
        <w:t xml:space="preserve"> Rumänische Gewerkschaften und Organisationen der Zivilgesellschaft wiesen darauf hin, dass der Schutz von Hinweisgebern bestehende Arbeitsnormen stärken könnte. Institutionelle Beschränkungen, mangelndes Bewusstsein, Angst vor Repressalien und kulturelle Vorbehalte seien jedoch nach wie vor Gründe, die Menschen von der Meldung entsprechender Missstände abhalten.</w:t>
      </w:r>
      <w:r w:rsidR="0081494E" w:rsidRPr="00F37C6A">
        <w:rPr>
          <w:rStyle w:val="FootnoteReference"/>
        </w:rPr>
        <w:footnoteReference w:id="45"/>
      </w:r>
    </w:p>
    <w:p w14:paraId="6E2BDDA7" w14:textId="77777777" w:rsidR="000552D1" w:rsidRPr="00F37C6A" w:rsidRDefault="000552D1" w:rsidP="00A055D1"/>
    <w:p w14:paraId="318E9D3F" w14:textId="187CCCBD" w:rsidR="00F43FFE" w:rsidRPr="00F37C6A" w:rsidRDefault="009B24DA" w:rsidP="00A055D1">
      <w:pPr>
        <w:pStyle w:val="Heading2"/>
        <w:ind w:left="567" w:hanging="567"/>
      </w:pPr>
      <w:r>
        <w:t>Durch den Schutz von Hinweisgebern können einigen Interessenträgern zufolge die Arbeitsnormen gestärkt werden, indem Arbeitnehmern, die systemischen sozialen Missbrauch oder Missbrauch am Arbeitsplatz melden, zusätzliche Sicherheit geboten wird. Die Sozialpartner in Italien betonten jedoch, dass solchen Problemen mit Tarifverhandlungen, betrieblichen Gleichstellungsstellen und Sicherheitsbeauftragten häufig wirksamer begegnet werden kann, und warnten davor, dass der ausschließliche Rückgriff auf Mechanismen zur Meldung von Missständen den sozialen Dialog schwächen und Arbeitnehmer isolieren könnte.</w:t>
      </w:r>
      <w:r w:rsidR="00F43FFE" w:rsidRPr="00F37C6A">
        <w:rPr>
          <w:rStyle w:val="FootnoteReference"/>
        </w:rPr>
        <w:footnoteReference w:id="46"/>
      </w:r>
    </w:p>
    <w:p w14:paraId="10AB9303" w14:textId="77777777" w:rsidR="000552D1" w:rsidRPr="00F37C6A" w:rsidRDefault="000552D1" w:rsidP="00A055D1"/>
    <w:p w14:paraId="13AAEA48" w14:textId="52015ACD" w:rsidR="00F43FFE" w:rsidRPr="00F37C6A" w:rsidRDefault="009B24DA" w:rsidP="00A055D1">
      <w:pPr>
        <w:pStyle w:val="Heading2"/>
        <w:ind w:left="567" w:hanging="567"/>
      </w:pPr>
      <w:r>
        <w:t>In Frankreich wurden die Beratung, die Bescheinigung des Status und die Unterstützung von Hinweisgebern durch die Einrichtung einer speziellen Stelle innerhalb der Einrichtung des Bürgerbeauftragten verbessert</w:t>
      </w:r>
      <w:r w:rsidR="00F43FFE" w:rsidRPr="00F37C6A">
        <w:rPr>
          <w:rStyle w:val="FootnoteReference"/>
        </w:rPr>
        <w:footnoteReference w:id="47"/>
      </w:r>
      <w:r>
        <w:t>, was zu einem deutlichen Anstieg der Zahl der bearbeiteten Fälle geführt hat.</w:t>
      </w:r>
      <w:r w:rsidR="00F43FFE" w:rsidRPr="00F37C6A">
        <w:rPr>
          <w:rStyle w:val="FootnoteReference"/>
        </w:rPr>
        <w:footnoteReference w:id="48"/>
      </w:r>
      <w:r>
        <w:t xml:space="preserve"> Gleichzeitig hat die Tatsache, dass es mehrere zuständige Behörden gibt, zu Verwirrung geführt, wodurch der Bürgerbeauftragte zur ersten Anlaufstelle geworden ist und die Arbeitsbelastung ungleich verteilt ist.</w:t>
      </w:r>
      <w:r w:rsidR="00F43FFE" w:rsidRPr="00F37C6A">
        <w:rPr>
          <w:rStyle w:val="FootnoteReference"/>
        </w:rPr>
        <w:footnoteReference w:id="49"/>
      </w:r>
    </w:p>
    <w:p w14:paraId="6C7D37C7" w14:textId="77777777" w:rsidR="00642E5F" w:rsidRPr="00F37C6A" w:rsidRDefault="00642E5F" w:rsidP="00A055D1">
      <w:pPr>
        <w:overflowPunct/>
        <w:adjustRightInd/>
        <w:textAlignment w:val="auto"/>
        <w:rPr>
          <w:highlight w:val="yellow"/>
        </w:rPr>
      </w:pPr>
    </w:p>
    <w:p w14:paraId="1AD1CE52" w14:textId="507D1B9E" w:rsidR="00642E5F" w:rsidRPr="00F37C6A" w:rsidRDefault="00642E5F" w:rsidP="00A055D1">
      <w:pPr>
        <w:pStyle w:val="Heading1"/>
        <w:keepNext/>
        <w:keepLines/>
        <w:ind w:left="567" w:hanging="567"/>
        <w:rPr>
          <w:b/>
        </w:rPr>
      </w:pPr>
      <w:r>
        <w:rPr>
          <w:b/>
        </w:rPr>
        <w:t>Schlussfolgerungen zum Mehrwert der Zivilgesellschaft</w:t>
      </w:r>
    </w:p>
    <w:p w14:paraId="7DE4F188" w14:textId="77777777" w:rsidR="00642E5F" w:rsidRPr="00F37C6A" w:rsidRDefault="00642E5F" w:rsidP="00A055D1">
      <w:pPr>
        <w:keepNext/>
        <w:keepLines/>
        <w:overflowPunct/>
        <w:adjustRightInd/>
        <w:ind w:left="142" w:hanging="142"/>
        <w:jc w:val="left"/>
        <w:textAlignment w:val="auto"/>
      </w:pPr>
    </w:p>
    <w:p w14:paraId="219542F2" w14:textId="1EDF71DD" w:rsidR="00F43FFE" w:rsidRPr="00F37C6A" w:rsidRDefault="005F2C93" w:rsidP="00A055D1">
      <w:pPr>
        <w:pStyle w:val="Heading2"/>
        <w:ind w:left="567" w:hanging="567"/>
      </w:pPr>
      <w:r>
        <w:t>Der Mehrwert der Zivilgesellschaft wird anhand des Ausmaßes ihrer Einbindung in die Konzeption, Umsetzung, Überwachung und Bewertung von EU-Rechtsvorschriften bewertet. Diese Rolle ist im Zusammenhang mit der Richtlinie über den Schutz von Hinweisgebern besonders wichtig, da ihr Schwerpunkt auf dem Schutz von Personen liegt, die Verstöße gegen das EU-Recht melden, die dem öffentlichen Interesse schaden.</w:t>
      </w:r>
    </w:p>
    <w:p w14:paraId="1D2684B2" w14:textId="77777777" w:rsidR="000552D1" w:rsidRPr="00F37C6A" w:rsidRDefault="000552D1" w:rsidP="00A055D1"/>
    <w:p w14:paraId="43279FFD" w14:textId="630B78DC" w:rsidR="00F43FFE" w:rsidRPr="00F37C6A" w:rsidRDefault="005F2C93" w:rsidP="004A3FA3">
      <w:pPr>
        <w:pStyle w:val="Heading2"/>
        <w:keepNext/>
        <w:keepLines/>
        <w:ind w:left="567" w:hanging="567"/>
      </w:pPr>
      <w:r>
        <w:t>In allen untersuchten Ländern spielen die Gewerkschaften eine zentrale Rolle bei der Unterstützung von Hinweisgebern und fungieren häufig als erste Anlaufstelle für Arbeitnehmer, die in Erwägung ziehen, Fehlverhalten zu melden. Sie helfen dabei, rechtliche Verpflichtungen zu verstehen, geeignete Meldekanäle zu ermitteln, Rechtsverstöße zu bewerten, die Einhaltung der Vertraulichkeitsanforderungen sicherzustellen und Risiken, einschließlich Repressalien, einzuschätzen.</w:t>
      </w:r>
      <w:r w:rsidR="00F43FFE" w:rsidRPr="00F37C6A">
        <w:rPr>
          <w:rStyle w:val="FootnoteReference"/>
        </w:rPr>
        <w:footnoteReference w:id="50"/>
      </w:r>
      <w:r>
        <w:t xml:space="preserve"> Sie assistieren auch bei der Beweiserhebung, begleiten Hinweisgeber während des gesamten Meldeverfahrens, leisten bei Repressalien Unterstützung und organisieren gezielte Sensibilisierungsmaßnahmen.</w:t>
      </w:r>
      <w:r w:rsidR="00356206" w:rsidRPr="00F37C6A">
        <w:rPr>
          <w:rStyle w:val="FootnoteReference"/>
        </w:rPr>
        <w:footnoteReference w:id="51"/>
      </w:r>
      <w:r>
        <w:t xml:space="preserve"> Das Vertrauen in die Sozialpartner ist nach wie vor ein Schlüsselfaktor, der Hinweisgeber darin bestärkt, tätig zu werden.</w:t>
      </w:r>
    </w:p>
    <w:p w14:paraId="7ACAB7C4" w14:textId="77777777" w:rsidR="000552D1" w:rsidRPr="00F37C6A" w:rsidRDefault="000552D1" w:rsidP="00A055D1"/>
    <w:p w14:paraId="06C4BFE3" w14:textId="7521027D" w:rsidR="00F43FFE" w:rsidRDefault="00AD0D8C" w:rsidP="00A055D1">
      <w:pPr>
        <w:pStyle w:val="Heading2"/>
        <w:ind w:left="567" w:hanging="567"/>
      </w:pPr>
      <w:r>
        <w:t>Organisationen der Zivilgesellschaft spielen auch eine Schlüsselrolle, indem sie potenzielle Hinweisgeber dabei unterstützen, die rechtlichen und verfahrenstechnischen Anforderungen zu verstehen, persönliche Risiken einzuschätzen und Meldungen zu erstellen.</w:t>
      </w:r>
      <w:r w:rsidR="00F43FFE" w:rsidRPr="00F37C6A">
        <w:rPr>
          <w:rStyle w:val="FootnoteReference"/>
        </w:rPr>
        <w:footnoteReference w:id="52"/>
      </w:r>
      <w:r>
        <w:t xml:space="preserve"> Sie fördern auch eine Kultur der Meldung von Missständen, indem sie die Öffentlichkeit sensibilisieren. Gewerkschaften, Arbeitnehmervertreter und Organisationen der Zivilgesellschaft sollten daher als Vermittler betrachtet werden und vor Repressalien geschützt werden.</w:t>
      </w:r>
    </w:p>
    <w:p w14:paraId="2087F558" w14:textId="77777777" w:rsidR="00CF1A1B" w:rsidRPr="00CF1A1B" w:rsidRDefault="00CF1A1B" w:rsidP="00A055D1"/>
    <w:p w14:paraId="5FEFA27C" w14:textId="71759D92" w:rsidR="00DB5D0F" w:rsidRPr="00F37C6A" w:rsidRDefault="00FB2239" w:rsidP="00A055D1">
      <w:pPr>
        <w:pStyle w:val="Heading2"/>
        <w:ind w:left="567" w:hanging="567"/>
      </w:pPr>
      <w:r>
        <w:t>Bei vier Länderbesuchen wurde darauf hingewiesen, dass Organisationen der Zivilgesellschaft trotz ihrer wichtigen Rolle häufig mit fehlenden Finanzmitteln zu kämpfen haben, wodurch sie Hinweisgeber nicht ausreichend nachhaltig unterstützen können.</w:t>
      </w:r>
      <w:r w:rsidR="00DB5D0F" w:rsidRPr="00F37C6A">
        <w:rPr>
          <w:rStyle w:val="FootnoteReference"/>
        </w:rPr>
        <w:footnoteReference w:id="53"/>
      </w:r>
    </w:p>
    <w:p w14:paraId="57C9CF57" w14:textId="77777777" w:rsidR="000552D1" w:rsidRPr="00F37C6A" w:rsidRDefault="000552D1" w:rsidP="00A055D1"/>
    <w:p w14:paraId="36DF87EE" w14:textId="321B5641" w:rsidR="00EE1AF0" w:rsidRPr="00F37C6A" w:rsidRDefault="00AD0D8C" w:rsidP="00A055D1">
      <w:pPr>
        <w:pStyle w:val="Heading2"/>
        <w:ind w:left="567" w:hanging="567"/>
      </w:pPr>
      <w:r>
        <w:t>In allen bewerteten Ländern übernehmen in erster Linie Behörden und staatliche Unternehmen die Durchführungs- und Überwachungsaufgaben, ohne dass Gewerkschaften oder Organisationen der Zivilgesellschaft eine formale Aufsichts- oder Mitverwaltungsfunktion haben.</w:t>
      </w:r>
      <w:r w:rsidR="002F4097" w:rsidRPr="00F37C6A">
        <w:rPr>
          <w:rStyle w:val="FootnoteReference"/>
        </w:rPr>
        <w:footnoteReference w:id="54"/>
      </w:r>
      <w:r>
        <w:t xml:space="preserve"> In Frankreich berichteten sowohl Gewerkschaften als auch zivilgesellschaftliche Organisationen außerdem über begrenzte Konsultationen zu sektoralen Reformen mit indirekten, aber erheblichen Auswirkungen auf die Meldungen von Hinweisgebern, einschließlich Vorschriften über die Transparenz und Vertraulichkeit in Unternehmen.</w:t>
      </w:r>
      <w:r w:rsidR="00EE1AF0" w:rsidRPr="00F37C6A">
        <w:rPr>
          <w:rStyle w:val="FootnoteReference"/>
        </w:rPr>
        <w:footnoteReference w:id="55"/>
      </w:r>
    </w:p>
    <w:p w14:paraId="62813FB1" w14:textId="77777777" w:rsidR="000552D1" w:rsidRPr="00F37C6A" w:rsidRDefault="000552D1" w:rsidP="00A055D1"/>
    <w:p w14:paraId="74C341E9" w14:textId="249CF666" w:rsidR="00130B9A" w:rsidRPr="00F37C6A" w:rsidRDefault="00806787" w:rsidP="00A055D1">
      <w:pPr>
        <w:pStyle w:val="Heading2"/>
        <w:ind w:left="567" w:hanging="567"/>
      </w:pPr>
      <w:r>
        <w:t>Mehrere Teilnehmer in Dänemark und Rumänien stellten fest, dass systemische Verbesserungen häufig auf Ermittlungen von Investigativjournalisten und nicht auf Folgemaßnahmen innerhalb der Rahmen für Meldungen von Hinweisgebern zurückzuführen sind.</w:t>
      </w:r>
      <w:r w:rsidR="002F4097" w:rsidRPr="00F37C6A">
        <w:rPr>
          <w:rStyle w:val="FootnoteReference"/>
        </w:rPr>
        <w:footnoteReference w:id="56"/>
      </w:r>
      <w:r>
        <w:t xml:space="preserve"> In allen untersuchten Ländern spielen die Medien eine entscheidende Rolle für das allgemeine Funktionieren des Systems zum Schutz von Hinweisgebern, die Meinungsbildung in der Öffentlichkeit und die Bekanntmachung der Ergebnisse wichtiger Fälle.</w:t>
      </w:r>
      <w:r w:rsidR="00130B9A" w:rsidRPr="00F37C6A">
        <w:rPr>
          <w:rStyle w:val="FootnoteReference"/>
        </w:rPr>
        <w:footnoteReference w:id="57"/>
      </w:r>
    </w:p>
    <w:p w14:paraId="3336D322" w14:textId="77777777" w:rsidR="000552D1" w:rsidRPr="00F37C6A" w:rsidRDefault="000552D1" w:rsidP="00A055D1"/>
    <w:p w14:paraId="7FC7D2E9" w14:textId="34A5641F" w:rsidR="002F4097" w:rsidRPr="00F37C6A" w:rsidRDefault="007B5EB9" w:rsidP="00A055D1">
      <w:pPr>
        <w:pStyle w:val="Heading2"/>
        <w:ind w:left="567" w:hanging="567"/>
      </w:pPr>
      <w:r>
        <w:t>Viele Gewerkschaften, Organisationen der Zivilgesellschaft und Journalisten in Frankreich kritisierten die übermäßig langwierigen Verfahren und belastenden Bedingungen im Zusammenhang mit einer Offenlegung</w:t>
      </w:r>
      <w:r w:rsidR="002F4097" w:rsidRPr="00F37C6A">
        <w:rPr>
          <w:rStyle w:val="FootnoteReference"/>
        </w:rPr>
        <w:footnoteReference w:id="58"/>
      </w:r>
      <w:r>
        <w:t xml:space="preserve"> und wiesen darauf hin, dass strenge Fristen und Verfahrensanforderungen Journalisten daran hindern könnten, die Öffentlichkeit unverzüglich über Angelegenheiten von eindeutig allgemeinem Interesse zu informieren.</w:t>
      </w:r>
    </w:p>
    <w:p w14:paraId="4917DFF6" w14:textId="77777777" w:rsidR="000552D1" w:rsidRPr="00F37C6A" w:rsidRDefault="000552D1" w:rsidP="00A055D1"/>
    <w:p w14:paraId="4AEE6BFA" w14:textId="21E3FFB9" w:rsidR="002F4097" w:rsidRPr="00F37C6A" w:rsidRDefault="00AD0D8C" w:rsidP="00A055D1">
      <w:pPr>
        <w:pStyle w:val="Heading2"/>
        <w:ind w:left="567" w:hanging="567"/>
      </w:pPr>
      <w:r>
        <w:t>In Dänemark wurde Journalisten der Zugang zu fallbezogenen Informationen durch besonders strenge Vertraulichkeitsvorschriften erschwert, die Berichterstattung in den Medien über Unregelmäßigkeiten verringert und die öffentliche Debatte über systemisches Versagen eingeschränkt.</w:t>
      </w:r>
      <w:r w:rsidR="002F4097" w:rsidRPr="00F37C6A">
        <w:rPr>
          <w:rStyle w:val="FootnoteReference"/>
        </w:rPr>
        <w:footnoteReference w:id="59"/>
      </w:r>
    </w:p>
    <w:p w14:paraId="1952BD3F" w14:textId="77777777" w:rsidR="00642E5F" w:rsidRPr="00F37C6A" w:rsidRDefault="00642E5F" w:rsidP="00A055D1"/>
    <w:p w14:paraId="1632CD97" w14:textId="77777777" w:rsidR="00642E5F" w:rsidRPr="00F37C6A" w:rsidRDefault="00642E5F" w:rsidP="00A055D1">
      <w:pPr>
        <w:pStyle w:val="Heading1"/>
        <w:keepNext/>
        <w:keepLines/>
        <w:ind w:left="567" w:hanging="567"/>
        <w:rPr>
          <w:b/>
        </w:rPr>
      </w:pPr>
      <w:r>
        <w:rPr>
          <w:b/>
        </w:rPr>
        <w:t>Empfehlungen</w:t>
      </w:r>
    </w:p>
    <w:p w14:paraId="3605DA12" w14:textId="77777777" w:rsidR="00642E5F" w:rsidRPr="00F37C6A" w:rsidRDefault="00642E5F" w:rsidP="00A055D1">
      <w:pPr>
        <w:keepNext/>
        <w:keepLines/>
      </w:pPr>
    </w:p>
    <w:p w14:paraId="46AD1F62" w14:textId="482B9EF6" w:rsidR="009F6DD2" w:rsidRPr="00F37C6A" w:rsidRDefault="007529FB" w:rsidP="00A055D1">
      <w:pPr>
        <w:pStyle w:val="Heading2"/>
        <w:ind w:left="567" w:hanging="567"/>
      </w:pPr>
      <w:r>
        <w:t>In seiner Bewertung weist der EWSA darauf hin, dass in den untersuchten Ländern die Umsetzung der Richtlinie im Allgemeinen ein wichtiger Schritt zur Klärung der Rechtsrahmen, zur Einrichtung mehrerer Meldekanäle, zur Stärkung der Schutzmechanismen, zur Sensibilisierung für Meldungen durch Hinweisgeber und zur Stärkung der Rolle der zuständigen Behörden und der institutionellen Zusammenarbeit war. Nach wie vor besteht jedoch eine erhebliche Lücke zwischen dem formalen Rechtsschutz für Hinweisgeber und seiner praktischen Wirksamkeit.</w:t>
      </w:r>
      <w:r w:rsidR="003E1AEA" w:rsidRPr="00F37C6A">
        <w:rPr>
          <w:rStyle w:val="FootnoteReference"/>
        </w:rPr>
        <w:footnoteReference w:id="60"/>
      </w:r>
      <w:r>
        <w:t xml:space="preserve"> Der EWSA richtet daher seine Empfehlungen an die Mitgliedstaaten und fordert Leitlinien der Kommission, um das Ergreifen nationaler Maßnahmen zu unterstützen, mit denen die Lücken zwischen der rechtlichen Gestaltung des Rahmens für Meldungen von Hinweisgebern und seiner Umsetzung in der Praxis geschlossen werden sollen.</w:t>
      </w:r>
    </w:p>
    <w:p w14:paraId="142A6457" w14:textId="77777777" w:rsidR="000552D1" w:rsidRPr="00F37C6A" w:rsidRDefault="000552D1" w:rsidP="00A055D1"/>
    <w:p w14:paraId="30FFD3DF" w14:textId="3253DC36" w:rsidR="002F4097" w:rsidRPr="00F37C6A" w:rsidRDefault="007529FB" w:rsidP="00A055D1">
      <w:pPr>
        <w:pStyle w:val="Heading2"/>
        <w:ind w:left="567" w:hanging="567"/>
      </w:pPr>
      <w:r>
        <w:t>Bei den Länderbesuchen herrschte bei vielen Interessenträgern weitgehend Einigkeit dahingehend, dass der Schutzumfang der Richtlinie nach wie vor zu eng gefasst ist und auf soziale und arbeitsplatzbezogene Fragen ausgeweitet werden sollte.</w:t>
      </w:r>
      <w:r w:rsidR="00DE75FE" w:rsidRPr="00F37C6A">
        <w:rPr>
          <w:rStyle w:val="FootnoteReference"/>
        </w:rPr>
        <w:footnoteReference w:id="61"/>
      </w:r>
      <w:r>
        <w:t xml:space="preserve"> Aus den Antworten auf den Fragebogen ging jedoch hervor, dass 45 % der Befragten auf die Frage, ob der derzeitige sachliche Anwendungsbereich der Richtlinie richtig konzipiert ist, um ihre Ziele zu erreichen, der Ansicht sind, dass er unverändert beibehalten werden sollte, während 35 % der Ansicht sind, dass er ausgeweitet werden sollte.</w:t>
      </w:r>
      <w:r w:rsidR="007C475A">
        <w:rPr>
          <w:rStyle w:val="FootnoteReference"/>
        </w:rPr>
        <w:footnoteReference w:id="62"/>
      </w:r>
      <w:r>
        <w:t xml:space="preserve"> Die Befragten, die der Ansicht waren, dass der sachliche Anwendungsbereich der Richtlinie ausgeweitet werden sollte, gaben zusätzlich an, dass die Beschränkung des Schutzes auf bestimmte Bereiche des EU-Rechts zu Rechtsunsicherheit für potenzielle Hinweisgeber führt und von Offenlegungen abhalten könnte, da die Unterscheidung zwischen EU- und nationalem Recht nicht einfach ist.</w:t>
      </w:r>
      <w:r w:rsidR="00DE75FE" w:rsidRPr="00F37C6A">
        <w:rPr>
          <w:rStyle w:val="FootnoteReference"/>
        </w:rPr>
        <w:footnoteReference w:id="63"/>
      </w:r>
    </w:p>
    <w:p w14:paraId="66319A11" w14:textId="77777777" w:rsidR="000552D1" w:rsidRPr="00F37C6A" w:rsidRDefault="000552D1" w:rsidP="00A055D1"/>
    <w:p w14:paraId="0C49FDCF" w14:textId="1F50CD4B" w:rsidR="000552D1" w:rsidRPr="004A3FA3" w:rsidRDefault="007529FB" w:rsidP="00A055D1">
      <w:pPr>
        <w:pStyle w:val="Heading2"/>
        <w:ind w:left="567" w:hanging="567"/>
        <w:rPr>
          <w:vanish/>
        </w:rPr>
      </w:pPr>
      <w:r>
        <w:t>Kleinen Unternehmen wird aufgrund begrenzter Ressourcen sowie fehlender Expertise und Instrumente die Umsetzung der internen Meldepflichten erschwert.</w:t>
      </w:r>
      <w:r w:rsidR="00DE75FE" w:rsidRPr="00F37C6A">
        <w:rPr>
          <w:rStyle w:val="FootnoteReference"/>
        </w:rPr>
        <w:footnoteReference w:id="64"/>
      </w:r>
      <w:r>
        <w:t xml:space="preserve"> Der EWSA empfiehlt, die Einrichtung geteilter oder sektorspezifischer Meldemechanismen gemäß Artikel 8 Absatz 6 der Richtlinie (EU) 2019/1937 zu prüfen.</w:t>
      </w:r>
    </w:p>
    <w:p w14:paraId="2A2A1576" w14:textId="77777777" w:rsidR="002300BA" w:rsidRPr="00F37C6A" w:rsidRDefault="002300BA" w:rsidP="00A055D1"/>
    <w:p w14:paraId="55E01CFB" w14:textId="5633D3CA" w:rsidR="00DE75FE" w:rsidRPr="00F37C6A" w:rsidRDefault="007529FB" w:rsidP="00A055D1">
      <w:pPr>
        <w:pStyle w:val="Heading2"/>
        <w:ind w:left="567" w:hanging="567"/>
      </w:pPr>
      <w:r>
        <w:t>Die Befragten wiesen auch auf anhaltende Angst vor Repressalien, langwierige Verfahren und ein ungleiches Schutzniveau hin. Einigen Interessenträgern zufolge sollten daher leichter zugängliche und wirksamere Präventivmaßnahmen eingeführt werden, um Repressalien zu beenden, bevor ein Schaden unumkehrbar wird.</w:t>
      </w:r>
      <w:r w:rsidR="00DE75FE" w:rsidRPr="00F37C6A">
        <w:rPr>
          <w:rStyle w:val="FootnoteReference"/>
        </w:rPr>
        <w:footnoteReference w:id="65"/>
      </w:r>
      <w:r>
        <w:t xml:space="preserve"> Finanzielle und andere Unterstützungsmaßnahmen sollten ebenfalls zur Verfügung gestellt werden.</w:t>
      </w:r>
    </w:p>
    <w:p w14:paraId="2B0E7750" w14:textId="77777777" w:rsidR="000552D1" w:rsidRPr="00F37C6A" w:rsidRDefault="000552D1" w:rsidP="00A055D1"/>
    <w:p w14:paraId="1E3B60A6" w14:textId="79E06F43" w:rsidR="000552D1" w:rsidRDefault="007529FB" w:rsidP="00A055D1">
      <w:pPr>
        <w:pStyle w:val="Heading2"/>
        <w:ind w:left="567" w:hanging="567"/>
      </w:pPr>
      <w:r>
        <w:t>Um dem chronischen Geld- und Personalmangel, den nur begrenzten Schulungsmöglichkeiten, langwierigen Gerichtsverfahren, Verzögerungen bei der Fallbearbeitung und der geringen Bekanntheit der verfügbaren rechtlichen Mechanismen entgegenzuwirken, sollten die Mitgliedstaaten den für die Verfahren zur Meldung von Missständen zuständigen Einrichtungen ausreichende Ressourcen zur Verfügung stellen.</w:t>
      </w:r>
    </w:p>
    <w:p w14:paraId="2F57B00E" w14:textId="77777777" w:rsidR="004453D9" w:rsidRPr="004453D9" w:rsidRDefault="004453D9" w:rsidP="003878E0"/>
    <w:p w14:paraId="375B4E9E" w14:textId="1D50D3DC" w:rsidR="003F5830" w:rsidRPr="00F37C6A" w:rsidRDefault="004453D9" w:rsidP="00A055D1">
      <w:pPr>
        <w:pStyle w:val="Heading2"/>
        <w:ind w:left="567" w:hanging="567"/>
      </w:pPr>
      <w:r>
        <w:t>Einige Interessenträger wiesen darauf hin, dass die Einbeziehung von Gewerkschaften und Arbeitnehmervertretern in die Gestaltung, Überarbeitung und Überwachung interner Meldeverfahren dazu beitragen kann, dass solche Mechanismen wirksam, unabhängig und auf die innerbetrieblichen Gegebenheiten abgestimmt bleiben. Durch diese Einbeziehung können auch das Vertrauen in das System gestärkt und das Bewusstsein sowohl der Arbeitgeber als auch der Arbeitnehmer geschärft werden.</w:t>
      </w:r>
      <w:r w:rsidR="00FA7574" w:rsidRPr="00F37C6A">
        <w:rPr>
          <w:rStyle w:val="FootnoteReference"/>
        </w:rPr>
        <w:footnoteReference w:id="66"/>
      </w:r>
      <w:r>
        <w:t xml:space="preserve"> Durch Rückmeldungen von Organisationen der Zivilgesellschaft können die Behörden weiter dabei unterstützt werden, die Verwaltungsverfahren zu verfeinern und die Wirksamkeit der Verfahren zur Meldung von Verstößen zu verbessern.</w:t>
      </w:r>
      <w:r w:rsidR="005A1483" w:rsidRPr="00F37C6A">
        <w:rPr>
          <w:rStyle w:val="FootnoteReference"/>
        </w:rPr>
        <w:footnoteReference w:id="67"/>
      </w:r>
    </w:p>
    <w:p w14:paraId="74801666" w14:textId="77777777" w:rsidR="000552D1" w:rsidRPr="00F37C6A" w:rsidRDefault="000552D1" w:rsidP="00A055D1"/>
    <w:p w14:paraId="08470287" w14:textId="334CB8D6" w:rsidR="00240FE0" w:rsidRPr="00F37C6A" w:rsidRDefault="007529FB" w:rsidP="00A055D1">
      <w:pPr>
        <w:pStyle w:val="Heading2"/>
        <w:ind w:left="567" w:hanging="567"/>
      </w:pPr>
      <w:r>
        <w:t>Der EWSA empfiehlt ferner, dass die Mitgliedstaaten ggf. auf nationaler Ebene die Einrichtung einer unabhängigen beratenden Einrichtung mit verschiedenen Interessenträgern erwägen, von der die Funktionsweise der internen und externen Meldekanäle regelmäßig bewertet wird. Ein solches Gremium könnte Daten analysieren, systemische Fragen erörtern, gemeinsam Leitlinien ausarbeiten und Pilot-Initiativen unterstützen, an denen Organisationen der Zivilgesellschaft und die Sozialpartner im Rahmen von Schulungsprogrammen zu Meldeverfahren und Vertraulichkeitsstandards beteiligt werden, was die Glaubwürdigkeit der Mechanismen zur Meldung von Verstößen insgesamt erhöhen würde.</w:t>
      </w:r>
      <w:r w:rsidR="007A7191" w:rsidRPr="00F37C6A">
        <w:rPr>
          <w:rStyle w:val="FootnoteReference"/>
        </w:rPr>
        <w:footnoteReference w:id="68"/>
      </w:r>
    </w:p>
    <w:p w14:paraId="4800235F" w14:textId="77777777" w:rsidR="000552D1" w:rsidRPr="00F37C6A" w:rsidRDefault="000552D1" w:rsidP="00A055D1"/>
    <w:p w14:paraId="7000FEFD" w14:textId="5714EC30" w:rsidR="00DE75FE" w:rsidRPr="00F37C6A" w:rsidRDefault="007529FB" w:rsidP="00A055D1">
      <w:pPr>
        <w:pStyle w:val="Heading2"/>
        <w:ind w:left="567" w:hanging="567"/>
      </w:pPr>
      <w:r>
        <w:t>Die Legitimität und Wirksamkeit der Rahmen für die Meldung von Verstößen werden gestärkt, wenn die Medien sicher und wirksam über Angelegenheiten von öffentlichem Interesse berichten können. Dementsprechend schlugen viele Interessenträger vor, dass die Vertraulichkeitsvorschriften nicht so restriktiv angewandt werden sollten, dass die Meldung von schwerwiegenden Unregelmäßigkeiten verhindert oder die Kontrolle durch die Medien unangemessen eingeschränkt wird.</w:t>
      </w:r>
      <w:r w:rsidR="00AE7832" w:rsidRPr="00F37C6A">
        <w:rPr>
          <w:rStyle w:val="FootnoteReference"/>
        </w:rPr>
        <w:footnoteReference w:id="69"/>
      </w:r>
    </w:p>
    <w:p w14:paraId="5383A344" w14:textId="77777777" w:rsidR="000552D1" w:rsidRPr="00F37C6A" w:rsidRDefault="000552D1" w:rsidP="00A055D1"/>
    <w:p w14:paraId="3544E3AE" w14:textId="55215097" w:rsidR="00DE75FE" w:rsidRPr="00F37C6A" w:rsidRDefault="007529FB" w:rsidP="00A055D1">
      <w:pPr>
        <w:pStyle w:val="Heading2"/>
        <w:ind w:left="567" w:hanging="567"/>
      </w:pPr>
      <w:r>
        <w:t>In der Bewertung wird zudem hervorgehoben, dass Sensibilisierungskampagnen wichtig sind, um die kulturelle Wahrnehmung der Meldung von Verstößen durch Hinweisgeber zu verändern und sicherzustellen, dass die Bürgerinnen und Bürger über ihre Rechte informiert sind.</w:t>
      </w:r>
      <w:r w:rsidR="007A7191" w:rsidRPr="00F37C6A">
        <w:rPr>
          <w:rStyle w:val="FootnoteReference"/>
        </w:rPr>
        <w:footnoteReference w:id="70"/>
      </w:r>
    </w:p>
    <w:p w14:paraId="5858CE35" w14:textId="77777777" w:rsidR="000552D1" w:rsidRPr="00F37C6A" w:rsidRDefault="000552D1" w:rsidP="00A055D1"/>
    <w:p w14:paraId="35ADC668" w14:textId="684BD16E" w:rsidR="000552D1" w:rsidRPr="00F37C6A" w:rsidRDefault="009431A5" w:rsidP="00A055D1">
      <w:pPr>
        <w:pStyle w:val="Heading2"/>
        <w:ind w:left="567" w:hanging="567"/>
      </w:pPr>
      <w:r>
        <w:t>Um der anhaltenden Unsicherheit in Bezug auf die tatsächlichen Auswirkungen der Richtlinie, die Ergebnisse der Berichterstattung und die Folgemaßnahmen entgegenzuwirken, empfiehlt der EWSA den Mitgliedstaaten, Daten über Verfahren zur Meldung von Verstößen zu erheben und zugänglich zu machen.</w:t>
      </w:r>
      <w:r w:rsidR="002C1B45" w:rsidRPr="00F37C6A">
        <w:rPr>
          <w:rStyle w:val="FootnoteReference"/>
        </w:rPr>
        <w:footnoteReference w:id="71"/>
      </w:r>
      <w:r>
        <w:t xml:space="preserve"> Diese Daten sind für die Bewertung der Kohärenz des Systems und die Ermittlung struktureller Mängel von wesentlicher Bedeutung.</w:t>
      </w:r>
    </w:p>
    <w:p w14:paraId="2C2D62BB" w14:textId="3FAE5814" w:rsidR="00DB296E" w:rsidRDefault="00DB296E" w:rsidP="00A055D1">
      <w:pPr>
        <w:overflowPunct/>
        <w:adjustRightInd/>
        <w:jc w:val="center"/>
        <w:textAlignment w:val="auto"/>
      </w:pPr>
    </w:p>
    <w:p w14:paraId="7CC0D675" w14:textId="1E986769" w:rsidR="00650DD9" w:rsidRPr="006A66FB" w:rsidRDefault="00650DD9" w:rsidP="00A055D1">
      <w:r>
        <w:t>Brüssel, den 27. Mai 2026</w:t>
      </w:r>
    </w:p>
    <w:p w14:paraId="0CF04C54" w14:textId="77777777" w:rsidR="00650DD9" w:rsidRPr="006A66FB" w:rsidRDefault="00650DD9" w:rsidP="00A055D1">
      <w:pPr>
        <w:rPr>
          <w:lang w:val="en-US"/>
        </w:rPr>
      </w:pPr>
    </w:p>
    <w:p w14:paraId="79ACF5DF" w14:textId="77777777" w:rsidR="00650DD9" w:rsidRPr="006A66FB" w:rsidRDefault="00650DD9" w:rsidP="00A055D1">
      <w:pPr>
        <w:rPr>
          <w:lang w:val="en-US"/>
        </w:rPr>
      </w:pPr>
    </w:p>
    <w:p w14:paraId="7B617786" w14:textId="77777777" w:rsidR="00650DD9" w:rsidRDefault="00650DD9" w:rsidP="00A055D1">
      <w:pPr>
        <w:overflowPunct/>
        <w:adjustRightInd/>
        <w:jc w:val="left"/>
        <w:textAlignment w:val="auto"/>
        <w:rPr>
          <w:i/>
          <w:iCs/>
        </w:rPr>
      </w:pPr>
      <w:r>
        <w:rPr>
          <w:i/>
        </w:rPr>
        <w:t>Die Vorsitzende der Fachgruppe Beschäftigung, Sozialfragen, Unionsbürgerschaft</w:t>
      </w:r>
    </w:p>
    <w:p w14:paraId="0BDADE05" w14:textId="65335846" w:rsidR="00650DD9" w:rsidRDefault="00650DD9" w:rsidP="003878E0">
      <w:pPr>
        <w:overflowPunct/>
        <w:adjustRightInd/>
        <w:jc w:val="left"/>
        <w:textAlignment w:val="auto"/>
      </w:pPr>
      <w:r>
        <w:t>Cinzia DEL RIO</w:t>
      </w:r>
    </w:p>
    <w:p w14:paraId="6E522A42" w14:textId="6ADC9AD9" w:rsidR="00646AC2" w:rsidRPr="00717184" w:rsidRDefault="3E1CF757" w:rsidP="00A055D1">
      <w:pPr>
        <w:overflowPunct/>
        <w:adjustRightInd/>
        <w:jc w:val="center"/>
        <w:textAlignment w:val="auto"/>
      </w:pPr>
      <w:r>
        <w:t>____________</w:t>
      </w:r>
    </w:p>
    <w:sectPr w:rsidR="00646AC2" w:rsidRPr="00717184" w:rsidSect="00A055D1">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094D7" w14:textId="77777777" w:rsidR="00447380" w:rsidRPr="00F37C6A" w:rsidRDefault="00447380">
      <w:r w:rsidRPr="00F37C6A">
        <w:separator/>
      </w:r>
    </w:p>
  </w:endnote>
  <w:endnote w:type="continuationSeparator" w:id="0">
    <w:p w14:paraId="26943214" w14:textId="77777777" w:rsidR="00447380" w:rsidRPr="00F37C6A" w:rsidRDefault="00447380">
      <w:r w:rsidRPr="00F37C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69FB" w14:textId="77777777" w:rsidR="00ED0597" w:rsidRPr="00A055D1" w:rsidRDefault="00ED0597" w:rsidP="00A05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4E" w14:textId="7B99CB54" w:rsidR="00CC0EA0" w:rsidRPr="00A055D1" w:rsidRDefault="00A055D1" w:rsidP="00A055D1">
    <w:pPr>
      <w:pStyle w:val="Footer"/>
    </w:pPr>
    <w:r>
      <w:t xml:space="preserve">SOC/847 – EESC-2025-04143-00-00-RESE-TRA (EN) </w:t>
    </w:r>
    <w:r>
      <w:fldChar w:fldCharType="begin"/>
    </w:r>
    <w:r>
      <w:instrText xml:space="preserve"> PAGE  \* Arabic  \* MERGEFORMAT </w:instrText>
    </w:r>
    <w:r>
      <w:fldChar w:fldCharType="separate"/>
    </w:r>
    <w:r w:rsidR="00E02AE5">
      <w:t>1</w:t>
    </w:r>
    <w:r>
      <w:fldChar w:fldCharType="end"/>
    </w:r>
    <w:r>
      <w:t>/</w:t>
    </w:r>
    <w:r w:rsidR="00790491">
      <w:fldChar w:fldCharType="begin"/>
    </w:r>
    <w:r w:rsidR="00790491">
      <w:instrText xml:space="preserve"> NUMPAGES </w:instrText>
    </w:r>
    <w:r w:rsidR="00790491">
      <w:fldChar w:fldCharType="separate"/>
    </w:r>
    <w:r w:rsidR="00E02AE5">
      <w:t>1</w:t>
    </w:r>
    <w:r w:rsidR="0079049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E622" w14:textId="77777777" w:rsidR="00ED0597" w:rsidRPr="00A055D1" w:rsidRDefault="00ED0597" w:rsidP="00A055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1741" w14:textId="77777777" w:rsidR="00533D1A" w:rsidRPr="00A055D1" w:rsidRDefault="00533D1A" w:rsidP="00A055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4" w14:textId="15597A68" w:rsidR="00CC0EA0" w:rsidRPr="00A055D1" w:rsidRDefault="00A055D1" w:rsidP="00A055D1">
    <w:pPr>
      <w:pStyle w:val="Footer"/>
    </w:pPr>
    <w:r>
      <w:t xml:space="preserve">SOC/847 – EESC-2025-04143-00-00-RESE-TRA (EN) </w:t>
    </w:r>
    <w:r>
      <w:fldChar w:fldCharType="begin"/>
    </w:r>
    <w:r>
      <w:instrText xml:space="preserve"> PAGE  \* Arabic  \* MERGEFORMAT </w:instrText>
    </w:r>
    <w:r>
      <w:fldChar w:fldCharType="separate"/>
    </w:r>
    <w:r>
      <w:t>2</w:t>
    </w:r>
    <w:r>
      <w:fldChar w:fldCharType="end"/>
    </w:r>
    <w:r>
      <w:t>/</w:t>
    </w:r>
    <w:r w:rsidR="00790491">
      <w:fldChar w:fldCharType="begin"/>
    </w:r>
    <w:r w:rsidR="00790491">
      <w:instrText xml:space="preserve"> NUMPAGES </w:instrText>
    </w:r>
    <w:r w:rsidR="00790491">
      <w:fldChar w:fldCharType="separate"/>
    </w:r>
    <w:r>
      <w:t>13</w:t>
    </w:r>
    <w:r w:rsidR="0079049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C9779" w14:textId="77777777" w:rsidR="00533D1A" w:rsidRPr="00A055D1" w:rsidRDefault="00533D1A" w:rsidP="00A05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88C8" w14:textId="77777777" w:rsidR="00447380" w:rsidRPr="00F37C6A" w:rsidRDefault="00447380">
      <w:r w:rsidRPr="00F37C6A">
        <w:separator/>
      </w:r>
    </w:p>
  </w:footnote>
  <w:footnote w:type="continuationSeparator" w:id="0">
    <w:p w14:paraId="2B91EDE1" w14:textId="77777777" w:rsidR="00447380" w:rsidRPr="00F37C6A" w:rsidRDefault="00447380">
      <w:r w:rsidRPr="00F37C6A">
        <w:continuationSeparator/>
      </w:r>
    </w:p>
  </w:footnote>
  <w:footnote w:id="1">
    <w:p w14:paraId="0EF131A1" w14:textId="2B08D1C8" w:rsidR="00CC0EA0" w:rsidRPr="00F37C6A" w:rsidRDefault="00CC0EA0" w:rsidP="00DB7C6A">
      <w:pPr>
        <w:pStyle w:val="FootnoteText"/>
        <w:ind w:left="567" w:hanging="567"/>
      </w:pPr>
      <w:r>
        <w:rPr>
          <w:rStyle w:val="FootnoteReference"/>
        </w:rPr>
        <w:footnoteRef/>
      </w:r>
      <w:r>
        <w:tab/>
        <w:t>Technischer Anhang, S. 55.</w:t>
      </w:r>
    </w:p>
  </w:footnote>
  <w:footnote w:id="2">
    <w:p w14:paraId="3E1A781D" w14:textId="10C82A44" w:rsidR="00CC0EA0" w:rsidRPr="00F37C6A" w:rsidRDefault="00CC0EA0" w:rsidP="00DB7C6A">
      <w:pPr>
        <w:pStyle w:val="FootnoteText"/>
        <w:ind w:left="567" w:hanging="567"/>
      </w:pPr>
      <w:r>
        <w:rPr>
          <w:rStyle w:val="FootnoteReference"/>
        </w:rPr>
        <w:footnoteRef/>
      </w:r>
      <w:r>
        <w:tab/>
        <w:t>Technischer Anhang, S. 57.</w:t>
      </w:r>
    </w:p>
  </w:footnote>
  <w:footnote w:id="3">
    <w:p w14:paraId="3BCBAA19" w14:textId="6A0A28B9" w:rsidR="00CC0EA0" w:rsidRPr="00F37C6A" w:rsidRDefault="00CC0EA0" w:rsidP="00DB7C6A">
      <w:pPr>
        <w:pStyle w:val="FootnoteText"/>
        <w:ind w:left="567" w:hanging="567"/>
      </w:pPr>
      <w:r>
        <w:rPr>
          <w:rStyle w:val="FootnoteReference"/>
        </w:rPr>
        <w:footnoteRef/>
      </w:r>
      <w:r>
        <w:tab/>
        <w:t>Technischer Anhang, S. 11, 30 und 77 (Dänemark), 15, 31 und 78 (Frankreich), 19 und 79 (Italien), 22, 33 und 80 (Lettland), 34 und 80 (Rumänien).</w:t>
      </w:r>
    </w:p>
  </w:footnote>
  <w:footnote w:id="4">
    <w:p w14:paraId="484DCD0E" w14:textId="1DA88D47" w:rsidR="00CC0EA0" w:rsidRPr="00CC0E8F" w:rsidRDefault="00CC0EA0" w:rsidP="00DB7C6A">
      <w:pPr>
        <w:pStyle w:val="FootnoteText"/>
        <w:ind w:left="567" w:hanging="567"/>
      </w:pPr>
      <w:r>
        <w:rPr>
          <w:rStyle w:val="FootnoteReference"/>
        </w:rPr>
        <w:footnoteRef/>
      </w:r>
      <w:r>
        <w:tab/>
        <w:t>Technischer Anhang, S. 35, 80 und 89.</w:t>
      </w:r>
    </w:p>
  </w:footnote>
  <w:footnote w:id="5">
    <w:p w14:paraId="72685ABB" w14:textId="43D10ACA" w:rsidR="009E533D" w:rsidRPr="003878E0" w:rsidRDefault="009E533D" w:rsidP="003878E0">
      <w:pPr>
        <w:pStyle w:val="FootnoteText"/>
        <w:ind w:left="567" w:hanging="567"/>
      </w:pPr>
      <w:r>
        <w:rPr>
          <w:rStyle w:val="FootnoteReference"/>
        </w:rPr>
        <w:footnoteRef/>
      </w:r>
      <w:r>
        <w:tab/>
        <w:t>Technischer Anhang, S. 79.</w:t>
      </w:r>
    </w:p>
  </w:footnote>
  <w:footnote w:id="6">
    <w:p w14:paraId="51C354ED" w14:textId="42F81C7B" w:rsidR="00CC0EA0" w:rsidRPr="00F37C6A" w:rsidRDefault="00CC0EA0" w:rsidP="00DB7C6A">
      <w:pPr>
        <w:pStyle w:val="FootnoteText"/>
        <w:ind w:left="567" w:hanging="567"/>
      </w:pPr>
      <w:r>
        <w:rPr>
          <w:rStyle w:val="FootnoteReference"/>
        </w:rPr>
        <w:footnoteRef/>
      </w:r>
      <w:r>
        <w:tab/>
        <w:t>Technischer Anhang, S. 22 und 53 (Italien), 23, 53 und 88 (Lettland), 35, 45 und 51 (Dänemark), 54 (Rumänien).</w:t>
      </w:r>
    </w:p>
  </w:footnote>
  <w:footnote w:id="7">
    <w:p w14:paraId="20B7BCDB" w14:textId="4369714D" w:rsidR="00CC0EA0" w:rsidRPr="00F37C6A" w:rsidRDefault="00CC0EA0" w:rsidP="00DB7C6A">
      <w:pPr>
        <w:pStyle w:val="FootnoteText"/>
        <w:ind w:left="567" w:hanging="567"/>
      </w:pPr>
      <w:r>
        <w:rPr>
          <w:rStyle w:val="FootnoteReference"/>
        </w:rPr>
        <w:footnoteRef/>
      </w:r>
      <w:r>
        <w:tab/>
        <w:t>Technischer Anhang, S. 16 (Frankreich), 26 und 34 (Rumänien), 33 (Lettland).</w:t>
      </w:r>
    </w:p>
  </w:footnote>
  <w:footnote w:id="8">
    <w:p w14:paraId="403D730B" w14:textId="725AF17C" w:rsidR="00CC0EA0" w:rsidRPr="00F37C6A" w:rsidRDefault="00CC0EA0" w:rsidP="00DB7C6A">
      <w:pPr>
        <w:pStyle w:val="FootnoteText"/>
        <w:ind w:left="567" w:hanging="567"/>
      </w:pPr>
      <w:r>
        <w:rPr>
          <w:rStyle w:val="FootnoteReference"/>
        </w:rPr>
        <w:footnoteRef/>
      </w:r>
      <w:r>
        <w:tab/>
        <w:t>Technischer Anhang, S. 35 (Dänemark), 36 (Frankreich), 37 (Italien), 38 (Lettland).</w:t>
      </w:r>
    </w:p>
  </w:footnote>
  <w:footnote w:id="9">
    <w:p w14:paraId="10B1DBF2" w14:textId="26CE2ECA" w:rsidR="00CC0EA0" w:rsidRPr="00F37C6A" w:rsidRDefault="00CC0EA0" w:rsidP="00DB7C6A">
      <w:pPr>
        <w:pStyle w:val="FootnoteText"/>
        <w:ind w:left="567" w:hanging="567"/>
      </w:pPr>
      <w:r>
        <w:rPr>
          <w:rStyle w:val="FootnoteReference"/>
        </w:rPr>
        <w:footnoteRef/>
      </w:r>
      <w:r>
        <w:tab/>
        <w:t>Anonyme Meldungen sind in Dänemark (Technischer Anhang, S. 13 und 35), Frankreich (S. 17) und Rumänien (S. 26) zulässig.</w:t>
      </w:r>
    </w:p>
  </w:footnote>
  <w:footnote w:id="10">
    <w:p w14:paraId="2D8AF75E" w14:textId="4EE5B97F" w:rsidR="00CC0EA0" w:rsidRPr="00F37C6A" w:rsidRDefault="00CC0EA0" w:rsidP="00DB7C6A">
      <w:pPr>
        <w:pStyle w:val="FootnoteText"/>
        <w:ind w:left="567" w:hanging="567"/>
      </w:pPr>
      <w:r>
        <w:rPr>
          <w:rStyle w:val="FootnoteReference"/>
        </w:rPr>
        <w:footnoteRef/>
      </w:r>
      <w:r>
        <w:tab/>
        <w:t>Technischer Anhang, S. 25 und 38.</w:t>
      </w:r>
    </w:p>
  </w:footnote>
  <w:footnote w:id="11">
    <w:p w14:paraId="5D6321B5" w14:textId="5E0A2D3A" w:rsidR="00CC0EA0" w:rsidRPr="00F37C6A" w:rsidRDefault="00CC0EA0" w:rsidP="00DB7C6A">
      <w:pPr>
        <w:pStyle w:val="FootnoteText"/>
        <w:ind w:left="567" w:hanging="567"/>
      </w:pPr>
      <w:r>
        <w:rPr>
          <w:rStyle w:val="FootnoteReference"/>
        </w:rPr>
        <w:footnoteRef/>
      </w:r>
      <w:r>
        <w:tab/>
        <w:t>Technischer Anhang, S. 13 (Dänemark), S. 39 (Rumänien).</w:t>
      </w:r>
    </w:p>
  </w:footnote>
  <w:footnote w:id="12">
    <w:p w14:paraId="5BB62F05" w14:textId="6C2271A9" w:rsidR="00CC0EA0" w:rsidRPr="00F37C6A" w:rsidRDefault="00CC0EA0" w:rsidP="00DB7C6A">
      <w:pPr>
        <w:pStyle w:val="FootnoteText"/>
        <w:ind w:left="567" w:hanging="567"/>
      </w:pPr>
      <w:r>
        <w:rPr>
          <w:rStyle w:val="FootnoteReference"/>
        </w:rPr>
        <w:footnoteRef/>
      </w:r>
      <w:r>
        <w:tab/>
        <w:t>Technischer Anhang, S. 32 (Italien), 35 und 45 (Dänemark), 39 (Lettland), 51 (Frankreich).</w:t>
      </w:r>
    </w:p>
  </w:footnote>
  <w:footnote w:id="13">
    <w:p w14:paraId="432565A5" w14:textId="4A0DB405" w:rsidR="00CC0EA0" w:rsidRPr="00F37C6A" w:rsidRDefault="00CC0EA0" w:rsidP="00DB7C6A">
      <w:pPr>
        <w:pStyle w:val="FootnoteText"/>
        <w:ind w:left="567" w:hanging="567"/>
      </w:pPr>
      <w:r>
        <w:rPr>
          <w:rStyle w:val="FootnoteReference"/>
        </w:rPr>
        <w:footnoteRef/>
      </w:r>
      <w:r>
        <w:tab/>
        <w:t>Technischer Anhang, S. 49 (Lettland), 50 (Rumänien).</w:t>
      </w:r>
    </w:p>
  </w:footnote>
  <w:footnote w:id="14">
    <w:p w14:paraId="04201BC0" w14:textId="0AC00B5F" w:rsidR="00CC0EA0" w:rsidRPr="00F37C6A" w:rsidRDefault="00CC0EA0" w:rsidP="00DB7C6A">
      <w:pPr>
        <w:pStyle w:val="FootnoteText"/>
        <w:ind w:left="567" w:hanging="567"/>
      </w:pPr>
      <w:r>
        <w:rPr>
          <w:rStyle w:val="FootnoteReference"/>
        </w:rPr>
        <w:footnoteRef/>
      </w:r>
      <w:r>
        <w:tab/>
        <w:t>Technischer Anhang, S. 39.</w:t>
      </w:r>
    </w:p>
  </w:footnote>
  <w:footnote w:id="15">
    <w:p w14:paraId="7752904B" w14:textId="0480FB81" w:rsidR="00CC0EA0" w:rsidRPr="00F37C6A" w:rsidRDefault="00CC0EA0" w:rsidP="00DB7C6A">
      <w:pPr>
        <w:pStyle w:val="FootnoteText"/>
        <w:ind w:left="567" w:hanging="567"/>
      </w:pPr>
      <w:r>
        <w:rPr>
          <w:rStyle w:val="FootnoteReference"/>
        </w:rPr>
        <w:footnoteRef/>
      </w:r>
      <w:r>
        <w:tab/>
        <w:t>Technischer Anhang, S. 36 (Frankreich), 39 und 40 (Rumänien).</w:t>
      </w:r>
    </w:p>
  </w:footnote>
  <w:footnote w:id="16">
    <w:p w14:paraId="1BBDCBE2" w14:textId="23B27B7C" w:rsidR="00CC0EA0" w:rsidRPr="00F37C6A" w:rsidRDefault="00CC0EA0" w:rsidP="003168B9">
      <w:pPr>
        <w:pStyle w:val="FootnoteText"/>
        <w:ind w:left="567" w:hanging="567"/>
      </w:pPr>
      <w:r>
        <w:rPr>
          <w:rStyle w:val="FootnoteReference"/>
        </w:rPr>
        <w:footnoteRef/>
      </w:r>
      <w:r>
        <w:tab/>
        <w:t>Technischer Anhang, S. 37 und 38 (Italien). Siehe auch S. 65.</w:t>
      </w:r>
    </w:p>
  </w:footnote>
  <w:footnote w:id="17">
    <w:p w14:paraId="2900B74D" w14:textId="3F330E42" w:rsidR="00CC0EA0" w:rsidRPr="00F37C6A" w:rsidRDefault="00CC0EA0" w:rsidP="00DB7C6A">
      <w:pPr>
        <w:pStyle w:val="FootnoteText"/>
        <w:ind w:left="567" w:hanging="567"/>
      </w:pPr>
      <w:r>
        <w:rPr>
          <w:rStyle w:val="FootnoteReference"/>
        </w:rPr>
        <w:footnoteRef/>
      </w:r>
      <w:r>
        <w:tab/>
        <w:t>Technischer Anhang, S. 36, 47 und 86 (Frankreich).</w:t>
      </w:r>
    </w:p>
  </w:footnote>
  <w:footnote w:id="18">
    <w:p w14:paraId="1017BD3F" w14:textId="24B6E068" w:rsidR="00CC0EA0" w:rsidRPr="00F37C6A" w:rsidRDefault="00CC0EA0" w:rsidP="00DB7C6A">
      <w:pPr>
        <w:pStyle w:val="FootnoteText"/>
        <w:ind w:left="567" w:hanging="567"/>
      </w:pPr>
      <w:r>
        <w:rPr>
          <w:rStyle w:val="FootnoteReference"/>
        </w:rPr>
        <w:footnoteRef/>
      </w:r>
      <w:r>
        <w:tab/>
        <w:t>Technischer Anhang, S. 40 (Rumänien).</w:t>
      </w:r>
    </w:p>
  </w:footnote>
  <w:footnote w:id="19">
    <w:p w14:paraId="56104AB4" w14:textId="1FE6A69B" w:rsidR="00CC0EA0" w:rsidRPr="00F37C6A" w:rsidRDefault="00CC0EA0" w:rsidP="00DB7C6A">
      <w:pPr>
        <w:pStyle w:val="FootnoteText"/>
        <w:ind w:left="567" w:hanging="567"/>
      </w:pPr>
      <w:r>
        <w:rPr>
          <w:rStyle w:val="FootnoteReference"/>
        </w:rPr>
        <w:footnoteRef/>
      </w:r>
      <w:r>
        <w:tab/>
        <w:t>Technischer Anhang, S. 37 und 52 (Frankreich).</w:t>
      </w:r>
    </w:p>
  </w:footnote>
  <w:footnote w:id="20">
    <w:p w14:paraId="350F741C" w14:textId="026A7B0A" w:rsidR="00CC0EA0" w:rsidRPr="00F37C6A" w:rsidRDefault="00CC0EA0" w:rsidP="00DB7C6A">
      <w:pPr>
        <w:pStyle w:val="FootnoteText"/>
        <w:ind w:left="567" w:hanging="567"/>
      </w:pPr>
      <w:r>
        <w:rPr>
          <w:rStyle w:val="FootnoteReference"/>
        </w:rPr>
        <w:footnoteRef/>
      </w:r>
      <w:r>
        <w:tab/>
      </w:r>
      <w:hyperlink r:id="rId1" w:history="1">
        <w:r>
          <w:rPr>
            <w:rStyle w:val="Hyperlink"/>
          </w:rPr>
          <w:t>COM(2024) 269 final</w:t>
        </w:r>
      </w:hyperlink>
      <w:r>
        <w:t>, S. 1.</w:t>
      </w:r>
    </w:p>
  </w:footnote>
  <w:footnote w:id="21">
    <w:p w14:paraId="0DD53A00" w14:textId="2AFD818D" w:rsidR="00CC0EA0" w:rsidRPr="00F37C6A" w:rsidRDefault="00CC0EA0" w:rsidP="00DB7C6A">
      <w:pPr>
        <w:pStyle w:val="FootnoteText"/>
        <w:ind w:left="567" w:hanging="567"/>
      </w:pPr>
      <w:r>
        <w:rPr>
          <w:rStyle w:val="FootnoteReference"/>
        </w:rPr>
        <w:footnoteRef/>
      </w:r>
      <w:r>
        <w:tab/>
        <w:t>Technischer Anhang, S. 34 (Rumänien), 33 und 49 (Lettland), 45 (Dänemark), 46 (Frankreich), 48 (Italien).</w:t>
      </w:r>
    </w:p>
  </w:footnote>
  <w:footnote w:id="22">
    <w:p w14:paraId="5B10F4BC" w14:textId="3B0E312B" w:rsidR="00CC0EA0" w:rsidRPr="00F37C6A" w:rsidRDefault="00CC0EA0" w:rsidP="00DB7C6A">
      <w:pPr>
        <w:pStyle w:val="FootnoteText"/>
        <w:ind w:left="567" w:hanging="567"/>
      </w:pPr>
      <w:r>
        <w:rPr>
          <w:rStyle w:val="FootnoteReference"/>
        </w:rPr>
        <w:footnoteRef/>
      </w:r>
      <w:r>
        <w:tab/>
        <w:t>Technischer Anhang, S. 15 (Dänemark), 46 (Frankreich), 34, 40 und 49 (Rumänien). Der Fall Rumäniens ist bezeichnend, da es nach Angaben der Vertreter der Zivilgesellschaft noch keinem Hinweisgeber gelungen ist, vor den nationalen Gerichten wirksam gegen Repressalien vorzugehen.</w:t>
      </w:r>
    </w:p>
  </w:footnote>
  <w:footnote w:id="23">
    <w:p w14:paraId="3A4BE1E4" w14:textId="2A8111DE" w:rsidR="00CC0EA0" w:rsidRPr="00F37C6A" w:rsidRDefault="00CC0EA0" w:rsidP="00DB7C6A">
      <w:pPr>
        <w:pStyle w:val="FootnoteText"/>
        <w:ind w:left="567" w:hanging="567"/>
      </w:pPr>
      <w:r>
        <w:rPr>
          <w:rStyle w:val="FootnoteReference"/>
        </w:rPr>
        <w:footnoteRef/>
      </w:r>
      <w:r>
        <w:tab/>
        <w:t>Technischer Anhang, S. 46 (Frankreich).</w:t>
      </w:r>
    </w:p>
  </w:footnote>
  <w:footnote w:id="24">
    <w:p w14:paraId="6D6049F6" w14:textId="2A157925" w:rsidR="00CC0EA0" w:rsidRPr="00F37C6A" w:rsidRDefault="00CC0EA0" w:rsidP="00DB7C6A">
      <w:pPr>
        <w:pStyle w:val="FootnoteText"/>
        <w:ind w:left="567" w:hanging="567"/>
      </w:pPr>
      <w:r>
        <w:rPr>
          <w:rStyle w:val="FootnoteReference"/>
        </w:rPr>
        <w:footnoteRef/>
      </w:r>
      <w:r>
        <w:tab/>
        <w:t>Technischer Anhang, S. 48 (Italien), 50 (Rumänien).</w:t>
      </w:r>
    </w:p>
  </w:footnote>
  <w:footnote w:id="25">
    <w:p w14:paraId="0DCDACB3" w14:textId="14D55410" w:rsidR="00CC0EA0" w:rsidRPr="00F37C6A" w:rsidRDefault="00CC0EA0" w:rsidP="00DB7C6A">
      <w:pPr>
        <w:pStyle w:val="FootnoteText"/>
        <w:ind w:left="567" w:hanging="567"/>
      </w:pPr>
      <w:r>
        <w:rPr>
          <w:rStyle w:val="FootnoteReference"/>
        </w:rPr>
        <w:footnoteRef/>
      </w:r>
      <w:r>
        <w:tab/>
        <w:t>Technischer Anhang, S. 47, 52 und 113 (Frankreich).</w:t>
      </w:r>
    </w:p>
  </w:footnote>
  <w:footnote w:id="26">
    <w:p w14:paraId="78C22619" w14:textId="37E3427B" w:rsidR="00CC0EA0" w:rsidRPr="00F37C6A" w:rsidRDefault="00CC0EA0" w:rsidP="00DB7C6A">
      <w:pPr>
        <w:pStyle w:val="FootnoteText"/>
        <w:ind w:left="567" w:hanging="567"/>
      </w:pPr>
      <w:r>
        <w:rPr>
          <w:rStyle w:val="FootnoteReference"/>
        </w:rPr>
        <w:footnoteRef/>
      </w:r>
      <w:r>
        <w:tab/>
        <w:t>Technischer Anhang, S. 15 (Dänemark), 27 und 29 (Rumänien), 105 (Frankreich), allgemein S. 74.</w:t>
      </w:r>
    </w:p>
  </w:footnote>
  <w:footnote w:id="27">
    <w:p w14:paraId="37DC5C33" w14:textId="00B027DB" w:rsidR="00CC0EA0" w:rsidRPr="00F37C6A" w:rsidRDefault="00CC0EA0" w:rsidP="00DB7C6A">
      <w:pPr>
        <w:pStyle w:val="FootnoteText"/>
        <w:ind w:left="567" w:hanging="567"/>
      </w:pPr>
      <w:r>
        <w:rPr>
          <w:rStyle w:val="FootnoteReference"/>
        </w:rPr>
        <w:footnoteRef/>
      </w:r>
      <w:r>
        <w:tab/>
        <w:t>Technischer Anhang, S. 15 und 45 (Dänemark), 28 (Lettland), 40 (Rumänien), 47 und 87 (Frankreich), 48 (Italien).</w:t>
      </w:r>
    </w:p>
  </w:footnote>
  <w:footnote w:id="28">
    <w:p w14:paraId="03CA2BAC" w14:textId="00F5B86E" w:rsidR="00CC0EA0" w:rsidRPr="00F37C6A" w:rsidRDefault="00CC0EA0" w:rsidP="00DB7C6A">
      <w:pPr>
        <w:pStyle w:val="FootnoteText"/>
        <w:ind w:left="567" w:hanging="567"/>
      </w:pPr>
      <w:r>
        <w:rPr>
          <w:rStyle w:val="FootnoteReference"/>
        </w:rPr>
        <w:footnoteRef/>
      </w:r>
      <w:r>
        <w:tab/>
        <w:t>Technischer Anhang, S. 40.</w:t>
      </w:r>
    </w:p>
  </w:footnote>
  <w:footnote w:id="29">
    <w:p w14:paraId="5ED834DA" w14:textId="6DB10C75" w:rsidR="00CC0EA0" w:rsidRPr="00F37C6A" w:rsidRDefault="00CC0EA0" w:rsidP="00D74814">
      <w:pPr>
        <w:pStyle w:val="FootnoteText"/>
        <w:ind w:left="567" w:hanging="567"/>
      </w:pPr>
      <w:r>
        <w:rPr>
          <w:rStyle w:val="FootnoteReference"/>
        </w:rPr>
        <w:footnoteRef/>
      </w:r>
      <w:r>
        <w:tab/>
        <w:t>Technischer Anhang, S. 88 (Lettland).</w:t>
      </w:r>
    </w:p>
  </w:footnote>
  <w:footnote w:id="30">
    <w:p w14:paraId="520B0193" w14:textId="6155AC9E" w:rsidR="00CC0EA0" w:rsidRPr="00F37C6A" w:rsidRDefault="00CC0EA0" w:rsidP="00DB7C6A">
      <w:pPr>
        <w:pStyle w:val="FootnoteText"/>
        <w:ind w:left="567" w:hanging="567"/>
      </w:pPr>
      <w:r>
        <w:rPr>
          <w:rStyle w:val="FootnoteReference"/>
        </w:rPr>
        <w:footnoteRef/>
      </w:r>
      <w:r>
        <w:tab/>
        <w:t>Technischer Anhang, S. 33 und 58 (Rumänien), 44 (Lettland), 53 (Dänemark).</w:t>
      </w:r>
    </w:p>
  </w:footnote>
  <w:footnote w:id="31">
    <w:p w14:paraId="3DAA0387" w14:textId="7CE61E7E" w:rsidR="00CC0EA0" w:rsidRPr="00F37C6A" w:rsidRDefault="00CC0EA0" w:rsidP="00DB7C6A">
      <w:pPr>
        <w:pStyle w:val="FootnoteText"/>
        <w:ind w:left="567" w:hanging="567"/>
      </w:pPr>
      <w:r>
        <w:rPr>
          <w:rStyle w:val="FootnoteReference"/>
        </w:rPr>
        <w:footnoteRef/>
      </w:r>
      <w:r>
        <w:tab/>
        <w:t>Technischer Anhang, S. 31, 47 und 86 (Frankreich), 48 (Italien), 88 (Lettland). Siehe auch S. 72.</w:t>
      </w:r>
    </w:p>
  </w:footnote>
  <w:footnote w:id="32">
    <w:p w14:paraId="665E941A" w14:textId="11020A75" w:rsidR="00CC0EA0" w:rsidRPr="00F37C6A" w:rsidRDefault="00CC0EA0" w:rsidP="00DB7C6A">
      <w:pPr>
        <w:pStyle w:val="FootnoteText"/>
        <w:ind w:left="567" w:hanging="567"/>
      </w:pPr>
      <w:r>
        <w:rPr>
          <w:rStyle w:val="FootnoteReference"/>
        </w:rPr>
        <w:footnoteRef/>
      </w:r>
      <w:r>
        <w:tab/>
        <w:t>Technischer Anhang, S. 50 und 89 (Rumänien), 31 und 52 (Frankreich), 89 (Lettland).</w:t>
      </w:r>
    </w:p>
  </w:footnote>
  <w:footnote w:id="33">
    <w:p w14:paraId="74DE5BC1" w14:textId="6A725356" w:rsidR="00CC0EA0" w:rsidRPr="00F37C6A" w:rsidRDefault="00CC0EA0" w:rsidP="00DB7C6A">
      <w:pPr>
        <w:pStyle w:val="FootnoteText"/>
        <w:ind w:left="567" w:hanging="567"/>
      </w:pPr>
      <w:r>
        <w:rPr>
          <w:rStyle w:val="FootnoteReference"/>
        </w:rPr>
        <w:footnoteRef/>
      </w:r>
      <w:r>
        <w:tab/>
        <w:t>Technischer Anhang, S. 38 (Italien), 39 (Lettland), 50 und 89 (Rumänien), 82 (Dänemark), 118 (Frankreich).</w:t>
      </w:r>
    </w:p>
  </w:footnote>
  <w:footnote w:id="34">
    <w:p w14:paraId="44C55498" w14:textId="6AF0B046" w:rsidR="00CC0EA0" w:rsidRPr="00F37C6A" w:rsidRDefault="00CC0EA0" w:rsidP="00DB7C6A">
      <w:pPr>
        <w:pStyle w:val="FootnoteText"/>
        <w:ind w:left="567" w:hanging="567"/>
      </w:pPr>
      <w:r>
        <w:rPr>
          <w:rStyle w:val="FootnoteReference"/>
        </w:rPr>
        <w:footnoteRef/>
      </w:r>
      <w:r>
        <w:tab/>
        <w:t>Technischer Anhang, S. 31 und 87 (Frankreich), 45 und 85 (Dänemark).</w:t>
      </w:r>
    </w:p>
  </w:footnote>
  <w:footnote w:id="35">
    <w:p w14:paraId="590C8110" w14:textId="663FE787" w:rsidR="00CC0EA0" w:rsidRPr="00F37C6A" w:rsidRDefault="00CC0EA0" w:rsidP="00DB7C6A">
      <w:pPr>
        <w:pStyle w:val="FootnoteText"/>
        <w:ind w:left="567" w:hanging="567"/>
      </w:pPr>
      <w:r>
        <w:rPr>
          <w:rStyle w:val="FootnoteReference"/>
        </w:rPr>
        <w:footnoteRef/>
      </w:r>
      <w:r>
        <w:tab/>
        <w:t>Technischer Anhang, S. 46 und 86.</w:t>
      </w:r>
    </w:p>
  </w:footnote>
  <w:footnote w:id="36">
    <w:p w14:paraId="46F294FC" w14:textId="6ABAEF87" w:rsidR="00CC0EA0" w:rsidRPr="00F37C6A" w:rsidRDefault="00CC0EA0" w:rsidP="00DB7C6A">
      <w:pPr>
        <w:pStyle w:val="FootnoteText"/>
        <w:ind w:left="567" w:hanging="567"/>
      </w:pPr>
      <w:r>
        <w:rPr>
          <w:rStyle w:val="FootnoteReference"/>
        </w:rPr>
        <w:footnoteRef/>
      </w:r>
      <w:r>
        <w:tab/>
        <w:t>Technischer Anhang, S. 77 (Dänemark), 31 und 78 (Frankreich), 79 (Italien), 80 (Lettland), 80 (Rumänien).</w:t>
      </w:r>
    </w:p>
  </w:footnote>
  <w:footnote w:id="37">
    <w:p w14:paraId="2F9F2FD9" w14:textId="045461E0" w:rsidR="00CC0EA0" w:rsidRPr="00F37C6A" w:rsidRDefault="00CC0EA0" w:rsidP="00DB7C6A">
      <w:pPr>
        <w:pStyle w:val="FootnoteText"/>
        <w:ind w:left="567" w:hanging="567"/>
      </w:pPr>
      <w:r>
        <w:rPr>
          <w:rStyle w:val="FootnoteReference"/>
        </w:rPr>
        <w:footnoteRef/>
      </w:r>
      <w:r>
        <w:tab/>
        <w:t>Technischer Anhang, S. 30, 35, 77 und 112.</w:t>
      </w:r>
    </w:p>
  </w:footnote>
  <w:footnote w:id="38">
    <w:p w14:paraId="567C7F96" w14:textId="3A5874E7" w:rsidR="009E533D" w:rsidRPr="003878E0" w:rsidRDefault="009E533D" w:rsidP="003878E0">
      <w:pPr>
        <w:pStyle w:val="FootnoteText"/>
        <w:ind w:left="567" w:hanging="567"/>
      </w:pPr>
      <w:r>
        <w:rPr>
          <w:rStyle w:val="FootnoteReference"/>
        </w:rPr>
        <w:footnoteRef/>
      </w:r>
      <w:r>
        <w:tab/>
        <w:t>Technischer Anhang, S. 80.</w:t>
      </w:r>
    </w:p>
  </w:footnote>
  <w:footnote w:id="39">
    <w:p w14:paraId="7EE0E765" w14:textId="21EA1715" w:rsidR="00CC0EA0" w:rsidRPr="00F37C6A" w:rsidRDefault="00CC0EA0" w:rsidP="003168B9">
      <w:pPr>
        <w:pStyle w:val="FootnoteText"/>
        <w:ind w:left="567" w:hanging="567"/>
      </w:pPr>
      <w:r>
        <w:rPr>
          <w:rStyle w:val="FootnoteReference"/>
        </w:rPr>
        <w:footnoteRef/>
      </w:r>
      <w:r>
        <w:tab/>
        <w:t>Technischer Anhang, S. 51 und 90 (Dänemark), 52 und 91 (Frankreich), 53 (Italien), 54 (Rumänien).</w:t>
      </w:r>
    </w:p>
  </w:footnote>
  <w:footnote w:id="40">
    <w:p w14:paraId="4B18CC2A" w14:textId="21309147" w:rsidR="00CC0EA0" w:rsidRPr="00F37C6A" w:rsidRDefault="00CC0EA0" w:rsidP="00DB7C6A">
      <w:pPr>
        <w:pStyle w:val="FootnoteText"/>
        <w:ind w:left="567" w:hanging="567"/>
      </w:pPr>
      <w:r>
        <w:rPr>
          <w:rStyle w:val="FootnoteReference"/>
        </w:rPr>
        <w:footnoteRef/>
      </w:r>
      <w:r>
        <w:tab/>
        <w:t>Technischer Anhang, S. 90 (Dänemark), 91 (Frankreich), 92 (Italien), 93 (Lettland), 54 und 94 (Rumänien).</w:t>
      </w:r>
    </w:p>
  </w:footnote>
  <w:footnote w:id="41">
    <w:p w14:paraId="67126FCB" w14:textId="5F42271C" w:rsidR="00CC0EA0" w:rsidRPr="00F37C6A" w:rsidRDefault="00CC0EA0" w:rsidP="00DB7C6A">
      <w:pPr>
        <w:pStyle w:val="FootnoteText"/>
        <w:ind w:left="567" w:hanging="567"/>
      </w:pPr>
      <w:r>
        <w:rPr>
          <w:rStyle w:val="FootnoteReference"/>
        </w:rPr>
        <w:footnoteRef/>
      </w:r>
      <w:r>
        <w:tab/>
        <w:t>Technischer Anhang, S. 93 (Lettland).</w:t>
      </w:r>
    </w:p>
  </w:footnote>
  <w:footnote w:id="42">
    <w:p w14:paraId="66D52BD9" w14:textId="1F463E3A" w:rsidR="00CC0EA0" w:rsidRPr="00F37C6A" w:rsidRDefault="00CC0EA0" w:rsidP="00DB7C6A">
      <w:pPr>
        <w:pStyle w:val="FootnoteText"/>
        <w:ind w:left="567" w:hanging="567"/>
      </w:pPr>
      <w:r>
        <w:rPr>
          <w:rStyle w:val="FootnoteReference"/>
        </w:rPr>
        <w:footnoteRef/>
      </w:r>
      <w:r>
        <w:tab/>
        <w:t>Technischer Anhang, S. 6.</w:t>
      </w:r>
    </w:p>
  </w:footnote>
  <w:footnote w:id="43">
    <w:p w14:paraId="6A3B1F4C" w14:textId="34322F36" w:rsidR="00CC0EA0" w:rsidRPr="00F37C6A" w:rsidRDefault="00CC0EA0" w:rsidP="00DB7C6A">
      <w:pPr>
        <w:pStyle w:val="FootnoteText"/>
        <w:ind w:left="567" w:hanging="567"/>
      </w:pPr>
      <w:r>
        <w:rPr>
          <w:rStyle w:val="FootnoteReference"/>
        </w:rPr>
        <w:footnoteRef/>
      </w:r>
      <w:r>
        <w:tab/>
        <w:t>Technischer Anhang, S. 23 und 84 (Lettland), 30 und 81 (Dänemark).</w:t>
      </w:r>
    </w:p>
  </w:footnote>
  <w:footnote w:id="44">
    <w:p w14:paraId="57228D18" w14:textId="0449E73D" w:rsidR="00CC0EA0" w:rsidRPr="00F37C6A" w:rsidRDefault="00CC0EA0" w:rsidP="00DB7C6A">
      <w:pPr>
        <w:pStyle w:val="FootnoteText"/>
        <w:ind w:left="567" w:hanging="567"/>
      </w:pPr>
      <w:r>
        <w:rPr>
          <w:rStyle w:val="FootnoteReference"/>
        </w:rPr>
        <w:footnoteRef/>
      </w:r>
      <w:r>
        <w:tab/>
        <w:t>Technischer Anhang, S. 82 (Frankreich), 83 (Italien).</w:t>
      </w:r>
    </w:p>
  </w:footnote>
  <w:footnote w:id="45">
    <w:p w14:paraId="39F8750D" w14:textId="2238C09D" w:rsidR="00CC0EA0" w:rsidRPr="00F37C6A" w:rsidRDefault="00CC0EA0" w:rsidP="00DB7C6A">
      <w:pPr>
        <w:pStyle w:val="FootnoteText"/>
        <w:ind w:left="567" w:hanging="567"/>
      </w:pPr>
      <w:r>
        <w:rPr>
          <w:rStyle w:val="FootnoteReference"/>
        </w:rPr>
        <w:footnoteRef/>
      </w:r>
      <w:r>
        <w:tab/>
        <w:t>Technischer Anhang, S. 85 und 94.</w:t>
      </w:r>
    </w:p>
  </w:footnote>
  <w:footnote w:id="46">
    <w:p w14:paraId="02B6962A" w14:textId="76421C60" w:rsidR="00CC0EA0" w:rsidRPr="00F37C6A" w:rsidRDefault="00CC0EA0" w:rsidP="00DB7C6A">
      <w:pPr>
        <w:pStyle w:val="FootnoteText"/>
        <w:ind w:left="567" w:hanging="567"/>
      </w:pPr>
      <w:r>
        <w:rPr>
          <w:rStyle w:val="FootnoteReference"/>
        </w:rPr>
        <w:footnoteRef/>
      </w:r>
      <w:r>
        <w:tab/>
        <w:t>Technischer Anhang, S. 83 (Italien).</w:t>
      </w:r>
    </w:p>
  </w:footnote>
  <w:footnote w:id="47">
    <w:p w14:paraId="11DB0420" w14:textId="3F1B1FB9" w:rsidR="00CC0EA0" w:rsidRPr="00F37C6A" w:rsidRDefault="00CC0EA0" w:rsidP="00DB7C6A">
      <w:pPr>
        <w:pStyle w:val="FootnoteText"/>
        <w:ind w:left="567" w:hanging="567"/>
      </w:pPr>
      <w:r>
        <w:rPr>
          <w:rStyle w:val="FootnoteReference"/>
        </w:rPr>
        <w:footnoteRef/>
      </w:r>
      <w:r>
        <w:tab/>
        <w:t>Technischer Anhang, S. 20.</w:t>
      </w:r>
    </w:p>
  </w:footnote>
  <w:footnote w:id="48">
    <w:p w14:paraId="1B7A4C8B" w14:textId="61478ACE" w:rsidR="00CC0EA0" w:rsidRPr="00F37C6A" w:rsidRDefault="00CC0EA0" w:rsidP="00DB7C6A">
      <w:pPr>
        <w:pStyle w:val="FootnoteText"/>
        <w:ind w:left="567" w:hanging="567"/>
      </w:pPr>
      <w:r>
        <w:rPr>
          <w:rStyle w:val="FootnoteReference"/>
        </w:rPr>
        <w:footnoteRef/>
      </w:r>
      <w:r>
        <w:tab/>
        <w:t>Technischer Anhang, S. 31.</w:t>
      </w:r>
    </w:p>
  </w:footnote>
  <w:footnote w:id="49">
    <w:p w14:paraId="79C18920" w14:textId="10A4EB76" w:rsidR="00CC0EA0" w:rsidRPr="00F37C6A" w:rsidRDefault="00CC0EA0" w:rsidP="00DB7C6A">
      <w:pPr>
        <w:pStyle w:val="FootnoteText"/>
        <w:ind w:left="567" w:hanging="567"/>
      </w:pPr>
      <w:r>
        <w:rPr>
          <w:rStyle w:val="FootnoteReference"/>
        </w:rPr>
        <w:footnoteRef/>
      </w:r>
      <w:r>
        <w:tab/>
        <w:t>Technischer Anhang, S. 36.</w:t>
      </w:r>
    </w:p>
  </w:footnote>
  <w:footnote w:id="50">
    <w:p w14:paraId="08A5D08A" w14:textId="48A855F0" w:rsidR="00CC0EA0" w:rsidRPr="00F37C6A" w:rsidRDefault="00CC0EA0" w:rsidP="00DB7C6A">
      <w:pPr>
        <w:pStyle w:val="FootnoteText"/>
        <w:ind w:left="567" w:hanging="567"/>
      </w:pPr>
      <w:r>
        <w:rPr>
          <w:rStyle w:val="FootnoteReference"/>
        </w:rPr>
        <w:footnoteRef/>
      </w:r>
      <w:r>
        <w:tab/>
        <w:t>Technischer Anhang, S. 36 und 103 (Dänemark), 39, 84 und 106 (Lettland), 52 und 104 (Frankreich), 105 (Italien), 106 (Rumänien).</w:t>
      </w:r>
    </w:p>
  </w:footnote>
  <w:footnote w:id="51">
    <w:p w14:paraId="058C9426" w14:textId="4759B408" w:rsidR="00356206" w:rsidRPr="00F37C6A" w:rsidRDefault="00356206" w:rsidP="00356206">
      <w:pPr>
        <w:pStyle w:val="FootnoteText"/>
        <w:ind w:left="567" w:hanging="567"/>
      </w:pPr>
      <w:r>
        <w:rPr>
          <w:rStyle w:val="FootnoteReference"/>
        </w:rPr>
        <w:footnoteRef/>
      </w:r>
      <w:r>
        <w:tab/>
        <w:t>Technischer Anhang, S. 103 (Dänemark), 104 und 108 (Frankreich), 105 (Italien), 106 (Lettland), 106 (Rumänien). Siehe auch S. 136.</w:t>
      </w:r>
    </w:p>
  </w:footnote>
  <w:footnote w:id="52">
    <w:p w14:paraId="00B610C5" w14:textId="5D97275E" w:rsidR="00CC0EA0" w:rsidRPr="00F37C6A" w:rsidRDefault="00CC0EA0" w:rsidP="00DB7C6A">
      <w:pPr>
        <w:pStyle w:val="FootnoteText"/>
        <w:ind w:left="567" w:hanging="567"/>
      </w:pPr>
      <w:r>
        <w:rPr>
          <w:rStyle w:val="FootnoteReference"/>
        </w:rPr>
        <w:footnoteRef/>
      </w:r>
      <w:r>
        <w:tab/>
        <w:t>Technischer Anhang, S. 103 (Dänemark), 104 und 109 (Frankreich), 105 (Italien), 109 (Lettland), 106 und 110 (Rumänien).</w:t>
      </w:r>
    </w:p>
  </w:footnote>
  <w:footnote w:id="53">
    <w:p w14:paraId="2AF603A3" w14:textId="13EEC88E" w:rsidR="00CC0EA0" w:rsidRPr="00F37C6A" w:rsidRDefault="00CC0EA0" w:rsidP="00DB7C6A">
      <w:pPr>
        <w:pStyle w:val="FootnoteText"/>
        <w:ind w:left="567" w:hanging="567"/>
      </w:pPr>
      <w:r>
        <w:rPr>
          <w:rStyle w:val="FootnoteReference"/>
        </w:rPr>
        <w:footnoteRef/>
      </w:r>
      <w:r>
        <w:tab/>
        <w:t>Technischer Anhang, S. 103 (Dänemark), 47, 82, 86 und 105 (Frankreich), 105 (Italien), 106 (Lettland).</w:t>
      </w:r>
    </w:p>
  </w:footnote>
  <w:footnote w:id="54">
    <w:p w14:paraId="1419F8DA" w14:textId="31DA9EE6" w:rsidR="00CC0EA0" w:rsidRPr="00F37C6A" w:rsidRDefault="00CC0EA0" w:rsidP="00DB7C6A">
      <w:pPr>
        <w:pStyle w:val="FootnoteText"/>
        <w:ind w:left="567" w:hanging="567"/>
      </w:pPr>
      <w:r>
        <w:rPr>
          <w:rStyle w:val="FootnoteReference"/>
        </w:rPr>
        <w:footnoteRef/>
      </w:r>
      <w:r>
        <w:tab/>
        <w:t>Technischer Anhang, S. 34, 41, 44, 99, 102 und 111 (Rumänien), 41, 100 und 108 (Dänemark), 42 und 101 (Frankreich), 43, 101 und 109 (Italien), 43, 102 und 110 (Lettland).</w:t>
      </w:r>
    </w:p>
  </w:footnote>
  <w:footnote w:id="55">
    <w:p w14:paraId="055BC557" w14:textId="6E313446" w:rsidR="00CC0EA0" w:rsidRPr="00F37C6A" w:rsidRDefault="00CC0EA0" w:rsidP="00DB7C6A">
      <w:pPr>
        <w:pStyle w:val="FootnoteText"/>
        <w:ind w:left="567" w:hanging="567"/>
      </w:pPr>
      <w:r>
        <w:rPr>
          <w:rStyle w:val="FootnoteReference"/>
        </w:rPr>
        <w:footnoteRef/>
      </w:r>
      <w:r>
        <w:tab/>
        <w:t>Technischer Anhang, S. 42 und 100 (Frankreich).</w:t>
      </w:r>
    </w:p>
  </w:footnote>
  <w:footnote w:id="56">
    <w:p w14:paraId="61403039" w14:textId="13A8D0F2" w:rsidR="00CC0EA0" w:rsidRPr="00F37C6A" w:rsidRDefault="00CC0EA0" w:rsidP="00DB7C6A">
      <w:pPr>
        <w:pStyle w:val="FootnoteText"/>
        <w:ind w:left="567" w:hanging="567"/>
      </w:pPr>
      <w:r>
        <w:rPr>
          <w:rStyle w:val="FootnoteReference"/>
        </w:rPr>
        <w:footnoteRef/>
      </w:r>
      <w:r>
        <w:tab/>
        <w:t>Technischer Anhang, S. 111 (Dänemark), S. 114 (Rumänien).</w:t>
      </w:r>
    </w:p>
  </w:footnote>
  <w:footnote w:id="57">
    <w:p w14:paraId="6CA5B107" w14:textId="4E649314" w:rsidR="00CC0EA0" w:rsidRPr="00F37C6A" w:rsidRDefault="00CC0EA0" w:rsidP="00DB7C6A">
      <w:pPr>
        <w:pStyle w:val="FootnoteText"/>
        <w:ind w:left="567" w:hanging="567"/>
      </w:pPr>
      <w:r>
        <w:rPr>
          <w:rStyle w:val="FootnoteReference"/>
        </w:rPr>
        <w:footnoteRef/>
      </w:r>
      <w:r>
        <w:tab/>
        <w:t>Technischer Anhang, S. 112 (Dänemark), 112 (Frankreich), 113 (Italien), 114 (Lettland), 114 (Rumänien).</w:t>
      </w:r>
    </w:p>
  </w:footnote>
  <w:footnote w:id="58">
    <w:p w14:paraId="77700BD9" w14:textId="036B44D4" w:rsidR="00CC0EA0" w:rsidRPr="00F37C6A" w:rsidRDefault="00CC0EA0" w:rsidP="00DB7C6A">
      <w:pPr>
        <w:pStyle w:val="FootnoteText"/>
        <w:ind w:left="567" w:hanging="567"/>
      </w:pPr>
      <w:r>
        <w:rPr>
          <w:rStyle w:val="FootnoteReference"/>
        </w:rPr>
        <w:footnoteRef/>
      </w:r>
      <w:r>
        <w:tab/>
        <w:t>Technischer Anhang, S. 52 und 113 (Frankreich).</w:t>
      </w:r>
    </w:p>
  </w:footnote>
  <w:footnote w:id="59">
    <w:p w14:paraId="5B958DF6" w14:textId="31D6E030" w:rsidR="00CC0EA0" w:rsidRPr="00F37C6A" w:rsidRDefault="00CC0EA0" w:rsidP="00DB7C6A">
      <w:pPr>
        <w:pStyle w:val="FootnoteText"/>
        <w:ind w:left="567" w:hanging="567"/>
      </w:pPr>
      <w:r>
        <w:rPr>
          <w:rStyle w:val="FootnoteReference"/>
        </w:rPr>
        <w:footnoteRef/>
      </w:r>
      <w:r>
        <w:tab/>
        <w:t>Technischer Anhang, S. 30, 85 und 90.</w:t>
      </w:r>
    </w:p>
  </w:footnote>
  <w:footnote w:id="60">
    <w:p w14:paraId="41A98F73" w14:textId="43FD29DB" w:rsidR="00CC0EA0" w:rsidRPr="00F37C6A" w:rsidRDefault="00CC0EA0" w:rsidP="003168B9">
      <w:pPr>
        <w:pStyle w:val="FootnoteText"/>
        <w:ind w:left="567" w:hanging="567"/>
      </w:pPr>
      <w:r>
        <w:rPr>
          <w:rStyle w:val="FootnoteReference"/>
        </w:rPr>
        <w:footnoteRef/>
      </w:r>
      <w:r>
        <w:tab/>
        <w:t>Technischer Anhang, S. 55 (Frankreich), 56 (Dänemark), 56 (Italien, Rumänien), 56 und 88 (Lettland).</w:t>
      </w:r>
    </w:p>
  </w:footnote>
  <w:footnote w:id="61">
    <w:p w14:paraId="51F52BE6" w14:textId="1B6350E8" w:rsidR="00CC0EA0" w:rsidRPr="00CC0E8F" w:rsidRDefault="00CC0EA0" w:rsidP="00DB7C6A">
      <w:pPr>
        <w:pStyle w:val="FootnoteText"/>
        <w:ind w:left="567" w:hanging="567"/>
      </w:pPr>
      <w:r>
        <w:rPr>
          <w:rStyle w:val="FootnoteReference"/>
        </w:rPr>
        <w:footnoteRef/>
      </w:r>
      <w:r>
        <w:tab/>
        <w:t>Technischer Anhang, S. 124.</w:t>
      </w:r>
    </w:p>
  </w:footnote>
  <w:footnote w:id="62">
    <w:p w14:paraId="18D2F929" w14:textId="3AA9BBF5" w:rsidR="007C475A" w:rsidRPr="003878E0" w:rsidRDefault="007C475A" w:rsidP="003878E0">
      <w:pPr>
        <w:pStyle w:val="FootnoteText"/>
        <w:ind w:left="567" w:hanging="567"/>
      </w:pPr>
      <w:r>
        <w:rPr>
          <w:rStyle w:val="FootnoteReference"/>
        </w:rPr>
        <w:footnoteRef/>
      </w:r>
      <w:r>
        <w:tab/>
        <w:t>Technischer Anhang, S. 93.</w:t>
      </w:r>
    </w:p>
  </w:footnote>
  <w:footnote w:id="63">
    <w:p w14:paraId="0F61F296" w14:textId="4C2381FD" w:rsidR="00CC0EA0" w:rsidRPr="00F37C6A" w:rsidRDefault="00CC0EA0" w:rsidP="00DB7C6A">
      <w:pPr>
        <w:pStyle w:val="FootnoteText"/>
        <w:ind w:left="567" w:hanging="567"/>
      </w:pPr>
      <w:r>
        <w:rPr>
          <w:rStyle w:val="FootnoteReference"/>
        </w:rPr>
        <w:footnoteRef/>
      </w:r>
      <w:r>
        <w:tab/>
        <w:t>Technischer Anhang, S. 77 (Dänemark), 78 (Frankreich), 79 (Italien), 80 (Lettland), 80 (Rumänien). Siehe auch S. 95.</w:t>
      </w:r>
    </w:p>
  </w:footnote>
  <w:footnote w:id="64">
    <w:p w14:paraId="5A4C92DE" w14:textId="4184849D" w:rsidR="00CC0EA0" w:rsidRPr="00F37C6A" w:rsidRDefault="00CC0EA0" w:rsidP="00DB7C6A">
      <w:pPr>
        <w:pStyle w:val="FootnoteText"/>
        <w:ind w:left="567" w:hanging="567"/>
      </w:pPr>
      <w:r>
        <w:rPr>
          <w:rStyle w:val="FootnoteReference"/>
        </w:rPr>
        <w:footnoteRef/>
      </w:r>
      <w:r>
        <w:tab/>
        <w:t>Technischer Anhang, S. 87 (Frankreich), 88 (Italien).</w:t>
      </w:r>
    </w:p>
  </w:footnote>
  <w:footnote w:id="65">
    <w:p w14:paraId="3442DC61" w14:textId="13E052C7" w:rsidR="00CC0EA0" w:rsidRPr="00F37C6A" w:rsidRDefault="00CC0EA0" w:rsidP="00DB7C6A">
      <w:pPr>
        <w:pStyle w:val="FootnoteText"/>
        <w:ind w:left="567" w:hanging="567"/>
      </w:pPr>
      <w:r>
        <w:rPr>
          <w:rStyle w:val="FootnoteReference"/>
        </w:rPr>
        <w:footnoteRef/>
      </w:r>
      <w:r>
        <w:tab/>
        <w:t>Technischer Anhang, S. 33 (Rumänien), 33 und 49 (Lettland), 45 (Dänemark), 46 und 54 (Frankreich), 48 (Italien).</w:t>
      </w:r>
    </w:p>
  </w:footnote>
  <w:footnote w:id="66">
    <w:p w14:paraId="12F659D1" w14:textId="3219664F" w:rsidR="00CC0EA0" w:rsidRPr="00F37C6A" w:rsidRDefault="00CC0EA0" w:rsidP="003168B9">
      <w:pPr>
        <w:pStyle w:val="FootnoteText"/>
        <w:tabs>
          <w:tab w:val="left" w:pos="3660"/>
        </w:tabs>
        <w:ind w:left="567" w:hanging="567"/>
      </w:pPr>
      <w:r>
        <w:rPr>
          <w:rStyle w:val="FootnoteReference"/>
        </w:rPr>
        <w:footnoteRef/>
      </w:r>
      <w:r>
        <w:tab/>
        <w:t>Technischer Anhang, S. 42, 101, 104 und 109 (Frankreich), 43, 101 und 110 (Italien), 44 (Lettland), 103 (Rumänien).</w:t>
      </w:r>
    </w:p>
  </w:footnote>
  <w:footnote w:id="67">
    <w:p w14:paraId="07BEBAB8" w14:textId="14251E4D" w:rsidR="00CC0EA0" w:rsidRPr="00F37C6A" w:rsidRDefault="00CC0EA0" w:rsidP="00DB7C6A">
      <w:pPr>
        <w:pStyle w:val="FootnoteText"/>
        <w:ind w:left="567" w:hanging="567"/>
      </w:pPr>
      <w:r>
        <w:rPr>
          <w:rStyle w:val="FootnoteReference"/>
        </w:rPr>
        <w:footnoteRef/>
      </w:r>
      <w:r>
        <w:tab/>
        <w:t>Technischer Anhang, S. 42, 100 und 109 (Frankreich), 44 (Lettland).</w:t>
      </w:r>
    </w:p>
  </w:footnote>
  <w:footnote w:id="68">
    <w:p w14:paraId="68FB6412" w14:textId="7B61DC38" w:rsidR="00CC0EA0" w:rsidRPr="00F37C6A" w:rsidRDefault="00CC0EA0" w:rsidP="003168B9">
      <w:pPr>
        <w:pStyle w:val="FootnoteText"/>
        <w:ind w:left="567" w:hanging="567"/>
      </w:pPr>
      <w:r>
        <w:rPr>
          <w:rStyle w:val="FootnoteReference"/>
        </w:rPr>
        <w:footnoteRef/>
      </w:r>
      <w:r>
        <w:tab/>
        <w:t>Technischer Anhang, S. 41, 100 und 108 (Dänemark), 42, 101 und 108 (Frankreich), 45 und 111 (Rumänien), 102 und 110 (Lettland).</w:t>
      </w:r>
    </w:p>
  </w:footnote>
  <w:footnote w:id="69">
    <w:p w14:paraId="2AF0565F" w14:textId="2BB113EA" w:rsidR="00AE7832" w:rsidRPr="00F37C6A" w:rsidRDefault="00AE7832" w:rsidP="003168B9">
      <w:pPr>
        <w:pStyle w:val="FootnoteText"/>
        <w:ind w:left="567" w:hanging="567"/>
      </w:pPr>
      <w:r>
        <w:rPr>
          <w:rStyle w:val="FootnoteReference"/>
        </w:rPr>
        <w:footnoteRef/>
      </w:r>
      <w:r>
        <w:tab/>
        <w:t>Technischer Anhang, S. 113 (Frankreich).</w:t>
      </w:r>
    </w:p>
  </w:footnote>
  <w:footnote w:id="70">
    <w:p w14:paraId="7A1D8E4A" w14:textId="36424683" w:rsidR="00CC0EA0" w:rsidRPr="00F37C6A" w:rsidRDefault="00CC0EA0" w:rsidP="003168B9">
      <w:pPr>
        <w:pStyle w:val="FootnoteText"/>
        <w:ind w:left="567" w:hanging="567"/>
      </w:pPr>
      <w:r>
        <w:rPr>
          <w:rStyle w:val="FootnoteReference"/>
        </w:rPr>
        <w:footnoteRef/>
      </w:r>
      <w:r>
        <w:tab/>
        <w:t>Technischer Anhang, S. 40 (Rumänien) und allgemein S. 125.</w:t>
      </w:r>
    </w:p>
  </w:footnote>
  <w:footnote w:id="71">
    <w:p w14:paraId="467D73B8" w14:textId="7520B8A2" w:rsidR="00CC0EA0" w:rsidRPr="00642478" w:rsidRDefault="00CC0EA0" w:rsidP="003168B9">
      <w:pPr>
        <w:pStyle w:val="FootnoteText"/>
        <w:ind w:left="567" w:hanging="567"/>
      </w:pPr>
      <w:r>
        <w:rPr>
          <w:rStyle w:val="FootnoteReference"/>
        </w:rPr>
        <w:footnoteRef/>
      </w:r>
      <w:r>
        <w:tab/>
        <w:t>Technischer Anhang, S. 45 (Dänemark) und 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D462" w14:textId="77777777" w:rsidR="00ED0597" w:rsidRPr="00A055D1" w:rsidRDefault="00ED0597" w:rsidP="00A05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3901" w14:textId="141396C0" w:rsidR="00ED0597" w:rsidRPr="00A055D1" w:rsidRDefault="00ED0597" w:rsidP="00A055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5227" w14:textId="77777777" w:rsidR="00ED0597" w:rsidRPr="00A055D1" w:rsidRDefault="00ED0597" w:rsidP="00A055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5EBB" w14:textId="77777777" w:rsidR="00533D1A" w:rsidRPr="00A055D1" w:rsidRDefault="00533D1A" w:rsidP="00A055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B8DDF" w14:textId="4806D208" w:rsidR="00533D1A" w:rsidRPr="00A055D1" w:rsidRDefault="00533D1A" w:rsidP="00A055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ED71" w14:textId="77777777" w:rsidR="00533D1A" w:rsidRPr="00A055D1" w:rsidRDefault="00533D1A" w:rsidP="00A05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6D4D17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2AB8"/>
    <w:rsid w:val="00005AB9"/>
    <w:rsid w:val="00005EB9"/>
    <w:rsid w:val="00006E24"/>
    <w:rsid w:val="00007A40"/>
    <w:rsid w:val="00010536"/>
    <w:rsid w:val="000134C2"/>
    <w:rsid w:val="00017B01"/>
    <w:rsid w:val="00017B45"/>
    <w:rsid w:val="00020E6E"/>
    <w:rsid w:val="00030B95"/>
    <w:rsid w:val="00031A4B"/>
    <w:rsid w:val="00032AB5"/>
    <w:rsid w:val="00033838"/>
    <w:rsid w:val="00033913"/>
    <w:rsid w:val="00033DB4"/>
    <w:rsid w:val="00033E5B"/>
    <w:rsid w:val="000357A8"/>
    <w:rsid w:val="000413E4"/>
    <w:rsid w:val="0004242C"/>
    <w:rsid w:val="000430A6"/>
    <w:rsid w:val="00044923"/>
    <w:rsid w:val="00051304"/>
    <w:rsid w:val="0005249C"/>
    <w:rsid w:val="000534A5"/>
    <w:rsid w:val="000552D1"/>
    <w:rsid w:val="0005680D"/>
    <w:rsid w:val="00061265"/>
    <w:rsid w:val="00061555"/>
    <w:rsid w:val="00063FB4"/>
    <w:rsid w:val="00064FC5"/>
    <w:rsid w:val="00066BB4"/>
    <w:rsid w:val="00067218"/>
    <w:rsid w:val="0006793E"/>
    <w:rsid w:val="000718B5"/>
    <w:rsid w:val="00072E0F"/>
    <w:rsid w:val="000735E5"/>
    <w:rsid w:val="0007392F"/>
    <w:rsid w:val="00077E4A"/>
    <w:rsid w:val="0008035E"/>
    <w:rsid w:val="000833F9"/>
    <w:rsid w:val="00085CD7"/>
    <w:rsid w:val="00087B39"/>
    <w:rsid w:val="0009297E"/>
    <w:rsid w:val="00093DE0"/>
    <w:rsid w:val="00096502"/>
    <w:rsid w:val="000976C1"/>
    <w:rsid w:val="000A44BA"/>
    <w:rsid w:val="000A49BB"/>
    <w:rsid w:val="000A5670"/>
    <w:rsid w:val="000B4C60"/>
    <w:rsid w:val="000B7FB5"/>
    <w:rsid w:val="000C1229"/>
    <w:rsid w:val="000C3441"/>
    <w:rsid w:val="000C4215"/>
    <w:rsid w:val="000C7F53"/>
    <w:rsid w:val="000D2DCC"/>
    <w:rsid w:val="000D2F8E"/>
    <w:rsid w:val="000D7A6A"/>
    <w:rsid w:val="000E2875"/>
    <w:rsid w:val="000F196B"/>
    <w:rsid w:val="000F5A08"/>
    <w:rsid w:val="00102488"/>
    <w:rsid w:val="00105361"/>
    <w:rsid w:val="001101F8"/>
    <w:rsid w:val="0011206F"/>
    <w:rsid w:val="00114E8B"/>
    <w:rsid w:val="0011656A"/>
    <w:rsid w:val="0012220C"/>
    <w:rsid w:val="00125F86"/>
    <w:rsid w:val="00130B9A"/>
    <w:rsid w:val="00135258"/>
    <w:rsid w:val="0013603B"/>
    <w:rsid w:val="00136EA3"/>
    <w:rsid w:val="00136EAA"/>
    <w:rsid w:val="00137575"/>
    <w:rsid w:val="00137B9A"/>
    <w:rsid w:val="00137EDA"/>
    <w:rsid w:val="001410E0"/>
    <w:rsid w:val="00144231"/>
    <w:rsid w:val="00147066"/>
    <w:rsid w:val="00150434"/>
    <w:rsid w:val="00152BBC"/>
    <w:rsid w:val="00155721"/>
    <w:rsid w:val="00162672"/>
    <w:rsid w:val="00164924"/>
    <w:rsid w:val="0016503F"/>
    <w:rsid w:val="0016504B"/>
    <w:rsid w:val="00165802"/>
    <w:rsid w:val="0016674F"/>
    <w:rsid w:val="001667B4"/>
    <w:rsid w:val="001678BE"/>
    <w:rsid w:val="00167CA0"/>
    <w:rsid w:val="00170C4D"/>
    <w:rsid w:val="0017120D"/>
    <w:rsid w:val="001714F6"/>
    <w:rsid w:val="00176168"/>
    <w:rsid w:val="00177158"/>
    <w:rsid w:val="00177D02"/>
    <w:rsid w:val="001818D9"/>
    <w:rsid w:val="00184FD4"/>
    <w:rsid w:val="00186B04"/>
    <w:rsid w:val="00186E5D"/>
    <w:rsid w:val="00186F1E"/>
    <w:rsid w:val="00190836"/>
    <w:rsid w:val="00193930"/>
    <w:rsid w:val="00194B2A"/>
    <w:rsid w:val="00194B36"/>
    <w:rsid w:val="001960C6"/>
    <w:rsid w:val="001963A5"/>
    <w:rsid w:val="00196F1E"/>
    <w:rsid w:val="00197251"/>
    <w:rsid w:val="00197FCA"/>
    <w:rsid w:val="001A04A5"/>
    <w:rsid w:val="001A27DB"/>
    <w:rsid w:val="001A56F4"/>
    <w:rsid w:val="001A6852"/>
    <w:rsid w:val="001A6C13"/>
    <w:rsid w:val="001A763E"/>
    <w:rsid w:val="001B286A"/>
    <w:rsid w:val="001B2D02"/>
    <w:rsid w:val="001B3647"/>
    <w:rsid w:val="001B77FA"/>
    <w:rsid w:val="001C0ABE"/>
    <w:rsid w:val="001C5852"/>
    <w:rsid w:val="001C6D9E"/>
    <w:rsid w:val="001D164B"/>
    <w:rsid w:val="001D3144"/>
    <w:rsid w:val="001D45F0"/>
    <w:rsid w:val="001D4A95"/>
    <w:rsid w:val="001E1335"/>
    <w:rsid w:val="001E2E84"/>
    <w:rsid w:val="001E4A33"/>
    <w:rsid w:val="001E5C27"/>
    <w:rsid w:val="001E7C5D"/>
    <w:rsid w:val="001F1604"/>
    <w:rsid w:val="001F171D"/>
    <w:rsid w:val="001F367F"/>
    <w:rsid w:val="001F602B"/>
    <w:rsid w:val="001F6AC8"/>
    <w:rsid w:val="0020340B"/>
    <w:rsid w:val="002037D5"/>
    <w:rsid w:val="00206F90"/>
    <w:rsid w:val="00211D82"/>
    <w:rsid w:val="002124FF"/>
    <w:rsid w:val="00212B03"/>
    <w:rsid w:val="002143A2"/>
    <w:rsid w:val="00215C10"/>
    <w:rsid w:val="00215C2D"/>
    <w:rsid w:val="002227ED"/>
    <w:rsid w:val="002252C4"/>
    <w:rsid w:val="002269CC"/>
    <w:rsid w:val="00226EB8"/>
    <w:rsid w:val="00227849"/>
    <w:rsid w:val="002300BA"/>
    <w:rsid w:val="002303AE"/>
    <w:rsid w:val="0023140A"/>
    <w:rsid w:val="0023144E"/>
    <w:rsid w:val="0023183E"/>
    <w:rsid w:val="002341FC"/>
    <w:rsid w:val="00234E22"/>
    <w:rsid w:val="00235138"/>
    <w:rsid w:val="00236C92"/>
    <w:rsid w:val="00240637"/>
    <w:rsid w:val="00240FE0"/>
    <w:rsid w:val="00243D9C"/>
    <w:rsid w:val="00243E36"/>
    <w:rsid w:val="0024540B"/>
    <w:rsid w:val="00245EF4"/>
    <w:rsid w:val="002501BA"/>
    <w:rsid w:val="00250E11"/>
    <w:rsid w:val="00251383"/>
    <w:rsid w:val="002522C9"/>
    <w:rsid w:val="00252A21"/>
    <w:rsid w:val="00253519"/>
    <w:rsid w:val="00253E4F"/>
    <w:rsid w:val="002542E4"/>
    <w:rsid w:val="002563BF"/>
    <w:rsid w:val="00256555"/>
    <w:rsid w:val="00256BF1"/>
    <w:rsid w:val="002570E1"/>
    <w:rsid w:val="00257725"/>
    <w:rsid w:val="00261053"/>
    <w:rsid w:val="0026162B"/>
    <w:rsid w:val="00262FDE"/>
    <w:rsid w:val="00263629"/>
    <w:rsid w:val="00263D8C"/>
    <w:rsid w:val="00265162"/>
    <w:rsid w:val="002769BD"/>
    <w:rsid w:val="00277467"/>
    <w:rsid w:val="002809EA"/>
    <w:rsid w:val="00284962"/>
    <w:rsid w:val="00287B0E"/>
    <w:rsid w:val="00294631"/>
    <w:rsid w:val="00294F04"/>
    <w:rsid w:val="0029549C"/>
    <w:rsid w:val="002A0B53"/>
    <w:rsid w:val="002A0EEF"/>
    <w:rsid w:val="002A107D"/>
    <w:rsid w:val="002A15C3"/>
    <w:rsid w:val="002A5BC8"/>
    <w:rsid w:val="002A6CB3"/>
    <w:rsid w:val="002B1A67"/>
    <w:rsid w:val="002B2DF7"/>
    <w:rsid w:val="002B7394"/>
    <w:rsid w:val="002C1B45"/>
    <w:rsid w:val="002C1D46"/>
    <w:rsid w:val="002C3919"/>
    <w:rsid w:val="002C3BF4"/>
    <w:rsid w:val="002C3DFA"/>
    <w:rsid w:val="002C6B27"/>
    <w:rsid w:val="002C749F"/>
    <w:rsid w:val="002C774E"/>
    <w:rsid w:val="002D6819"/>
    <w:rsid w:val="002D6CC5"/>
    <w:rsid w:val="002E381E"/>
    <w:rsid w:val="002F059B"/>
    <w:rsid w:val="002F4097"/>
    <w:rsid w:val="002F454E"/>
    <w:rsid w:val="002F5B0B"/>
    <w:rsid w:val="002F7E2C"/>
    <w:rsid w:val="0030000E"/>
    <w:rsid w:val="003005A9"/>
    <w:rsid w:val="00300924"/>
    <w:rsid w:val="0030596E"/>
    <w:rsid w:val="003073C3"/>
    <w:rsid w:val="003168B9"/>
    <w:rsid w:val="00320144"/>
    <w:rsid w:val="00320675"/>
    <w:rsid w:val="00323637"/>
    <w:rsid w:val="00324698"/>
    <w:rsid w:val="00324E8A"/>
    <w:rsid w:val="003301FC"/>
    <w:rsid w:val="00330E8C"/>
    <w:rsid w:val="00331D87"/>
    <w:rsid w:val="00332850"/>
    <w:rsid w:val="00334478"/>
    <w:rsid w:val="003346B4"/>
    <w:rsid w:val="00334AE6"/>
    <w:rsid w:val="003365D0"/>
    <w:rsid w:val="003439AB"/>
    <w:rsid w:val="00354695"/>
    <w:rsid w:val="0035549B"/>
    <w:rsid w:val="00355563"/>
    <w:rsid w:val="00356206"/>
    <w:rsid w:val="00364350"/>
    <w:rsid w:val="00364888"/>
    <w:rsid w:val="00366D97"/>
    <w:rsid w:val="00367DD7"/>
    <w:rsid w:val="00370358"/>
    <w:rsid w:val="00370A1F"/>
    <w:rsid w:val="003755C8"/>
    <w:rsid w:val="00375687"/>
    <w:rsid w:val="00375C20"/>
    <w:rsid w:val="00377B31"/>
    <w:rsid w:val="00377F66"/>
    <w:rsid w:val="0038034C"/>
    <w:rsid w:val="00380AE0"/>
    <w:rsid w:val="00383324"/>
    <w:rsid w:val="00383497"/>
    <w:rsid w:val="003878E0"/>
    <w:rsid w:val="00387A75"/>
    <w:rsid w:val="003904FD"/>
    <w:rsid w:val="00394254"/>
    <w:rsid w:val="003953BB"/>
    <w:rsid w:val="003B09F7"/>
    <w:rsid w:val="003B48F2"/>
    <w:rsid w:val="003B69F4"/>
    <w:rsid w:val="003C0F70"/>
    <w:rsid w:val="003C2BFB"/>
    <w:rsid w:val="003C436B"/>
    <w:rsid w:val="003C5337"/>
    <w:rsid w:val="003C5F92"/>
    <w:rsid w:val="003C6AF6"/>
    <w:rsid w:val="003D7A8C"/>
    <w:rsid w:val="003D7C00"/>
    <w:rsid w:val="003E0EB4"/>
    <w:rsid w:val="003E1AEA"/>
    <w:rsid w:val="003E40EE"/>
    <w:rsid w:val="003E423D"/>
    <w:rsid w:val="003E56E5"/>
    <w:rsid w:val="003E7E60"/>
    <w:rsid w:val="003F00D4"/>
    <w:rsid w:val="003F0EDB"/>
    <w:rsid w:val="003F2209"/>
    <w:rsid w:val="003F3426"/>
    <w:rsid w:val="003F3D39"/>
    <w:rsid w:val="003F4A8E"/>
    <w:rsid w:val="003F5830"/>
    <w:rsid w:val="003F646A"/>
    <w:rsid w:val="003F6761"/>
    <w:rsid w:val="003F6A0A"/>
    <w:rsid w:val="004016B7"/>
    <w:rsid w:val="004024F5"/>
    <w:rsid w:val="00402DE1"/>
    <w:rsid w:val="00403D8B"/>
    <w:rsid w:val="004058F1"/>
    <w:rsid w:val="00407E7D"/>
    <w:rsid w:val="0041283D"/>
    <w:rsid w:val="00413AB4"/>
    <w:rsid w:val="00413DA6"/>
    <w:rsid w:val="00416381"/>
    <w:rsid w:val="00421373"/>
    <w:rsid w:val="004214C4"/>
    <w:rsid w:val="00421660"/>
    <w:rsid w:val="00421FB7"/>
    <w:rsid w:val="00426E65"/>
    <w:rsid w:val="0042763B"/>
    <w:rsid w:val="0043024C"/>
    <w:rsid w:val="00433CC8"/>
    <w:rsid w:val="00436706"/>
    <w:rsid w:val="00442185"/>
    <w:rsid w:val="00443D38"/>
    <w:rsid w:val="00444BB8"/>
    <w:rsid w:val="004453D9"/>
    <w:rsid w:val="00447380"/>
    <w:rsid w:val="00450E7A"/>
    <w:rsid w:val="0045305C"/>
    <w:rsid w:val="00456AF8"/>
    <w:rsid w:val="004610B8"/>
    <w:rsid w:val="004644F3"/>
    <w:rsid w:val="004651B8"/>
    <w:rsid w:val="004705C7"/>
    <w:rsid w:val="00470B15"/>
    <w:rsid w:val="004741D9"/>
    <w:rsid w:val="00475869"/>
    <w:rsid w:val="00475A77"/>
    <w:rsid w:val="004765AC"/>
    <w:rsid w:val="004801EB"/>
    <w:rsid w:val="004806AA"/>
    <w:rsid w:val="00481B91"/>
    <w:rsid w:val="00482DDC"/>
    <w:rsid w:val="00483E6C"/>
    <w:rsid w:val="004866A9"/>
    <w:rsid w:val="00486CBF"/>
    <w:rsid w:val="0049073A"/>
    <w:rsid w:val="0049113F"/>
    <w:rsid w:val="00492774"/>
    <w:rsid w:val="004933A7"/>
    <w:rsid w:val="00496D7A"/>
    <w:rsid w:val="00497125"/>
    <w:rsid w:val="004978A2"/>
    <w:rsid w:val="004A00C9"/>
    <w:rsid w:val="004A31BC"/>
    <w:rsid w:val="004A3F1A"/>
    <w:rsid w:val="004A3F45"/>
    <w:rsid w:val="004A3FA3"/>
    <w:rsid w:val="004A50D0"/>
    <w:rsid w:val="004A6279"/>
    <w:rsid w:val="004A658E"/>
    <w:rsid w:val="004B149C"/>
    <w:rsid w:val="004B1AFA"/>
    <w:rsid w:val="004B6047"/>
    <w:rsid w:val="004B7088"/>
    <w:rsid w:val="004C03FD"/>
    <w:rsid w:val="004C43D7"/>
    <w:rsid w:val="004C5B76"/>
    <w:rsid w:val="004C5B89"/>
    <w:rsid w:val="004C7070"/>
    <w:rsid w:val="004D02CD"/>
    <w:rsid w:val="004D0B24"/>
    <w:rsid w:val="004D364A"/>
    <w:rsid w:val="004D4B90"/>
    <w:rsid w:val="004D5A44"/>
    <w:rsid w:val="004D6B95"/>
    <w:rsid w:val="004D7F41"/>
    <w:rsid w:val="004E03A2"/>
    <w:rsid w:val="004E317E"/>
    <w:rsid w:val="004E3954"/>
    <w:rsid w:val="004E5856"/>
    <w:rsid w:val="004F093D"/>
    <w:rsid w:val="004F2330"/>
    <w:rsid w:val="004F39DD"/>
    <w:rsid w:val="004F454C"/>
    <w:rsid w:val="004F53C6"/>
    <w:rsid w:val="004F69DB"/>
    <w:rsid w:val="004F6B87"/>
    <w:rsid w:val="00501840"/>
    <w:rsid w:val="00501C2D"/>
    <w:rsid w:val="00502637"/>
    <w:rsid w:val="00506E1E"/>
    <w:rsid w:val="00511140"/>
    <w:rsid w:val="00513CFE"/>
    <w:rsid w:val="0052264C"/>
    <w:rsid w:val="00522E60"/>
    <w:rsid w:val="00523B6A"/>
    <w:rsid w:val="00525F6C"/>
    <w:rsid w:val="00533D1A"/>
    <w:rsid w:val="00540003"/>
    <w:rsid w:val="00541739"/>
    <w:rsid w:val="005419CF"/>
    <w:rsid w:val="005446D5"/>
    <w:rsid w:val="0054585D"/>
    <w:rsid w:val="00546AB4"/>
    <w:rsid w:val="005514E0"/>
    <w:rsid w:val="005514E5"/>
    <w:rsid w:val="00553374"/>
    <w:rsid w:val="005617DD"/>
    <w:rsid w:val="0056258F"/>
    <w:rsid w:val="00563C84"/>
    <w:rsid w:val="00565841"/>
    <w:rsid w:val="0056593B"/>
    <w:rsid w:val="005668E8"/>
    <w:rsid w:val="005714D9"/>
    <w:rsid w:val="00572139"/>
    <w:rsid w:val="005751B1"/>
    <w:rsid w:val="005762F6"/>
    <w:rsid w:val="0057631F"/>
    <w:rsid w:val="00584EC0"/>
    <w:rsid w:val="00584FBE"/>
    <w:rsid w:val="00585483"/>
    <w:rsid w:val="00587378"/>
    <w:rsid w:val="00587C05"/>
    <w:rsid w:val="00590AAB"/>
    <w:rsid w:val="005938C3"/>
    <w:rsid w:val="0059468C"/>
    <w:rsid w:val="00595125"/>
    <w:rsid w:val="005957EA"/>
    <w:rsid w:val="00596F21"/>
    <w:rsid w:val="005A1483"/>
    <w:rsid w:val="005A2AA6"/>
    <w:rsid w:val="005A57D1"/>
    <w:rsid w:val="005A695C"/>
    <w:rsid w:val="005B1CDD"/>
    <w:rsid w:val="005B1E19"/>
    <w:rsid w:val="005B2BB2"/>
    <w:rsid w:val="005B55FC"/>
    <w:rsid w:val="005C2268"/>
    <w:rsid w:val="005C2D5E"/>
    <w:rsid w:val="005C3B81"/>
    <w:rsid w:val="005C650C"/>
    <w:rsid w:val="005D086C"/>
    <w:rsid w:val="005D11D3"/>
    <w:rsid w:val="005D21B1"/>
    <w:rsid w:val="005D4403"/>
    <w:rsid w:val="005D4E1F"/>
    <w:rsid w:val="005D4FB3"/>
    <w:rsid w:val="005E05F5"/>
    <w:rsid w:val="005E2F07"/>
    <w:rsid w:val="005E2FEA"/>
    <w:rsid w:val="005E3B19"/>
    <w:rsid w:val="005E536E"/>
    <w:rsid w:val="005E5E65"/>
    <w:rsid w:val="005F2C93"/>
    <w:rsid w:val="005F314B"/>
    <w:rsid w:val="005F3B4F"/>
    <w:rsid w:val="0060060B"/>
    <w:rsid w:val="00602291"/>
    <w:rsid w:val="0060284A"/>
    <w:rsid w:val="00606872"/>
    <w:rsid w:val="00607818"/>
    <w:rsid w:val="00611AF2"/>
    <w:rsid w:val="0061212B"/>
    <w:rsid w:val="006127AF"/>
    <w:rsid w:val="006158DF"/>
    <w:rsid w:val="00615FB2"/>
    <w:rsid w:val="00617BD1"/>
    <w:rsid w:val="00617CE8"/>
    <w:rsid w:val="00621955"/>
    <w:rsid w:val="00622DAC"/>
    <w:rsid w:val="00624376"/>
    <w:rsid w:val="00624432"/>
    <w:rsid w:val="006250B4"/>
    <w:rsid w:val="00626FE3"/>
    <w:rsid w:val="006278A0"/>
    <w:rsid w:val="0063095F"/>
    <w:rsid w:val="00630C35"/>
    <w:rsid w:val="00632B0A"/>
    <w:rsid w:val="0063624E"/>
    <w:rsid w:val="0064029F"/>
    <w:rsid w:val="00640B34"/>
    <w:rsid w:val="00641492"/>
    <w:rsid w:val="00642478"/>
    <w:rsid w:val="00642E5F"/>
    <w:rsid w:val="00646AC2"/>
    <w:rsid w:val="00650390"/>
    <w:rsid w:val="00650DD9"/>
    <w:rsid w:val="00650F69"/>
    <w:rsid w:val="00650F8C"/>
    <w:rsid w:val="00654DAB"/>
    <w:rsid w:val="00656374"/>
    <w:rsid w:val="0066204A"/>
    <w:rsid w:val="00666F9E"/>
    <w:rsid w:val="00670E3C"/>
    <w:rsid w:val="006746DD"/>
    <w:rsid w:val="00675ED3"/>
    <w:rsid w:val="00677F57"/>
    <w:rsid w:val="00681088"/>
    <w:rsid w:val="00681E01"/>
    <w:rsid w:val="00683277"/>
    <w:rsid w:val="00684707"/>
    <w:rsid w:val="006935A3"/>
    <w:rsid w:val="0069577E"/>
    <w:rsid w:val="0069634B"/>
    <w:rsid w:val="00696623"/>
    <w:rsid w:val="006A04E9"/>
    <w:rsid w:val="006A46EF"/>
    <w:rsid w:val="006A4A03"/>
    <w:rsid w:val="006A7543"/>
    <w:rsid w:val="006A7B7C"/>
    <w:rsid w:val="006B2364"/>
    <w:rsid w:val="006B6D42"/>
    <w:rsid w:val="006B725C"/>
    <w:rsid w:val="006C0848"/>
    <w:rsid w:val="006C273D"/>
    <w:rsid w:val="006C5C4F"/>
    <w:rsid w:val="006C6282"/>
    <w:rsid w:val="006C762A"/>
    <w:rsid w:val="006D10CD"/>
    <w:rsid w:val="006D5FF9"/>
    <w:rsid w:val="006E0772"/>
    <w:rsid w:val="006E0F86"/>
    <w:rsid w:val="006E4C13"/>
    <w:rsid w:val="006E64DF"/>
    <w:rsid w:val="006E6601"/>
    <w:rsid w:val="006F03CD"/>
    <w:rsid w:val="006F06D4"/>
    <w:rsid w:val="006F0B15"/>
    <w:rsid w:val="006F0DCC"/>
    <w:rsid w:val="006F3010"/>
    <w:rsid w:val="00702139"/>
    <w:rsid w:val="00702CB1"/>
    <w:rsid w:val="00703DF9"/>
    <w:rsid w:val="007048EB"/>
    <w:rsid w:val="00704A7E"/>
    <w:rsid w:val="00704FBB"/>
    <w:rsid w:val="007059BF"/>
    <w:rsid w:val="0070726A"/>
    <w:rsid w:val="00707747"/>
    <w:rsid w:val="0071226B"/>
    <w:rsid w:val="00713367"/>
    <w:rsid w:val="00715186"/>
    <w:rsid w:val="007168B8"/>
    <w:rsid w:val="00716DC3"/>
    <w:rsid w:val="00716DCD"/>
    <w:rsid w:val="00717040"/>
    <w:rsid w:val="00717184"/>
    <w:rsid w:val="00725A3A"/>
    <w:rsid w:val="00727829"/>
    <w:rsid w:val="00730921"/>
    <w:rsid w:val="00736965"/>
    <w:rsid w:val="00737081"/>
    <w:rsid w:val="00737AB3"/>
    <w:rsid w:val="00744064"/>
    <w:rsid w:val="007509F8"/>
    <w:rsid w:val="0075153E"/>
    <w:rsid w:val="0075258F"/>
    <w:rsid w:val="007529FB"/>
    <w:rsid w:val="00755426"/>
    <w:rsid w:val="00756EBF"/>
    <w:rsid w:val="00763572"/>
    <w:rsid w:val="00766CC0"/>
    <w:rsid w:val="0077044D"/>
    <w:rsid w:val="007750A2"/>
    <w:rsid w:val="007817D6"/>
    <w:rsid w:val="007865F7"/>
    <w:rsid w:val="00786E1F"/>
    <w:rsid w:val="00787912"/>
    <w:rsid w:val="00790491"/>
    <w:rsid w:val="00790FED"/>
    <w:rsid w:val="0079177A"/>
    <w:rsid w:val="007919E6"/>
    <w:rsid w:val="00792A5D"/>
    <w:rsid w:val="00793E03"/>
    <w:rsid w:val="00794330"/>
    <w:rsid w:val="00794836"/>
    <w:rsid w:val="007948D5"/>
    <w:rsid w:val="007A15C9"/>
    <w:rsid w:val="007A6676"/>
    <w:rsid w:val="007A6D04"/>
    <w:rsid w:val="007A7191"/>
    <w:rsid w:val="007B5EB9"/>
    <w:rsid w:val="007B7FF5"/>
    <w:rsid w:val="007C3DC7"/>
    <w:rsid w:val="007C3FC6"/>
    <w:rsid w:val="007C475A"/>
    <w:rsid w:val="007D1124"/>
    <w:rsid w:val="007D14EA"/>
    <w:rsid w:val="007D19DD"/>
    <w:rsid w:val="007D2CE9"/>
    <w:rsid w:val="007D3194"/>
    <w:rsid w:val="007D4FED"/>
    <w:rsid w:val="007D69DA"/>
    <w:rsid w:val="007D70B1"/>
    <w:rsid w:val="007D7140"/>
    <w:rsid w:val="007E1C73"/>
    <w:rsid w:val="007E1CDB"/>
    <w:rsid w:val="007E408C"/>
    <w:rsid w:val="007E57A0"/>
    <w:rsid w:val="007E799C"/>
    <w:rsid w:val="007E7E21"/>
    <w:rsid w:val="007F0460"/>
    <w:rsid w:val="007F0DA2"/>
    <w:rsid w:val="007F28B5"/>
    <w:rsid w:val="007F34C9"/>
    <w:rsid w:val="007F39CE"/>
    <w:rsid w:val="007F5E0D"/>
    <w:rsid w:val="007F64A4"/>
    <w:rsid w:val="00801085"/>
    <w:rsid w:val="00801A89"/>
    <w:rsid w:val="00805848"/>
    <w:rsid w:val="00806787"/>
    <w:rsid w:val="008113BB"/>
    <w:rsid w:val="00812138"/>
    <w:rsid w:val="00814404"/>
    <w:rsid w:val="0081494E"/>
    <w:rsid w:val="008151F2"/>
    <w:rsid w:val="0081777A"/>
    <w:rsid w:val="00817CDB"/>
    <w:rsid w:val="008210E0"/>
    <w:rsid w:val="00824079"/>
    <w:rsid w:val="00831F0A"/>
    <w:rsid w:val="00833A78"/>
    <w:rsid w:val="00836EB3"/>
    <w:rsid w:val="008402BB"/>
    <w:rsid w:val="0084585F"/>
    <w:rsid w:val="0085160F"/>
    <w:rsid w:val="008520D3"/>
    <w:rsid w:val="00853E53"/>
    <w:rsid w:val="00855195"/>
    <w:rsid w:val="0086017F"/>
    <w:rsid w:val="00864D76"/>
    <w:rsid w:val="008656C9"/>
    <w:rsid w:val="0086711C"/>
    <w:rsid w:val="00867535"/>
    <w:rsid w:val="0087048E"/>
    <w:rsid w:val="008709FB"/>
    <w:rsid w:val="00875C5B"/>
    <w:rsid w:val="0088138B"/>
    <w:rsid w:val="00881C12"/>
    <w:rsid w:val="00882C35"/>
    <w:rsid w:val="00883C5F"/>
    <w:rsid w:val="00891C7D"/>
    <w:rsid w:val="00892FA7"/>
    <w:rsid w:val="0089506D"/>
    <w:rsid w:val="008950FB"/>
    <w:rsid w:val="008A05CD"/>
    <w:rsid w:val="008A1704"/>
    <w:rsid w:val="008A2C92"/>
    <w:rsid w:val="008A3301"/>
    <w:rsid w:val="008A3F2E"/>
    <w:rsid w:val="008A428C"/>
    <w:rsid w:val="008A4DF1"/>
    <w:rsid w:val="008A5636"/>
    <w:rsid w:val="008A7D56"/>
    <w:rsid w:val="008B125E"/>
    <w:rsid w:val="008B241C"/>
    <w:rsid w:val="008B3B7C"/>
    <w:rsid w:val="008B408B"/>
    <w:rsid w:val="008B4F11"/>
    <w:rsid w:val="008B5B13"/>
    <w:rsid w:val="008C0533"/>
    <w:rsid w:val="008C2362"/>
    <w:rsid w:val="008C2664"/>
    <w:rsid w:val="008C3049"/>
    <w:rsid w:val="008C52BA"/>
    <w:rsid w:val="008C53B3"/>
    <w:rsid w:val="008D37AD"/>
    <w:rsid w:val="008D3DF8"/>
    <w:rsid w:val="008D4AE9"/>
    <w:rsid w:val="008D5CF3"/>
    <w:rsid w:val="008D62AF"/>
    <w:rsid w:val="008D7D39"/>
    <w:rsid w:val="008E1495"/>
    <w:rsid w:val="008E4574"/>
    <w:rsid w:val="008E48DE"/>
    <w:rsid w:val="008E6BDA"/>
    <w:rsid w:val="008F3504"/>
    <w:rsid w:val="008F4016"/>
    <w:rsid w:val="008F42FE"/>
    <w:rsid w:val="008F4A00"/>
    <w:rsid w:val="008F5402"/>
    <w:rsid w:val="008F56F8"/>
    <w:rsid w:val="0090053A"/>
    <w:rsid w:val="00901C2A"/>
    <w:rsid w:val="00904F5E"/>
    <w:rsid w:val="0090661B"/>
    <w:rsid w:val="009076F9"/>
    <w:rsid w:val="009118C7"/>
    <w:rsid w:val="0091309D"/>
    <w:rsid w:val="00915FBC"/>
    <w:rsid w:val="009201A0"/>
    <w:rsid w:val="00920574"/>
    <w:rsid w:val="009225B6"/>
    <w:rsid w:val="00925090"/>
    <w:rsid w:val="00925397"/>
    <w:rsid w:val="00933A01"/>
    <w:rsid w:val="00933A21"/>
    <w:rsid w:val="00934C10"/>
    <w:rsid w:val="0093662A"/>
    <w:rsid w:val="0094060C"/>
    <w:rsid w:val="009431A5"/>
    <w:rsid w:val="00952611"/>
    <w:rsid w:val="00955A4A"/>
    <w:rsid w:val="00957E69"/>
    <w:rsid w:val="009606A5"/>
    <w:rsid w:val="00962F1F"/>
    <w:rsid w:val="00963F7E"/>
    <w:rsid w:val="0096497C"/>
    <w:rsid w:val="00965304"/>
    <w:rsid w:val="00971293"/>
    <w:rsid w:val="00971CEA"/>
    <w:rsid w:val="00973A3B"/>
    <w:rsid w:val="0097401F"/>
    <w:rsid w:val="00980411"/>
    <w:rsid w:val="00982561"/>
    <w:rsid w:val="00983EAE"/>
    <w:rsid w:val="009858B0"/>
    <w:rsid w:val="00987356"/>
    <w:rsid w:val="0098760B"/>
    <w:rsid w:val="00987999"/>
    <w:rsid w:val="0099129A"/>
    <w:rsid w:val="009942CE"/>
    <w:rsid w:val="0099624E"/>
    <w:rsid w:val="009A11DD"/>
    <w:rsid w:val="009A2C4A"/>
    <w:rsid w:val="009A40F3"/>
    <w:rsid w:val="009A6D0B"/>
    <w:rsid w:val="009B24DA"/>
    <w:rsid w:val="009B2CDB"/>
    <w:rsid w:val="009B30AA"/>
    <w:rsid w:val="009B5217"/>
    <w:rsid w:val="009B5D63"/>
    <w:rsid w:val="009B6162"/>
    <w:rsid w:val="009C0A46"/>
    <w:rsid w:val="009C2D28"/>
    <w:rsid w:val="009C4798"/>
    <w:rsid w:val="009C48DE"/>
    <w:rsid w:val="009D01A2"/>
    <w:rsid w:val="009D2A11"/>
    <w:rsid w:val="009D5908"/>
    <w:rsid w:val="009D6476"/>
    <w:rsid w:val="009D6D1E"/>
    <w:rsid w:val="009D75D1"/>
    <w:rsid w:val="009E085B"/>
    <w:rsid w:val="009E1E1E"/>
    <w:rsid w:val="009E33E3"/>
    <w:rsid w:val="009E3A90"/>
    <w:rsid w:val="009E533D"/>
    <w:rsid w:val="009E7F16"/>
    <w:rsid w:val="009F38B3"/>
    <w:rsid w:val="009F4A92"/>
    <w:rsid w:val="009F5052"/>
    <w:rsid w:val="009F6DD2"/>
    <w:rsid w:val="00A00216"/>
    <w:rsid w:val="00A0077B"/>
    <w:rsid w:val="00A013D8"/>
    <w:rsid w:val="00A02291"/>
    <w:rsid w:val="00A0499A"/>
    <w:rsid w:val="00A04C85"/>
    <w:rsid w:val="00A055D1"/>
    <w:rsid w:val="00A06A10"/>
    <w:rsid w:val="00A07DEB"/>
    <w:rsid w:val="00A100F0"/>
    <w:rsid w:val="00A10889"/>
    <w:rsid w:val="00A156E6"/>
    <w:rsid w:val="00A27D86"/>
    <w:rsid w:val="00A316C0"/>
    <w:rsid w:val="00A33151"/>
    <w:rsid w:val="00A34678"/>
    <w:rsid w:val="00A36970"/>
    <w:rsid w:val="00A41EB4"/>
    <w:rsid w:val="00A43271"/>
    <w:rsid w:val="00A44BFF"/>
    <w:rsid w:val="00A501E3"/>
    <w:rsid w:val="00A50F0C"/>
    <w:rsid w:val="00A521C7"/>
    <w:rsid w:val="00A55584"/>
    <w:rsid w:val="00A56441"/>
    <w:rsid w:val="00A64409"/>
    <w:rsid w:val="00A64E82"/>
    <w:rsid w:val="00A67A0B"/>
    <w:rsid w:val="00A72C29"/>
    <w:rsid w:val="00A72DAD"/>
    <w:rsid w:val="00A736DD"/>
    <w:rsid w:val="00A74A00"/>
    <w:rsid w:val="00A757FF"/>
    <w:rsid w:val="00A81D58"/>
    <w:rsid w:val="00A82869"/>
    <w:rsid w:val="00A83F17"/>
    <w:rsid w:val="00A86BA8"/>
    <w:rsid w:val="00A8758C"/>
    <w:rsid w:val="00A87CF0"/>
    <w:rsid w:val="00A92608"/>
    <w:rsid w:val="00A92ADC"/>
    <w:rsid w:val="00A92D83"/>
    <w:rsid w:val="00A94095"/>
    <w:rsid w:val="00A96EB4"/>
    <w:rsid w:val="00AA081E"/>
    <w:rsid w:val="00AA127E"/>
    <w:rsid w:val="00AA19AE"/>
    <w:rsid w:val="00AA2096"/>
    <w:rsid w:val="00AA423D"/>
    <w:rsid w:val="00AA5B9B"/>
    <w:rsid w:val="00AA6A95"/>
    <w:rsid w:val="00AB10DE"/>
    <w:rsid w:val="00AB228D"/>
    <w:rsid w:val="00AB3668"/>
    <w:rsid w:val="00AB5ED7"/>
    <w:rsid w:val="00AC0B4C"/>
    <w:rsid w:val="00AC231D"/>
    <w:rsid w:val="00AC3072"/>
    <w:rsid w:val="00AC3478"/>
    <w:rsid w:val="00AC5085"/>
    <w:rsid w:val="00AD0AEE"/>
    <w:rsid w:val="00AD0D8C"/>
    <w:rsid w:val="00AD49E3"/>
    <w:rsid w:val="00AD4B4F"/>
    <w:rsid w:val="00AD5B16"/>
    <w:rsid w:val="00AD5CD2"/>
    <w:rsid w:val="00AE1BC8"/>
    <w:rsid w:val="00AE6789"/>
    <w:rsid w:val="00AE7832"/>
    <w:rsid w:val="00AF0616"/>
    <w:rsid w:val="00AF0872"/>
    <w:rsid w:val="00AF0E28"/>
    <w:rsid w:val="00AF5004"/>
    <w:rsid w:val="00AF63A9"/>
    <w:rsid w:val="00AF6F9B"/>
    <w:rsid w:val="00B01409"/>
    <w:rsid w:val="00B049B7"/>
    <w:rsid w:val="00B10DBD"/>
    <w:rsid w:val="00B14368"/>
    <w:rsid w:val="00B15629"/>
    <w:rsid w:val="00B17F25"/>
    <w:rsid w:val="00B22ED8"/>
    <w:rsid w:val="00B2372C"/>
    <w:rsid w:val="00B32F70"/>
    <w:rsid w:val="00B373D0"/>
    <w:rsid w:val="00B37B31"/>
    <w:rsid w:val="00B436DA"/>
    <w:rsid w:val="00B43AAA"/>
    <w:rsid w:val="00B43AF7"/>
    <w:rsid w:val="00B52796"/>
    <w:rsid w:val="00B53139"/>
    <w:rsid w:val="00B55EEF"/>
    <w:rsid w:val="00B562CE"/>
    <w:rsid w:val="00B60B84"/>
    <w:rsid w:val="00B62DE2"/>
    <w:rsid w:val="00B66EB4"/>
    <w:rsid w:val="00B674FE"/>
    <w:rsid w:val="00B7032A"/>
    <w:rsid w:val="00B706CD"/>
    <w:rsid w:val="00B72C2C"/>
    <w:rsid w:val="00B74417"/>
    <w:rsid w:val="00B74D42"/>
    <w:rsid w:val="00B75BA5"/>
    <w:rsid w:val="00B75E34"/>
    <w:rsid w:val="00B77246"/>
    <w:rsid w:val="00B83B0A"/>
    <w:rsid w:val="00B84B2A"/>
    <w:rsid w:val="00B866CD"/>
    <w:rsid w:val="00B92BAB"/>
    <w:rsid w:val="00B93034"/>
    <w:rsid w:val="00B95D11"/>
    <w:rsid w:val="00B96354"/>
    <w:rsid w:val="00B97C5D"/>
    <w:rsid w:val="00BA10CC"/>
    <w:rsid w:val="00BA1290"/>
    <w:rsid w:val="00BA3101"/>
    <w:rsid w:val="00BA3C87"/>
    <w:rsid w:val="00BB2792"/>
    <w:rsid w:val="00BB371F"/>
    <w:rsid w:val="00BB4E1D"/>
    <w:rsid w:val="00BB76BF"/>
    <w:rsid w:val="00BC1130"/>
    <w:rsid w:val="00BC1AD1"/>
    <w:rsid w:val="00BC4A58"/>
    <w:rsid w:val="00BC613B"/>
    <w:rsid w:val="00BD12C1"/>
    <w:rsid w:val="00BD45D9"/>
    <w:rsid w:val="00BD51D9"/>
    <w:rsid w:val="00BD5C76"/>
    <w:rsid w:val="00BD64E2"/>
    <w:rsid w:val="00BE4995"/>
    <w:rsid w:val="00BE4FF8"/>
    <w:rsid w:val="00BE73FA"/>
    <w:rsid w:val="00BF086C"/>
    <w:rsid w:val="00BF202A"/>
    <w:rsid w:val="00BF23C6"/>
    <w:rsid w:val="00BF3191"/>
    <w:rsid w:val="00BF429A"/>
    <w:rsid w:val="00BF62BE"/>
    <w:rsid w:val="00C004F8"/>
    <w:rsid w:val="00C021DD"/>
    <w:rsid w:val="00C0544E"/>
    <w:rsid w:val="00C07126"/>
    <w:rsid w:val="00C10419"/>
    <w:rsid w:val="00C15BE7"/>
    <w:rsid w:val="00C16853"/>
    <w:rsid w:val="00C20817"/>
    <w:rsid w:val="00C263F0"/>
    <w:rsid w:val="00C31696"/>
    <w:rsid w:val="00C330F5"/>
    <w:rsid w:val="00C333A3"/>
    <w:rsid w:val="00C33D41"/>
    <w:rsid w:val="00C344BC"/>
    <w:rsid w:val="00C34C90"/>
    <w:rsid w:val="00C35846"/>
    <w:rsid w:val="00C358B2"/>
    <w:rsid w:val="00C36F0E"/>
    <w:rsid w:val="00C40106"/>
    <w:rsid w:val="00C40AFD"/>
    <w:rsid w:val="00C41E20"/>
    <w:rsid w:val="00C42E3E"/>
    <w:rsid w:val="00C430A8"/>
    <w:rsid w:val="00C51C13"/>
    <w:rsid w:val="00C52034"/>
    <w:rsid w:val="00C525A5"/>
    <w:rsid w:val="00C5300F"/>
    <w:rsid w:val="00C56F55"/>
    <w:rsid w:val="00C6129A"/>
    <w:rsid w:val="00C66CE0"/>
    <w:rsid w:val="00C71BED"/>
    <w:rsid w:val="00C73246"/>
    <w:rsid w:val="00C744EA"/>
    <w:rsid w:val="00C747C0"/>
    <w:rsid w:val="00C81B53"/>
    <w:rsid w:val="00C82AD2"/>
    <w:rsid w:val="00C86001"/>
    <w:rsid w:val="00C90FB6"/>
    <w:rsid w:val="00C9220E"/>
    <w:rsid w:val="00C9304F"/>
    <w:rsid w:val="00C932BD"/>
    <w:rsid w:val="00C93429"/>
    <w:rsid w:val="00C9416B"/>
    <w:rsid w:val="00C9521E"/>
    <w:rsid w:val="00C967C3"/>
    <w:rsid w:val="00CA16C5"/>
    <w:rsid w:val="00CA415A"/>
    <w:rsid w:val="00CA7A35"/>
    <w:rsid w:val="00CB059B"/>
    <w:rsid w:val="00CB06B5"/>
    <w:rsid w:val="00CB1536"/>
    <w:rsid w:val="00CB4B32"/>
    <w:rsid w:val="00CB5CF6"/>
    <w:rsid w:val="00CB5F3C"/>
    <w:rsid w:val="00CB7FB8"/>
    <w:rsid w:val="00CC0E8F"/>
    <w:rsid w:val="00CC0EA0"/>
    <w:rsid w:val="00CC1F71"/>
    <w:rsid w:val="00CC1FF8"/>
    <w:rsid w:val="00CC32BF"/>
    <w:rsid w:val="00CC3E29"/>
    <w:rsid w:val="00CC5EB3"/>
    <w:rsid w:val="00CC5FFD"/>
    <w:rsid w:val="00CD0E7B"/>
    <w:rsid w:val="00CD19A3"/>
    <w:rsid w:val="00CD2210"/>
    <w:rsid w:val="00CD2ABD"/>
    <w:rsid w:val="00CD4024"/>
    <w:rsid w:val="00CD4617"/>
    <w:rsid w:val="00CD4855"/>
    <w:rsid w:val="00CD7A65"/>
    <w:rsid w:val="00CE10AD"/>
    <w:rsid w:val="00CE2569"/>
    <w:rsid w:val="00CE2D5C"/>
    <w:rsid w:val="00CE6D43"/>
    <w:rsid w:val="00CE7888"/>
    <w:rsid w:val="00CF1A1B"/>
    <w:rsid w:val="00CF25EC"/>
    <w:rsid w:val="00CF31D7"/>
    <w:rsid w:val="00CF7A41"/>
    <w:rsid w:val="00D052DF"/>
    <w:rsid w:val="00D10B39"/>
    <w:rsid w:val="00D10E1C"/>
    <w:rsid w:val="00D133A8"/>
    <w:rsid w:val="00D14774"/>
    <w:rsid w:val="00D161A3"/>
    <w:rsid w:val="00D22E49"/>
    <w:rsid w:val="00D23716"/>
    <w:rsid w:val="00D248D9"/>
    <w:rsid w:val="00D25ED8"/>
    <w:rsid w:val="00D26BA5"/>
    <w:rsid w:val="00D2746C"/>
    <w:rsid w:val="00D279F0"/>
    <w:rsid w:val="00D27F8F"/>
    <w:rsid w:val="00D316B8"/>
    <w:rsid w:val="00D31CFC"/>
    <w:rsid w:val="00D3255D"/>
    <w:rsid w:val="00D33764"/>
    <w:rsid w:val="00D340C3"/>
    <w:rsid w:val="00D409CD"/>
    <w:rsid w:val="00D42183"/>
    <w:rsid w:val="00D423D4"/>
    <w:rsid w:val="00D42CAF"/>
    <w:rsid w:val="00D4763B"/>
    <w:rsid w:val="00D500C3"/>
    <w:rsid w:val="00D5291F"/>
    <w:rsid w:val="00D53136"/>
    <w:rsid w:val="00D601EF"/>
    <w:rsid w:val="00D61533"/>
    <w:rsid w:val="00D6357D"/>
    <w:rsid w:val="00D63B2F"/>
    <w:rsid w:val="00D66990"/>
    <w:rsid w:val="00D70747"/>
    <w:rsid w:val="00D71845"/>
    <w:rsid w:val="00D7261D"/>
    <w:rsid w:val="00D73EA6"/>
    <w:rsid w:val="00D74059"/>
    <w:rsid w:val="00D74814"/>
    <w:rsid w:val="00D755FC"/>
    <w:rsid w:val="00D76B6D"/>
    <w:rsid w:val="00D76CA2"/>
    <w:rsid w:val="00D81889"/>
    <w:rsid w:val="00D84D07"/>
    <w:rsid w:val="00D8526A"/>
    <w:rsid w:val="00D86164"/>
    <w:rsid w:val="00D90E91"/>
    <w:rsid w:val="00D92B51"/>
    <w:rsid w:val="00D95E7E"/>
    <w:rsid w:val="00D97257"/>
    <w:rsid w:val="00D97B3F"/>
    <w:rsid w:val="00D97FAB"/>
    <w:rsid w:val="00DA2C36"/>
    <w:rsid w:val="00DA4746"/>
    <w:rsid w:val="00DB0C72"/>
    <w:rsid w:val="00DB296E"/>
    <w:rsid w:val="00DB381E"/>
    <w:rsid w:val="00DB53C1"/>
    <w:rsid w:val="00DB5D0F"/>
    <w:rsid w:val="00DB7C6A"/>
    <w:rsid w:val="00DC1347"/>
    <w:rsid w:val="00DC39F1"/>
    <w:rsid w:val="00DC4C48"/>
    <w:rsid w:val="00DC51EF"/>
    <w:rsid w:val="00DD0544"/>
    <w:rsid w:val="00DD11F6"/>
    <w:rsid w:val="00DE11CC"/>
    <w:rsid w:val="00DE4B35"/>
    <w:rsid w:val="00DE6DAE"/>
    <w:rsid w:val="00DE75FE"/>
    <w:rsid w:val="00DF05DD"/>
    <w:rsid w:val="00DF19C1"/>
    <w:rsid w:val="00DF54CA"/>
    <w:rsid w:val="00DF5B64"/>
    <w:rsid w:val="00DF68EA"/>
    <w:rsid w:val="00E02794"/>
    <w:rsid w:val="00E02ABE"/>
    <w:rsid w:val="00E02AE5"/>
    <w:rsid w:val="00E043E3"/>
    <w:rsid w:val="00E0505B"/>
    <w:rsid w:val="00E05D5E"/>
    <w:rsid w:val="00E11280"/>
    <w:rsid w:val="00E12359"/>
    <w:rsid w:val="00E152FF"/>
    <w:rsid w:val="00E20022"/>
    <w:rsid w:val="00E21C25"/>
    <w:rsid w:val="00E22584"/>
    <w:rsid w:val="00E232F7"/>
    <w:rsid w:val="00E2461B"/>
    <w:rsid w:val="00E24886"/>
    <w:rsid w:val="00E276FB"/>
    <w:rsid w:val="00E32595"/>
    <w:rsid w:val="00E33A74"/>
    <w:rsid w:val="00E34C98"/>
    <w:rsid w:val="00E34CB2"/>
    <w:rsid w:val="00E35609"/>
    <w:rsid w:val="00E36CA4"/>
    <w:rsid w:val="00E4030B"/>
    <w:rsid w:val="00E41256"/>
    <w:rsid w:val="00E41D56"/>
    <w:rsid w:val="00E457DF"/>
    <w:rsid w:val="00E46642"/>
    <w:rsid w:val="00E4684B"/>
    <w:rsid w:val="00E5139A"/>
    <w:rsid w:val="00E5413D"/>
    <w:rsid w:val="00E57977"/>
    <w:rsid w:val="00E6225F"/>
    <w:rsid w:val="00E635D7"/>
    <w:rsid w:val="00E6429A"/>
    <w:rsid w:val="00E67E9C"/>
    <w:rsid w:val="00E70576"/>
    <w:rsid w:val="00E71CE1"/>
    <w:rsid w:val="00E76869"/>
    <w:rsid w:val="00E76CA9"/>
    <w:rsid w:val="00E83954"/>
    <w:rsid w:val="00E91730"/>
    <w:rsid w:val="00E95EE2"/>
    <w:rsid w:val="00E96F04"/>
    <w:rsid w:val="00E97AEC"/>
    <w:rsid w:val="00EA040D"/>
    <w:rsid w:val="00EA14BD"/>
    <w:rsid w:val="00EA15A4"/>
    <w:rsid w:val="00EA20FE"/>
    <w:rsid w:val="00EA290C"/>
    <w:rsid w:val="00EA3645"/>
    <w:rsid w:val="00EB491E"/>
    <w:rsid w:val="00EB4A11"/>
    <w:rsid w:val="00EB5EB7"/>
    <w:rsid w:val="00EB601B"/>
    <w:rsid w:val="00EB681B"/>
    <w:rsid w:val="00EB693A"/>
    <w:rsid w:val="00EB7816"/>
    <w:rsid w:val="00EC1627"/>
    <w:rsid w:val="00EC3B3F"/>
    <w:rsid w:val="00EC3DC7"/>
    <w:rsid w:val="00EC4FAD"/>
    <w:rsid w:val="00EC5090"/>
    <w:rsid w:val="00ED0597"/>
    <w:rsid w:val="00ED2099"/>
    <w:rsid w:val="00ED4A4A"/>
    <w:rsid w:val="00ED7418"/>
    <w:rsid w:val="00EE1AF0"/>
    <w:rsid w:val="00EE1C09"/>
    <w:rsid w:val="00EE3CFA"/>
    <w:rsid w:val="00EE69E4"/>
    <w:rsid w:val="00EE7B49"/>
    <w:rsid w:val="00EF0D14"/>
    <w:rsid w:val="00EF2A7F"/>
    <w:rsid w:val="00EF7E90"/>
    <w:rsid w:val="00F002B6"/>
    <w:rsid w:val="00F02FC9"/>
    <w:rsid w:val="00F10AFE"/>
    <w:rsid w:val="00F15C6C"/>
    <w:rsid w:val="00F17173"/>
    <w:rsid w:val="00F2001C"/>
    <w:rsid w:val="00F20A3E"/>
    <w:rsid w:val="00F224DC"/>
    <w:rsid w:val="00F22C4E"/>
    <w:rsid w:val="00F2306A"/>
    <w:rsid w:val="00F2557E"/>
    <w:rsid w:val="00F2687F"/>
    <w:rsid w:val="00F27F29"/>
    <w:rsid w:val="00F32D54"/>
    <w:rsid w:val="00F36C54"/>
    <w:rsid w:val="00F37C6A"/>
    <w:rsid w:val="00F40D9E"/>
    <w:rsid w:val="00F418EA"/>
    <w:rsid w:val="00F41A29"/>
    <w:rsid w:val="00F4310E"/>
    <w:rsid w:val="00F43FFE"/>
    <w:rsid w:val="00F44C1C"/>
    <w:rsid w:val="00F518DF"/>
    <w:rsid w:val="00F52EA5"/>
    <w:rsid w:val="00F544DB"/>
    <w:rsid w:val="00F6365F"/>
    <w:rsid w:val="00F6502E"/>
    <w:rsid w:val="00F65663"/>
    <w:rsid w:val="00F72395"/>
    <w:rsid w:val="00F7480D"/>
    <w:rsid w:val="00F7506E"/>
    <w:rsid w:val="00F756C0"/>
    <w:rsid w:val="00F75A40"/>
    <w:rsid w:val="00F77637"/>
    <w:rsid w:val="00F7767C"/>
    <w:rsid w:val="00F8435D"/>
    <w:rsid w:val="00F8435F"/>
    <w:rsid w:val="00F87C21"/>
    <w:rsid w:val="00F87DD0"/>
    <w:rsid w:val="00F912FA"/>
    <w:rsid w:val="00F92540"/>
    <w:rsid w:val="00F93360"/>
    <w:rsid w:val="00F93753"/>
    <w:rsid w:val="00F93FE4"/>
    <w:rsid w:val="00F969AD"/>
    <w:rsid w:val="00F97E4E"/>
    <w:rsid w:val="00FA217B"/>
    <w:rsid w:val="00FA2818"/>
    <w:rsid w:val="00FA4038"/>
    <w:rsid w:val="00FA4FB3"/>
    <w:rsid w:val="00FA7574"/>
    <w:rsid w:val="00FB0BC5"/>
    <w:rsid w:val="00FB0BCC"/>
    <w:rsid w:val="00FB2239"/>
    <w:rsid w:val="00FC0FE5"/>
    <w:rsid w:val="00FC58B3"/>
    <w:rsid w:val="00FC7E41"/>
    <w:rsid w:val="00FD1ABC"/>
    <w:rsid w:val="00FD206D"/>
    <w:rsid w:val="00FD293C"/>
    <w:rsid w:val="00FD7DDF"/>
    <w:rsid w:val="00FE4C92"/>
    <w:rsid w:val="00FE51C9"/>
    <w:rsid w:val="00FE7BAD"/>
    <w:rsid w:val="00FF0FAA"/>
    <w:rsid w:val="00FF4235"/>
    <w:rsid w:val="00FF4396"/>
    <w:rsid w:val="08EDF5A3"/>
    <w:rsid w:val="3E1CF75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52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6C0"/>
    <w:pPr>
      <w:overflowPunct w:val="0"/>
      <w:autoSpaceDE w:val="0"/>
      <w:autoSpaceDN w:val="0"/>
      <w:adjustRightInd w:val="0"/>
      <w:spacing w:line="288" w:lineRule="auto"/>
      <w:jc w:val="both"/>
      <w:textAlignment w:val="baseline"/>
    </w:pPr>
    <w:rPr>
      <w:szCs w:val="20"/>
      <w:lang w:eastAsia="en-US" w:bidi="ar-SA"/>
    </w:rPr>
  </w:style>
  <w:style w:type="paragraph" w:styleId="Heading1">
    <w:name w:val="heading 1"/>
    <w:basedOn w:val="Normal"/>
    <w:next w:val="Normal"/>
    <w:link w:val="Heading1Char"/>
    <w:qFormat/>
    <w:rsid w:val="00A316C0"/>
    <w:pPr>
      <w:numPr>
        <w:numId w:val="1"/>
      </w:numPr>
      <w:ind w:left="720" w:hanging="720"/>
      <w:outlineLvl w:val="0"/>
    </w:pPr>
    <w:rPr>
      <w:kern w:val="28"/>
    </w:rPr>
  </w:style>
  <w:style w:type="paragraph" w:styleId="Heading2">
    <w:name w:val="heading 2"/>
    <w:basedOn w:val="Normal"/>
    <w:next w:val="Normal"/>
    <w:link w:val="Heading2Char"/>
    <w:qFormat/>
    <w:rsid w:val="00102488"/>
    <w:pPr>
      <w:numPr>
        <w:ilvl w:val="1"/>
        <w:numId w:val="1"/>
      </w:numPr>
      <w:outlineLvl w:val="1"/>
    </w:pPr>
  </w:style>
  <w:style w:type="paragraph" w:styleId="Heading3">
    <w:name w:val="heading 3"/>
    <w:basedOn w:val="Normal"/>
    <w:next w:val="Normal"/>
    <w:link w:val="Heading3Char"/>
    <w:qFormat/>
    <w:rsid w:val="00A316C0"/>
    <w:pPr>
      <w:numPr>
        <w:ilvl w:val="2"/>
        <w:numId w:val="1"/>
      </w:numPr>
      <w:ind w:left="720" w:hanging="720"/>
      <w:outlineLvl w:val="2"/>
    </w:pPr>
  </w:style>
  <w:style w:type="paragraph" w:styleId="Heading4">
    <w:name w:val="heading 4"/>
    <w:basedOn w:val="Normal"/>
    <w:next w:val="Normal"/>
    <w:link w:val="Heading4Char"/>
    <w:qFormat/>
    <w:rsid w:val="00A316C0"/>
    <w:pPr>
      <w:numPr>
        <w:ilvl w:val="3"/>
        <w:numId w:val="1"/>
      </w:numPr>
      <w:ind w:left="720" w:hanging="720"/>
      <w:outlineLvl w:val="3"/>
    </w:pPr>
  </w:style>
  <w:style w:type="paragraph" w:styleId="Heading5">
    <w:name w:val="heading 5"/>
    <w:basedOn w:val="Normal"/>
    <w:next w:val="Normal"/>
    <w:link w:val="Heading5Char"/>
    <w:qFormat/>
    <w:rsid w:val="00A316C0"/>
    <w:pPr>
      <w:numPr>
        <w:ilvl w:val="4"/>
        <w:numId w:val="1"/>
      </w:numPr>
      <w:ind w:left="720" w:hanging="720"/>
      <w:outlineLvl w:val="4"/>
    </w:pPr>
  </w:style>
  <w:style w:type="paragraph" w:styleId="Heading6">
    <w:name w:val="heading 6"/>
    <w:basedOn w:val="Normal"/>
    <w:next w:val="Normal"/>
    <w:link w:val="Heading6Char"/>
    <w:qFormat/>
    <w:rsid w:val="00A316C0"/>
    <w:pPr>
      <w:numPr>
        <w:ilvl w:val="5"/>
        <w:numId w:val="1"/>
      </w:numPr>
      <w:ind w:left="720" w:hanging="720"/>
      <w:outlineLvl w:val="5"/>
    </w:pPr>
  </w:style>
  <w:style w:type="paragraph" w:styleId="Heading7">
    <w:name w:val="heading 7"/>
    <w:basedOn w:val="Normal"/>
    <w:next w:val="Normal"/>
    <w:link w:val="Heading7Char"/>
    <w:qFormat/>
    <w:rsid w:val="00A316C0"/>
    <w:pPr>
      <w:numPr>
        <w:ilvl w:val="6"/>
        <w:numId w:val="1"/>
      </w:numPr>
      <w:ind w:left="720" w:hanging="720"/>
      <w:outlineLvl w:val="6"/>
    </w:pPr>
  </w:style>
  <w:style w:type="paragraph" w:styleId="Heading8">
    <w:name w:val="heading 8"/>
    <w:basedOn w:val="Normal"/>
    <w:next w:val="Normal"/>
    <w:link w:val="Heading8Char"/>
    <w:qFormat/>
    <w:rsid w:val="00A316C0"/>
    <w:pPr>
      <w:numPr>
        <w:ilvl w:val="7"/>
        <w:numId w:val="1"/>
      </w:numPr>
      <w:ind w:left="720" w:hanging="720"/>
      <w:outlineLvl w:val="7"/>
    </w:pPr>
  </w:style>
  <w:style w:type="paragraph" w:styleId="Heading9">
    <w:name w:val="heading 9"/>
    <w:basedOn w:val="Normal"/>
    <w:next w:val="Normal"/>
    <w:link w:val="Heading9Char"/>
    <w:qFormat/>
    <w:rsid w:val="00A316C0"/>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en-US" w:bidi="ar-SA"/>
    </w:rPr>
  </w:style>
  <w:style w:type="character" w:customStyle="1" w:styleId="Heading2Char">
    <w:name w:val="Heading 2 Char"/>
    <w:basedOn w:val="DefaultParagraphFont"/>
    <w:link w:val="Heading2"/>
    <w:locked/>
    <w:rsid w:val="00CB1536"/>
    <w:rPr>
      <w:szCs w:val="20"/>
      <w:lang w:eastAsia="en-US" w:bidi="ar-SA"/>
    </w:rPr>
  </w:style>
  <w:style w:type="character" w:customStyle="1" w:styleId="Heading3Char">
    <w:name w:val="Heading 3 Char"/>
    <w:basedOn w:val="DefaultParagraphFont"/>
    <w:link w:val="Heading3"/>
    <w:locked/>
    <w:rsid w:val="00CB1536"/>
    <w:rPr>
      <w:szCs w:val="20"/>
      <w:lang w:eastAsia="en-US" w:bidi="ar-SA"/>
    </w:rPr>
  </w:style>
  <w:style w:type="character" w:customStyle="1" w:styleId="Heading4Char">
    <w:name w:val="Heading 4 Char"/>
    <w:basedOn w:val="DefaultParagraphFont"/>
    <w:link w:val="Heading4"/>
    <w:locked/>
    <w:rsid w:val="00CB1536"/>
    <w:rPr>
      <w:szCs w:val="20"/>
      <w:lang w:eastAsia="en-US" w:bidi="ar-SA"/>
    </w:rPr>
  </w:style>
  <w:style w:type="character" w:customStyle="1" w:styleId="Heading5Char">
    <w:name w:val="Heading 5 Char"/>
    <w:basedOn w:val="DefaultParagraphFont"/>
    <w:link w:val="Heading5"/>
    <w:locked/>
    <w:rsid w:val="00CB1536"/>
    <w:rPr>
      <w:szCs w:val="20"/>
      <w:lang w:eastAsia="en-US" w:bidi="ar-SA"/>
    </w:rPr>
  </w:style>
  <w:style w:type="character" w:customStyle="1" w:styleId="Heading6Char">
    <w:name w:val="Heading 6 Char"/>
    <w:basedOn w:val="DefaultParagraphFont"/>
    <w:link w:val="Heading6"/>
    <w:locked/>
    <w:rsid w:val="00CB1536"/>
    <w:rPr>
      <w:szCs w:val="20"/>
      <w:lang w:eastAsia="en-US" w:bidi="ar-SA"/>
    </w:rPr>
  </w:style>
  <w:style w:type="character" w:customStyle="1" w:styleId="Heading7Char">
    <w:name w:val="Heading 7 Char"/>
    <w:basedOn w:val="DefaultParagraphFont"/>
    <w:link w:val="Heading7"/>
    <w:locked/>
    <w:rsid w:val="00CB1536"/>
    <w:rPr>
      <w:szCs w:val="20"/>
      <w:lang w:eastAsia="en-US" w:bidi="ar-SA"/>
    </w:rPr>
  </w:style>
  <w:style w:type="character" w:customStyle="1" w:styleId="Heading8Char">
    <w:name w:val="Heading 8 Char"/>
    <w:basedOn w:val="DefaultParagraphFont"/>
    <w:link w:val="Heading8"/>
    <w:locked/>
    <w:rsid w:val="00CB1536"/>
    <w:rPr>
      <w:szCs w:val="20"/>
      <w:lang w:eastAsia="en-US" w:bidi="ar-SA"/>
    </w:rPr>
  </w:style>
  <w:style w:type="character" w:customStyle="1" w:styleId="Heading9Char">
    <w:name w:val="Heading 9 Char"/>
    <w:basedOn w:val="DefaultParagraphFont"/>
    <w:link w:val="Heading9"/>
    <w:locked/>
    <w:rsid w:val="00CB1536"/>
    <w:rPr>
      <w:szCs w:val="20"/>
      <w:lang w:eastAsia="en-US" w:bidi="ar-SA"/>
    </w:rPr>
  </w:style>
  <w:style w:type="paragraph" w:styleId="Footer">
    <w:name w:val="footer"/>
    <w:basedOn w:val="Normal"/>
    <w:link w:val="FooterChar"/>
    <w:rsid w:val="00A316C0"/>
  </w:style>
  <w:style w:type="character" w:customStyle="1" w:styleId="FooterChar">
    <w:name w:val="Footer Char"/>
    <w:basedOn w:val="DefaultParagraphFont"/>
    <w:link w:val="Footer"/>
    <w:locked/>
    <w:rsid w:val="00CB1536"/>
    <w:rPr>
      <w:szCs w:val="20"/>
      <w:lang w:eastAsia="en-US" w:bidi="ar-SA"/>
    </w:rPr>
  </w:style>
  <w:style w:type="paragraph" w:styleId="FootnoteText">
    <w:name w:val="footnote text"/>
    <w:basedOn w:val="Normal"/>
    <w:link w:val="FootnoteTextChar"/>
    <w:rsid w:val="00A316C0"/>
    <w:pPr>
      <w:keepLines/>
      <w:spacing w:after="60" w:line="240" w:lineRule="auto"/>
      <w:ind w:left="720" w:hanging="720"/>
    </w:pPr>
    <w:rPr>
      <w:sz w:val="16"/>
    </w:rPr>
  </w:style>
  <w:style w:type="character" w:customStyle="1" w:styleId="FootnoteTextChar">
    <w:name w:val="Footnote Text Char"/>
    <w:basedOn w:val="DefaultParagraphFont"/>
    <w:link w:val="FootnoteText"/>
    <w:locked/>
    <w:rsid w:val="00CB1536"/>
    <w:rPr>
      <w:sz w:val="16"/>
      <w:szCs w:val="20"/>
      <w:lang w:eastAsia="en-US" w:bidi="ar-SA"/>
    </w:rPr>
  </w:style>
  <w:style w:type="paragraph" w:styleId="Header">
    <w:name w:val="header"/>
    <w:basedOn w:val="Normal"/>
    <w:link w:val="HeaderChar"/>
    <w:rsid w:val="00A316C0"/>
  </w:style>
  <w:style w:type="character" w:customStyle="1" w:styleId="HeaderChar">
    <w:name w:val="Header Char"/>
    <w:basedOn w:val="DefaultParagraphFont"/>
    <w:link w:val="Header"/>
    <w:locked/>
    <w:rsid w:val="00CB1536"/>
    <w:rPr>
      <w:szCs w:val="20"/>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rsid w:val="00A316C0"/>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table" w:styleId="TableGrid">
    <w:name w:val="Table Grid"/>
    <w:basedOn w:val="TableNormal"/>
    <w:locked/>
    <w:rsid w:val="00920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511621">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99309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OC@eesc.europa.eu"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TXT/?qid=1776927565227&amp;uri=CELEX%3A52024DC02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A6WAAD5KZT2Q-1415362569-8607</_dlc_DocId>
    <_dlc_DocIdUrl xmlns="1a33af13-4045-4f88-9d7b-618e30f79918">
      <Url>http://dm/eesc/2025/_layouts/15/DocIdRedir.aspx?ID=A6WAAD5KZT2Q-1415362569-8607</Url>
      <Description>A6WAAD5KZT2Q-1415362569-8607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RESE</TermName>
          <TermId xmlns="http://schemas.microsoft.com/office/infopath/2007/PartnerControls">133bc82e-a833-4f63-96a0-e278370e9c8e</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2026-05-29T12:00:00+00:00</ProductionDate>
    <DocumentNumber xmlns="03db1768-8e83-4c4e-a8fb-1eb1d05ab6cf">4143</DocumentNumber>
    <FicheYear xmlns="1a33af13-4045-4f88-9d7b-618e30f79918" xsi:nil="true"/>
    <DossierNumber xmlns="1a33af13-4045-4f88-9d7b-618e30f79918">847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75</Value>
      <Value>67</Value>
      <Value>369</Value>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MeetingDate xmlns="1a33af13-4045-4f88-9d7b-618e30f79918">2026-06-17T12:00:00+00:00</MeetingDate>
    <Rapporteur xmlns="1a33af13-4045-4f88-9d7b-618e30f79918">BARBUCCI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303707</FicheNumber>
    <OriginalSender xmlns="1a33af13-4045-4f88-9d7b-618e30f79918">
      <UserInfo>
        <DisplayName>Gumm Alexander</DisplayName>
        <AccountId>1510</AccountId>
        <AccountType/>
      </UserInfo>
    </OriginalSender>
    <DocumentPart xmlns="1a33af13-4045-4f88-9d7b-618e30f79918">0</DocumentPart>
    <AdoptionDate xmlns="1a33af13-4045-4f88-9d7b-618e30f79918" xsi:nil="true"/>
    <RequestingService xmlns="1a33af13-4045-4f88-9d7b-618e30f79918">Emploi, affaires sociales, citoyenneté</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db1768-8e83-4c4e-a8fb-1eb1d05ab6cf">606</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1a33af13-4045-4f88-9d7b-618e30f79918">0</DocumentVersion>
  </documentManagement>
</p:properties>
</file>

<file path=customXml/item5.xml><?xml version="1.0" encoding="utf-8"?>
<ct:contentTypeSchema xmlns:ct="http://schemas.microsoft.com/office/2006/metadata/contentType" xmlns:ma="http://schemas.microsoft.com/office/2006/metadata/properties/metaAttributes" ct:_="" ma:_="" ma:contentTypeName="DM Document" ma:contentTypeID="0x010100EA97B91038054C99906057A708A1480A007FAFB00F4882C04A82CD69E07FC3C83E" ma:contentTypeVersion="4" ma:contentTypeDescription="Defines the documents for Document Manager V2" ma:contentTypeScope="" ma:versionID="e1f91dccb3ac38b965a7df337298240c">
  <xsd:schema xmlns:xsd="http://www.w3.org/2001/XMLSchema" xmlns:xs="http://www.w3.org/2001/XMLSchema" xmlns:p="http://schemas.microsoft.com/office/2006/metadata/properties" xmlns:ns2="1a33af13-4045-4f88-9d7b-618e30f79918" xmlns:ns3="http://schemas.microsoft.com/sharepoint/v3/fields" xmlns:ns4="03db1768-8e83-4c4e-a8fb-1eb1d05ab6cf" targetNamespace="http://schemas.microsoft.com/office/2006/metadata/properties" ma:root="true" ma:fieldsID="729eb5977a1faeb1512aca3b9df79d2e" ns2:_="" ns3:_="" ns4:_="">
    <xsd:import namespace="1a33af13-4045-4f88-9d7b-618e30f79918"/>
    <xsd:import namespace="http://schemas.microsoft.com/sharepoint/v3/fields"/>
    <xsd:import namespace="03db1768-8e83-4c4e-a8fb-1eb1d05ab6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b1768-8e83-4c4e-a8fb-1eb1d05ab6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D80FA-9E95-4DDD-9B94-F5DE82CDDE7D}">
  <ds:schemaRefs>
    <ds:schemaRef ds:uri="http://schemas.microsoft.com/sharepoint/events"/>
  </ds:schemaRefs>
</ds:datastoreItem>
</file>

<file path=customXml/itemProps2.xml><?xml version="1.0" encoding="utf-8"?>
<ds:datastoreItem xmlns:ds="http://schemas.openxmlformats.org/officeDocument/2006/customXml" ds:itemID="{866000CD-C396-465A-BB59-2E700D509C6D}">
  <ds:schemaRefs>
    <ds:schemaRef ds:uri="http://schemas.openxmlformats.org/officeDocument/2006/bibliography"/>
  </ds:schemaRefs>
</ds:datastoreItem>
</file>

<file path=customXml/itemProps3.xml><?xml version="1.0" encoding="utf-8"?>
<ds:datastoreItem xmlns:ds="http://schemas.openxmlformats.org/officeDocument/2006/customXml" ds:itemID="{64AF1A64-8936-4B32-A06F-5724FFE9A800}">
  <ds:schemaRefs>
    <ds:schemaRef ds:uri="http://schemas.microsoft.com/sharepoint/v3/contenttype/forms"/>
  </ds:schemaRefs>
</ds:datastoreItem>
</file>

<file path=customXml/itemProps4.xml><?xml version="1.0" encoding="utf-8"?>
<ds:datastoreItem xmlns:ds="http://schemas.openxmlformats.org/officeDocument/2006/customXml" ds:itemID="{DB58407D-58C8-4D3E-B484-E9846F7C05F3}">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03db1768-8e83-4c4e-a8fb-1eb1d05ab6cf"/>
  </ds:schemaRefs>
</ds:datastoreItem>
</file>

<file path=customXml/itemProps5.xml><?xml version="1.0" encoding="utf-8"?>
<ds:datastoreItem xmlns:ds="http://schemas.openxmlformats.org/officeDocument/2006/customXml" ds:itemID="{86186061-3630-4FC6-94D1-1DC6A7F3D1E5}"/>
</file>

<file path=docProps/app.xml><?xml version="1.0" encoding="utf-8"?>
<Properties xmlns="http://schemas.openxmlformats.org/officeDocument/2006/extended-properties" xmlns:vt="http://schemas.openxmlformats.org/officeDocument/2006/docPropsVTypes">
  <Template>Normal.dotm</Template>
  <TotalTime>0</TotalTime>
  <Pages>3</Pages>
  <Words>4100</Words>
  <Characters>23373</Characters>
  <Application>Microsoft Office Word</Application>
  <DocSecurity>0</DocSecurity>
  <Lines>194</Lines>
  <Paragraphs>54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Whistleblower Protection Directive</vt:lpstr>
      <vt:lpstr/>
    </vt:vector>
  </TitlesOfParts>
  <Company/>
  <LinksUpToDate>false</LinksUpToDate>
  <CharactersWithSpaces>27419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Richtlinie über den Schutz von Hinweisgebern</dc:title>
  <dc:creator/>
  <cp:keywords>EESC-2025-04143-00-00-PRE-TRA-EN</cp:keywords>
  <dc:description>Rapporteur: - BARBUCCI Original language: - EN Date of document: - 13/05/2026 Date of meeting: - 27/05/2026 External documents: -  Administrator responsible: - MME BEDATON June</dc:description>
  <cp:lastModifiedBy/>
  <cp:revision>10</cp:revision>
  <dcterms:created xsi:type="dcterms:W3CDTF">2026-05-28T07:36:00Z</dcterms:created>
  <dcterms:modified xsi:type="dcterms:W3CDTF">2026-05-29T12:15:00Z</dcterms:modified>
  <cp:category>SOC/847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28/05/2026, 23/04/2026, 12/04/2024, 17/05/2022, 04/11/2015, 27/10/2015, 19/10/2015, 09/10/2015, 05/10/2015, 05/10/2015, 26/08/2015, 26/08/2015, 25/08/2015</vt:lpwstr>
  </property>
  <property fmtid="{D5CDD505-2E9C-101B-9397-08002B2CF9AE}" pid="4" name="Pref_Time">
    <vt:lpwstr>09:32:53, 09:11:43, 12:19:36, 13:11:39, 12:10:07, 14:44:02, 16:04:16, 14:09:30, 16:24:55, 16:04:02, 08:56:14, 07:27:56, 17:31:53</vt:lpwstr>
  </property>
  <property fmtid="{D5CDD505-2E9C-101B-9397-08002B2CF9AE}" pid="5" name="Pref_User">
    <vt:lpwstr>amett, amett, enied, enied, ssex, enied, amett, tvoc, mreg, mreg, amett, enied, ssex</vt:lpwstr>
  </property>
  <property fmtid="{D5CDD505-2E9C-101B-9397-08002B2CF9AE}" pid="6" name="Pref_FileName">
    <vt:lpwstr>EESC-2025-04143-00-00-RESE-TRA-EN-CRR.docx, EESC-2025-04143-00-00-APRE-EDI sent for translation.docx, COR-EESC-2024-01326-19-00-ADMIN-ORI.docx, COR-EESC-2022-02555-00-00-ADMIN-ORI.docx, EESC-2015-05408-00-00-PA-CRR-EN.docx, EESC-2015-05408-00-01-APA-ORI.d</vt:lpwstr>
  </property>
  <property fmtid="{D5CDD505-2E9C-101B-9397-08002B2CF9AE}" pid="7" name="ContentTypeId">
    <vt:lpwstr>0x010100EA97B91038054C99906057A708A1480A007FAFB00F4882C04A82CD69E07FC3C83E</vt:lpwstr>
  </property>
  <property fmtid="{D5CDD505-2E9C-101B-9397-08002B2CF9AE}" pid="8" name="_dlc_DocIdItemGuid">
    <vt:lpwstr>2dec21ef-42f1-41f4-be3b-c6b37016cd3e</vt:lpwstr>
  </property>
  <property fmtid="{D5CDD505-2E9C-101B-9397-08002B2CF9AE}" pid="9" name="AvailableTranslations">
    <vt:lpwstr>33;#PT|50ccc04a-eadd-42ae-a0cb-acaf45f812ba;#27;#NL|55c6556c-b4f4-441d-9acf-c498d4f838bd;#28;#SV|c2ed69e7-a339-43d7-8f22-d93680a92aa0;#16;#ES|e7a6b05b-ae16-40c8-add9-68b64b03aeba;#36;#RO|feb747a2-64cd-4299-af12-4833ddc30497;#24;#PL|1e03da61-4678-4e07-b136-b5024ca9197b;#31;#SL|98a412ae-eb01-49e9-ae3d-585a81724cfc;#37;#HU|6b229040-c589-4408-b4c1-4285663d20a8;#39;#LV|46f7e311-5d9f-4663-b433-18aeccb7ace7;#47;#BG|1a1b3951-7821-4e6a-85f5-5673fc08bd2c;#32;#MT|7df99101-6854-4a26-b53a-b88c0da02c26;#46;#SK|46d9fce0-ef79-4f71-b89b-cd6aa82426b8;#35;#FI|87606a43-d45f-42d6-b8c9-e1a3457db5b7;#43;#GA|762d2456-c427-4ecb-b312-af3dad8e258c;#12;#FR|d2afafd3-4c81-4f60-8f52-ee33f2f54ff3;#40;#DA|5d49c027-8956-412b-aa16-e85a0f96ad0e;#29;#CS|72f9705b-0217-4fd3-bea2-cbc7ed80e26e;#30;#LT|a7ff5ce7-6123-4f68-865a-a57c31810414;#5;#EN|f2175f21-25d7-44a3-96da-d6a61b075e1b;#34;#IT|0774613c-01ed-4e5d-a25d-11d2388de825;#23;#DE|f6b31e5a-26fa-4935-b661-318e46daf27e;#50;#HR|2f555653-ed1a-4fe6-8362-9082d95989e5;#41;#ET|ff6c3f4c-b02c-4c3c-ab07-2c37995a7a0a;#42;#EL|6d4f4d51-af9b-4650-94b4-4276bee85c91</vt:lpwstr>
  </property>
  <property fmtid="{D5CDD505-2E9C-101B-9397-08002B2CF9AE}" pid="10" name="DocumentType_0">
    <vt:lpwstr>RESE|133bc82e-a833-4f63-96a0-e278370e9c8e</vt:lpwstr>
  </property>
  <property fmtid="{D5CDD505-2E9C-101B-9397-08002B2CF9AE}" pid="11" name="MeetingNumber">
    <vt:i4>606</vt:i4>
  </property>
  <property fmtid="{D5CDD505-2E9C-101B-9397-08002B2CF9AE}" pid="12" name="DossierName_0">
    <vt:lpwstr>SOC|13795804-ecbd-4ce5-9693-9b8be1981b20</vt:lpwstr>
  </property>
  <property fmtid="{D5CDD505-2E9C-101B-9397-08002B2CF9AE}" pid="13" name="DocumentSource_0">
    <vt:lpwstr>EESC|422833ec-8d7e-4e65-8e4e-8bed07ffb729</vt:lpwstr>
  </property>
  <property fmtid="{D5CDD505-2E9C-101B-9397-08002B2CF9AE}" pid="14" name="DocumentNumber">
    <vt:i4>4143</vt:i4>
  </property>
  <property fmtid="{D5CDD505-2E9C-101B-9397-08002B2CF9AE}" pid="15" name="FicheYear">
    <vt:i4>2025</vt:i4>
  </property>
  <property fmtid="{D5CDD505-2E9C-101B-9397-08002B2CF9AE}" pid="16" name="DocumentVersion">
    <vt:i4>0</vt:i4>
  </property>
  <property fmtid="{D5CDD505-2E9C-101B-9397-08002B2CF9AE}" pid="17" name="DossierNumber">
    <vt:i4>847</vt:i4>
  </property>
  <property fmtid="{D5CDD505-2E9C-101B-9397-08002B2CF9AE}" pid="18" name="DocumentStatus">
    <vt:lpwstr>13;#TRA|150d2a88-1431-44e6-a8ca-0bb753ab8672</vt:lpwstr>
  </property>
  <property fmtid="{D5CDD505-2E9C-101B-9397-08002B2CF9AE}" pid="19" name="DossierName">
    <vt:lpwstr>75;#SOC|13795804-ecbd-4ce5-9693-9b8be1981b20</vt:lpwstr>
  </property>
  <property fmtid="{D5CDD505-2E9C-101B-9397-08002B2CF9AE}" pid="20" name="RequestingService">
    <vt:lpwstr>Emploi, affaires sociales, citoyenneté</vt:lpwstr>
  </property>
  <property fmtid="{D5CDD505-2E9C-101B-9397-08002B2CF9AE}" pid="21" name="Confidentiality">
    <vt:lpwstr>15;#Unrestricted|826e22d7-d029-4ec0-a450-0c28ff673572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67;#SPL-CES|32d8cb1f-c9ec-4365-95c7-8385a18618ac</vt:lpwstr>
  </property>
  <property fmtid="{D5CDD505-2E9C-101B-9397-08002B2CF9AE}" pid="27" name="AvailableTranslations_0">
    <vt:lpwstr>LV|46f7e311-5d9f-4663-b433-18aeccb7ace7;EN|f2175f21-25d7-44a3-96da-d6a61b075e1b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67;#SPL-CES|32d8cb1f-c9ec-4365-95c7-8385a18618ac;#15;#Unrestricted|826e22d7-d029-4ec0-a450-0c28ff673572;#13;#TRA|150d2a88-1431-44e6-a8ca-0bb753ab8672;#369;#RESE|133bc82e-a833-4f63-96a0-e278370e9c8e;#39;#LV|46f7e311-5d9f-4663-b433-18aeccb7ace7;#8;#Final|ea5e6674-7b27-4bac-b091-73adbb394efe;#75;#SOC|13795804-ecbd-4ce5-9693-9b8be1981b20;#5;#EN|f2175f21-25d7-44a3-96da-d6a61b075e1b;#1;#EESC|422833ec-8d7e-4e65-8e4e-8bed07ffb729</vt:lpwstr>
  </property>
  <property fmtid="{D5CDD505-2E9C-101B-9397-08002B2CF9AE}" pid="31" name="Rapporteur">
    <vt:lpwstr>BARBUCCI</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303707</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DocumentType">
    <vt:lpwstr>369;#RESE|133bc82e-a833-4f63-96a0-e278370e9c8e</vt:lpwstr>
  </property>
  <property fmtid="{D5CDD505-2E9C-101B-9397-08002B2CF9AE}" pid="39" name="DocumentLanguage">
    <vt:lpwstr>23;#DE|f6b31e5a-26fa-4935-b661-318e46daf27e</vt:lpwstr>
  </property>
  <property fmtid="{D5CDD505-2E9C-101B-9397-08002B2CF9AE}" pid="40" name="_docset_NoMedatataSyncRequired">
    <vt:lpwstr>False</vt:lpwstr>
  </property>
  <property fmtid="{D5CDD505-2E9C-101B-9397-08002B2CF9AE}" pid="41" name="ProductionDate">
    <vt:filetime>2026-05-13T12:00:00Z</vt:filetime>
  </property>
  <property fmtid="{D5CDD505-2E9C-101B-9397-08002B2CF9AE}" pid="42" name="DocumentLanguage_0">
    <vt:lpwstr>EN|f2175f21-25d7-44a3-96da-d6a61b075e1b</vt:lpwstr>
  </property>
  <property fmtid="{D5CDD505-2E9C-101B-9397-08002B2CF9AE}" pid="43" name="OriginalSender">
    <vt:lpwstr>1358;#TDriveSVCUserProd</vt:lpwstr>
  </property>
</Properties>
</file>